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C87" w14:paraId="7B7EF79A" w14:textId="77777777" w:rsidTr="0010095E">
        <w:trPr>
          <w:trHeight w:hRule="exact" w:val="1418"/>
        </w:trPr>
        <w:tc>
          <w:tcPr>
            <w:tcW w:w="6804" w:type="dxa"/>
            <w:shd w:val="clear" w:color="auto" w:fill="auto"/>
            <w:vAlign w:val="center"/>
          </w:tcPr>
          <w:p w14:paraId="29FB5694" w14:textId="77777777" w:rsidR="00751A4A" w:rsidRPr="00110C87" w:rsidRDefault="00577F20" w:rsidP="0010095E">
            <w:pPr>
              <w:pStyle w:val="EPName"/>
            </w:pPr>
            <w:r w:rsidRPr="00110C87">
              <w:t>Ευρωπαϊκό Κοινοβούλιο</w:t>
            </w:r>
          </w:p>
          <w:p w14:paraId="2A352ADB" w14:textId="77777777" w:rsidR="00751A4A" w:rsidRPr="00110C87" w:rsidRDefault="005F1B17" w:rsidP="005F1B17">
            <w:pPr>
              <w:pStyle w:val="EPTerm"/>
              <w:rPr>
                <w:rStyle w:val="HideTWBExt"/>
                <w:noProof w:val="0"/>
                <w:vanish w:val="0"/>
                <w:color w:val="auto"/>
              </w:rPr>
            </w:pPr>
            <w:r w:rsidRPr="00110C87">
              <w:t>2024</w:t>
            </w:r>
            <w:r w:rsidR="00817416" w:rsidRPr="00110C87">
              <w:t>-202</w:t>
            </w:r>
            <w:r w:rsidRPr="00110C87">
              <w:t>9</w:t>
            </w:r>
          </w:p>
        </w:tc>
        <w:tc>
          <w:tcPr>
            <w:tcW w:w="2268" w:type="dxa"/>
            <w:shd w:val="clear" w:color="auto" w:fill="auto"/>
          </w:tcPr>
          <w:p w14:paraId="54B9EB26" w14:textId="77777777" w:rsidR="00751A4A" w:rsidRPr="00110C87" w:rsidRDefault="00187494" w:rsidP="0010095E">
            <w:pPr>
              <w:pStyle w:val="EPLogo"/>
            </w:pPr>
            <w:r w:rsidRPr="00110C87">
              <w:rPr>
                <w:noProof/>
                <w:lang w:eastAsia="ja-JP"/>
              </w:rPr>
              <w:drawing>
                <wp:inline distT="0" distB="0" distL="0" distR="0" wp14:anchorId="0FAE262E" wp14:editId="26FB6D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EDD73D" w14:textId="77777777" w:rsidR="00D058B8" w:rsidRPr="00110C87" w:rsidRDefault="00D058B8" w:rsidP="004C5D52">
      <w:pPr>
        <w:pStyle w:val="LineTop"/>
      </w:pPr>
    </w:p>
    <w:p w14:paraId="4F672895" w14:textId="77777777" w:rsidR="00680577" w:rsidRPr="00110C87" w:rsidRDefault="00577F20" w:rsidP="00680577">
      <w:pPr>
        <w:pStyle w:val="EPBodyTA1"/>
      </w:pPr>
      <w:r w:rsidRPr="00110C87">
        <w:t>ΚΕΙΜΕΝΑ ΠΟΥ ΕΓΚΡΙΘΗΚΑΝ</w:t>
      </w:r>
    </w:p>
    <w:p w14:paraId="438CCBC6" w14:textId="77777777" w:rsidR="00D058B8" w:rsidRPr="00110C87" w:rsidRDefault="00D058B8" w:rsidP="00D058B8">
      <w:pPr>
        <w:pStyle w:val="LineBottom"/>
      </w:pPr>
    </w:p>
    <w:p w14:paraId="0B723723" w14:textId="71EA1E0B" w:rsidR="00577F20" w:rsidRPr="008F2078" w:rsidRDefault="00577F20" w:rsidP="00577F20">
      <w:pPr>
        <w:pStyle w:val="ATHeading1"/>
      </w:pPr>
      <w:bookmarkStart w:id="0" w:name="TANumber"/>
      <w:r w:rsidRPr="00110C87">
        <w:t>P10_TA(2026)00</w:t>
      </w:r>
      <w:r w:rsidR="002F5C58" w:rsidRPr="008F2078">
        <w:t>73</w:t>
      </w:r>
      <w:bookmarkEnd w:id="0"/>
    </w:p>
    <w:p w14:paraId="37B9E2C7" w14:textId="66088B1F" w:rsidR="00577F20" w:rsidRPr="00110C87" w:rsidRDefault="00577F20" w:rsidP="00577F20">
      <w:pPr>
        <w:pStyle w:val="ATHeading2"/>
      </w:pPr>
      <w:bookmarkStart w:id="1" w:name="title"/>
      <w:r w:rsidRPr="00110C87">
        <w:t>Κινητοποίηση του Ευρωπαϊκού Ταμείου Προσαρμογής στην Παγκοσμιοποίηση για τους Απολυμένους Εργαζόμενους: αίτηση EGF/2025/004 BE/Tupperware – Βέλγιο</w:t>
      </w:r>
      <w:bookmarkEnd w:id="1"/>
    </w:p>
    <w:p w14:paraId="713DB472" w14:textId="77777777" w:rsidR="00577F20" w:rsidRPr="00110C87" w:rsidRDefault="00577F20" w:rsidP="00577F20">
      <w:pPr>
        <w:rPr>
          <w:i/>
          <w:vanish/>
        </w:rPr>
      </w:pPr>
      <w:r w:rsidRPr="00110C87">
        <w:rPr>
          <w:i/>
        </w:rPr>
        <w:fldChar w:fldCharType="begin"/>
      </w:r>
      <w:r w:rsidRPr="00110C87">
        <w:rPr>
          <w:i/>
        </w:rPr>
        <w:instrText xml:space="preserve"> TC"(</w:instrText>
      </w:r>
      <w:bookmarkStart w:id="2" w:name="DocNumber"/>
      <w:r w:rsidRPr="00110C87">
        <w:rPr>
          <w:i/>
        </w:rPr>
        <w:instrText>A10-0030/2026</w:instrText>
      </w:r>
      <w:bookmarkEnd w:id="2"/>
      <w:r w:rsidRPr="00110C87">
        <w:rPr>
          <w:i/>
        </w:rPr>
        <w:instrText xml:space="preserve"> - Εισηγητής: Jean-Marc Germain)"\l3 \n&gt; \* MERGEFORMAT </w:instrText>
      </w:r>
      <w:r w:rsidRPr="00110C87">
        <w:rPr>
          <w:i/>
        </w:rPr>
        <w:fldChar w:fldCharType="end"/>
      </w:r>
    </w:p>
    <w:p w14:paraId="6740768B" w14:textId="77777777" w:rsidR="00577F20" w:rsidRPr="00110C87" w:rsidRDefault="00577F20" w:rsidP="00577F20">
      <w:pPr>
        <w:rPr>
          <w:vanish/>
        </w:rPr>
      </w:pPr>
      <w:bookmarkStart w:id="3" w:name="Commission"/>
      <w:r w:rsidRPr="00110C87">
        <w:rPr>
          <w:vanish/>
        </w:rPr>
        <w:t>Επιτροπή Προϋπολογισμών</w:t>
      </w:r>
      <w:bookmarkEnd w:id="3"/>
    </w:p>
    <w:p w14:paraId="2F109986" w14:textId="77777777" w:rsidR="00577F20" w:rsidRPr="00110C87" w:rsidRDefault="00577F20" w:rsidP="00577F20">
      <w:pPr>
        <w:rPr>
          <w:vanish/>
        </w:rPr>
      </w:pPr>
      <w:bookmarkStart w:id="4" w:name="PE"/>
      <w:r w:rsidRPr="00110C87">
        <w:rPr>
          <w:vanish/>
        </w:rPr>
        <w:t>PE782.416</w:t>
      </w:r>
      <w:bookmarkEnd w:id="4"/>
    </w:p>
    <w:p w14:paraId="2ADE7A27" w14:textId="784B748A" w:rsidR="00577F20" w:rsidRPr="00110C87" w:rsidRDefault="00577F20" w:rsidP="00577F20">
      <w:pPr>
        <w:pStyle w:val="ATHeading3"/>
      </w:pPr>
      <w:bookmarkStart w:id="5" w:name="Sujet"/>
      <w:r w:rsidRPr="00110C87">
        <w:t xml:space="preserve">Ψήφισμα του Ευρωπαϊκού Κοινοβουλίου της </w:t>
      </w:r>
      <w:r w:rsidR="00AC6B28">
        <w:t>11ης Μαρτίου</w:t>
      </w:r>
      <w:r w:rsidR="00AC6B28" w:rsidRPr="00110C87">
        <w:t xml:space="preserve"> </w:t>
      </w:r>
      <w:r w:rsidRPr="00110C87">
        <w:t xml:space="preserve">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EGF/2025/004 BE/Tupperware </w:t>
      </w:r>
      <w:bookmarkEnd w:id="5"/>
      <w:r w:rsidRPr="00110C87">
        <w:t xml:space="preserve"> </w:t>
      </w:r>
      <w:bookmarkStart w:id="6" w:name="References"/>
      <w:r w:rsidRPr="00110C87">
        <w:t>(COM(2026)0001 – C10-0012/2026 – 2026/0004(BUD))</w:t>
      </w:r>
      <w:bookmarkEnd w:id="6"/>
    </w:p>
    <w:p w14:paraId="54C9E3F6" w14:textId="77777777" w:rsidR="00B52CAB" w:rsidRPr="00110C87" w:rsidRDefault="00B52CAB" w:rsidP="00B52CAB">
      <w:pPr>
        <w:pStyle w:val="EPComma"/>
        <w:rPr>
          <w:noProof/>
        </w:rPr>
      </w:pPr>
      <w:r w:rsidRPr="00110C87">
        <w:rPr>
          <w:i/>
        </w:rPr>
        <w:t>Το Ευρωπαϊκό Κοινοβούλιο</w:t>
      </w:r>
      <w:r w:rsidRPr="00110C87">
        <w:t>,</w:t>
      </w:r>
    </w:p>
    <w:p w14:paraId="603B3F5D" w14:textId="77777777" w:rsidR="00B52CAB" w:rsidRPr="00110C87" w:rsidRDefault="00B52CAB" w:rsidP="00B52CAB">
      <w:pPr>
        <w:pStyle w:val="NormalHanging12a"/>
        <w:rPr>
          <w:noProof/>
        </w:rPr>
      </w:pPr>
      <w:r w:rsidRPr="00110C87">
        <w:t>–</w:t>
      </w:r>
      <w:r w:rsidRPr="00110C87">
        <w:tab/>
        <w:t>έχοντας υπόψη την πρόταση της Επιτροπής προς το Ευρωπαϊκό Κοινοβούλιο και το Συμβούλιο (COM(2026)0001 – C10</w:t>
      </w:r>
      <w:r w:rsidRPr="00110C87">
        <w:noBreakHyphen/>
        <w:t>0012/2026),</w:t>
      </w:r>
    </w:p>
    <w:p w14:paraId="5BFABB4F" w14:textId="220D1CF5" w:rsidR="00B52CAB" w:rsidRPr="00110C87" w:rsidRDefault="00B52CAB" w:rsidP="00B52CAB">
      <w:pPr>
        <w:pStyle w:val="NormalHanging12a"/>
      </w:pPr>
      <w:r w:rsidRPr="00110C87">
        <w:t>–</w:t>
      </w:r>
      <w:r w:rsidRPr="00110C87">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110C87">
        <w:rPr>
          <w:vertAlign w:val="superscript"/>
        </w:rPr>
        <w:footnoteReference w:id="1"/>
      </w:r>
      <w:r w:rsidRPr="00110C87">
        <w:t xml:space="preserve"> (κανονισμός ΕΤΠ), </w:t>
      </w:r>
    </w:p>
    <w:p w14:paraId="3CF0AE73" w14:textId="6C1CB20D" w:rsidR="00B52CAB" w:rsidRPr="00110C87" w:rsidRDefault="00B52CAB" w:rsidP="00B52CAB">
      <w:pPr>
        <w:pStyle w:val="NormalHanging12a"/>
        <w:rPr>
          <w:noProof/>
        </w:rPr>
      </w:pPr>
      <w:r w:rsidRPr="00110C87">
        <w:t>–</w:t>
      </w:r>
      <w:r w:rsidRPr="00110C87">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110C87">
        <w:rPr>
          <w:noProof/>
          <w:vertAlign w:val="superscript"/>
        </w:rPr>
        <w:footnoteReference w:id="2"/>
      </w:r>
      <w:r w:rsidRPr="00110C87">
        <w:t>, όπως τροποποιήθηκε με τον κανονισμό (ΕΕ, Ευρατόμ) 2024/765</w:t>
      </w:r>
      <w:r w:rsidRPr="00110C87">
        <w:rPr>
          <w:noProof/>
          <w:vertAlign w:val="superscript"/>
        </w:rPr>
        <w:footnoteReference w:id="3"/>
      </w:r>
      <w:r w:rsidRPr="00110C87">
        <w:t xml:space="preserve"> (κανονισμός για το ΠΔΠ), και ιδίως το άρθρο 8, </w:t>
      </w:r>
    </w:p>
    <w:p w14:paraId="78614911" w14:textId="055CBA5E" w:rsidR="00B52CAB" w:rsidRPr="00110C87" w:rsidRDefault="00B52CAB" w:rsidP="00B52CAB">
      <w:pPr>
        <w:pStyle w:val="NormalHanging12a"/>
        <w:rPr>
          <w:noProof/>
        </w:rPr>
      </w:pPr>
      <w:r w:rsidRPr="00110C87">
        <w:t>–</w:t>
      </w:r>
      <w:r w:rsidRPr="00110C87">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110C87">
        <w:rPr>
          <w:rStyle w:val="FootnoteReference"/>
          <w:noProof/>
        </w:rPr>
        <w:footnoteReference w:id="4"/>
      </w:r>
      <w:r w:rsidRPr="00110C87">
        <w:t>, και ιδίως το σημείο 9,</w:t>
      </w:r>
    </w:p>
    <w:p w14:paraId="473D0278" w14:textId="77777777" w:rsidR="00B52CAB" w:rsidRPr="00110C87" w:rsidRDefault="00B52CAB" w:rsidP="00B52CAB">
      <w:pPr>
        <w:pStyle w:val="NormalHanging12a"/>
        <w:rPr>
          <w:noProof/>
        </w:rPr>
      </w:pPr>
      <w:r w:rsidRPr="00110C87">
        <w:lastRenderedPageBreak/>
        <w:t>–</w:t>
      </w:r>
      <w:r w:rsidRPr="00110C87">
        <w:tab/>
        <w:t>έχοντας υπόψη τον ευρωπαϊκό πυλώνα κοινωνικών δικαιωμάτων,</w:t>
      </w:r>
    </w:p>
    <w:p w14:paraId="0A9481A6" w14:textId="77777777" w:rsidR="00B52CAB" w:rsidRPr="00110C87" w:rsidRDefault="00B52CAB" w:rsidP="00B52CAB">
      <w:pPr>
        <w:pStyle w:val="NormalHanging12a"/>
        <w:rPr>
          <w:noProof/>
        </w:rPr>
      </w:pPr>
      <w:r w:rsidRPr="00110C87">
        <w:t>–</w:t>
      </w:r>
      <w:r w:rsidRPr="00110C87">
        <w:tab/>
        <w:t>έχοντας υπόψη τη γνωμοδότηση της Επιτροπής Απασχόλησης και Κοινωνικών Υποθέσεων,</w:t>
      </w:r>
    </w:p>
    <w:p w14:paraId="7E3E7ECA" w14:textId="77777777" w:rsidR="00B52CAB" w:rsidRPr="00110C87" w:rsidRDefault="00B52CAB" w:rsidP="00B52CAB">
      <w:pPr>
        <w:pStyle w:val="NormalHanging12a"/>
      </w:pPr>
      <w:r w:rsidRPr="00110C87">
        <w:t>–</w:t>
      </w:r>
      <w:r w:rsidRPr="00110C87">
        <w:tab/>
        <w:t>έχοντας υπόψη την έκθεση της Επιτροπής Προϋπολογισμών (A10-0030/2026),</w:t>
      </w:r>
    </w:p>
    <w:p w14:paraId="3E930225" w14:textId="77777777" w:rsidR="00B52CAB" w:rsidRPr="00110C87" w:rsidRDefault="00B52CAB" w:rsidP="00B52CAB">
      <w:pPr>
        <w:pStyle w:val="NormalHanging12a"/>
        <w:rPr>
          <w:noProof/>
        </w:rPr>
      </w:pPr>
      <w:r w:rsidRPr="00110C87">
        <w:t>Α.</w:t>
      </w:r>
      <w:r w:rsidRPr="00110C87">
        <w:tab/>
        <w:t>λαμβάνοντας υπόψη ότι η Ένωση έχει θεσπίσει νομοθετικά και δημοσιονομικά μέσα για να παρέχει πρόσθετη στήριξη στους εργαζόμενους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εργαζόμενους·</w:t>
      </w:r>
    </w:p>
    <w:p w14:paraId="28C61B89" w14:textId="51664E5C" w:rsidR="00B52CAB" w:rsidRPr="00110C87" w:rsidRDefault="00B52CAB" w:rsidP="00B52CAB">
      <w:pPr>
        <w:pStyle w:val="NormalHanging12a"/>
        <w:rPr>
          <w:noProof/>
        </w:rPr>
      </w:pPr>
      <w:r w:rsidRPr="00110C87">
        <w:t>Β.</w:t>
      </w:r>
      <w:r w:rsidRPr="00110C87">
        <w:tab/>
        <w:t xml:space="preserve">λαμβάνοντας υπόψη ότι το Βέλγιο υπέβαλε την αίτηση EGF/2025/004 BE/Tupperware για χρηματοδοτική συνεισφορά από το </w:t>
      </w:r>
      <w:r w:rsidR="00AC6B28" w:rsidRPr="00110C87">
        <w:t>Ευρωπαϊκ</w:t>
      </w:r>
      <w:r w:rsidR="00AC6B28">
        <w:t>ό</w:t>
      </w:r>
      <w:r w:rsidR="00AC6B28" w:rsidRPr="00110C87">
        <w:t xml:space="preserve"> Ταμείο Προσαρμογής στην Παγκοσμιοποίηση</w:t>
      </w:r>
      <w:r w:rsidR="00AC6B28" w:rsidRPr="002F5C58">
        <w:t xml:space="preserve"> (</w:t>
      </w:r>
      <w:r w:rsidRPr="00110C87">
        <w:t>ΕΤΠ</w:t>
      </w:r>
      <w:r w:rsidR="00AC6B28" w:rsidRPr="002F5C58">
        <w:t>)</w:t>
      </w:r>
      <w:r w:rsidRPr="00110C87">
        <w:t xml:space="preserve"> μετά από 267 απολύσεις</w:t>
      </w:r>
      <w:r w:rsidRPr="00110C87">
        <w:rPr>
          <w:noProof/>
          <w:vertAlign w:val="superscript"/>
        </w:rPr>
        <w:footnoteReference w:id="5"/>
      </w:r>
      <w:r w:rsidRPr="00110C87">
        <w:t xml:space="preserve"> στην Tupperware General Services NV (Tupperware), στον οικονομικό τομέα που ταξινομείται στον κλάδο 22 (Κατασκευή προϊόντων από ελαστικό (καουτσούκ) και πλαστικές ύλες) της NACE </w:t>
      </w:r>
      <w:proofErr w:type="spellStart"/>
      <w:r w:rsidRPr="00110C87">
        <w:t>αναθ</w:t>
      </w:r>
      <w:proofErr w:type="spellEnd"/>
      <w:r w:rsidRPr="00110C87">
        <w:t>. 2 στην επαρχία της Ανατολικής Φλάνδρας (BE23), εντός περιόδου αναφοράς από τις 17</w:t>
      </w:r>
      <w:r w:rsidR="002B4BEC">
        <w:t> </w:t>
      </w:r>
      <w:r w:rsidRPr="00110C87">
        <w:t xml:space="preserve">Φεβρουαρίου 2025 έως τις 17 Ιουνίου 2025· </w:t>
      </w:r>
    </w:p>
    <w:p w14:paraId="531B254B" w14:textId="77777777" w:rsidR="00B52CAB" w:rsidRPr="00110C87" w:rsidRDefault="00B52CAB" w:rsidP="00B52CAB">
      <w:pPr>
        <w:pStyle w:val="NormalHanging12a"/>
        <w:rPr>
          <w:noProof/>
        </w:rPr>
      </w:pPr>
      <w:r w:rsidRPr="00110C87">
        <w:t>Γ.</w:t>
      </w:r>
      <w:r w:rsidRPr="00110C87">
        <w:tab/>
        <w:t xml:space="preserve">λαμβάνοντας υπόψη ότι η αίτηση βασίζεται σε κριτήρια παρέμβασης που προβλέπονται στο άρθρο 4 παράγραφος 2 στοιχείο α) του κανονισμού ΕΤΠ, σύμφωνα με το οποίο θα πρέπει να έχει παύσει η δραστηριότητα, λόγω απόλυσης, τουλάχιστον 200 εργαζομένων ή αυτοαπασχολούμενων εντός περιόδου αναφοράς τεσσάρων μηνών σε επιχείρηση κράτους μέλους· </w:t>
      </w:r>
    </w:p>
    <w:p w14:paraId="537295DF" w14:textId="5CD911B0" w:rsidR="00B52CAB" w:rsidRPr="00110C87" w:rsidRDefault="00B52CAB" w:rsidP="00B52CAB">
      <w:pPr>
        <w:pStyle w:val="NormalHanging12a"/>
        <w:rPr>
          <w:noProof/>
        </w:rPr>
      </w:pPr>
      <w:r w:rsidRPr="00110C87">
        <w:t>Δ.</w:t>
      </w:r>
      <w:r w:rsidRPr="00110C87">
        <w:tab/>
        <w:t>λαμβάνοντας υπόψη ότι η Tupperware υπέβαλε αίτηση πτώχευσης στις 17</w:t>
      </w:r>
      <w:r w:rsidR="002B4BEC">
        <w:t> </w:t>
      </w:r>
      <w:r w:rsidRPr="00110C87">
        <w:t>Φεβρουαρίου 2025· λαμβάνοντας υπόψη ότι στο Βέλγιο οι πτωχεύσεις αυξάνονται από το 2022·</w:t>
      </w:r>
    </w:p>
    <w:p w14:paraId="6DEC6DDE" w14:textId="77777777" w:rsidR="00B52CAB" w:rsidRPr="00110C87" w:rsidRDefault="00B52CAB" w:rsidP="00B52CAB">
      <w:pPr>
        <w:pStyle w:val="NormalHanging12a"/>
        <w:rPr>
          <w:noProof/>
        </w:rPr>
      </w:pPr>
      <w:r w:rsidRPr="00110C87">
        <w:t>Ε.</w:t>
      </w:r>
      <w:r w:rsidRPr="00110C87">
        <w:tab/>
        <w:t>λαμβάνοντας υπόψη ότι το Βέλγιο ανέφερε πως η VDAB παρέχει την εθνική προχρηματοδότηση και συγχρηματοδότηση των μέτρων·</w:t>
      </w:r>
    </w:p>
    <w:p w14:paraId="223FC008" w14:textId="77777777" w:rsidR="00B52CAB" w:rsidRPr="00110C87" w:rsidRDefault="00B52CAB" w:rsidP="00B52CAB">
      <w:pPr>
        <w:pStyle w:val="NormalHanging12a"/>
        <w:rPr>
          <w:noProof/>
        </w:rPr>
      </w:pPr>
      <w:r w:rsidRPr="00110C87">
        <w:t>ΣΤ.</w:t>
      </w:r>
      <w:r w:rsidRPr="00110C87">
        <w:tab/>
        <w:t>λαμβάνοντας υπόψη ότι έχουν εκπληρωθεί οι απαιτήσεις που καθορίζονται στην νομοθεσία της ΕΕ και στην εθνική νομοθεσία όσον αφορά τις ομαδικές απολύσεις·</w:t>
      </w:r>
    </w:p>
    <w:p w14:paraId="02B6B96B" w14:textId="77777777" w:rsidR="00B52CAB" w:rsidRPr="00110C87" w:rsidRDefault="00B52CAB" w:rsidP="00B52CAB">
      <w:pPr>
        <w:pStyle w:val="NormalHanging12a"/>
        <w:rPr>
          <w:noProof/>
        </w:rPr>
      </w:pPr>
      <w:r w:rsidRPr="00110C87">
        <w:t>Ζ.</w:t>
      </w:r>
      <w:r w:rsidRPr="00110C87">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προετοιμάζοντάς τους παράλληλα για μια πιο πράσινη και πιο ψηφιακή ευρωπαϊκή οικονομία·</w:t>
      </w:r>
    </w:p>
    <w:p w14:paraId="36F3EE6D" w14:textId="0E8866DB" w:rsidR="00B52CAB" w:rsidRPr="00110C87" w:rsidRDefault="00B52CAB" w:rsidP="00B52CAB">
      <w:pPr>
        <w:pStyle w:val="NormalHanging12a"/>
        <w:rPr>
          <w:noProof/>
        </w:rPr>
      </w:pPr>
      <w:r w:rsidRPr="00110C87">
        <w:t>Η.</w:t>
      </w:r>
      <w:r w:rsidRPr="00110C87">
        <w:tab/>
        <w:t>λαμβάνοντας υπόψη ότι το ΕΤΠ δεν υπερβαίνει το μέγιστο ετήσιο ποσό των 30</w:t>
      </w:r>
      <w:r w:rsidR="002B4BEC">
        <w:t> </w:t>
      </w:r>
      <w:r w:rsidRPr="00110C87">
        <w:t>εκατομμυρίων EUR (σε τιμές 2018)</w:t>
      </w:r>
      <w:r w:rsidRPr="00110C87">
        <w:rPr>
          <w:noProof/>
          <w:vertAlign w:val="superscript"/>
        </w:rPr>
        <w:footnoteReference w:id="6"/>
      </w:r>
      <w:r w:rsidRPr="00110C87">
        <w:t xml:space="preserve">· </w:t>
      </w:r>
    </w:p>
    <w:p w14:paraId="470E9A0D" w14:textId="023C7533" w:rsidR="00B52CAB" w:rsidRPr="00110C87" w:rsidRDefault="002F5C58" w:rsidP="002F5C58">
      <w:pPr>
        <w:pStyle w:val="NormalHanging12a"/>
        <w:ind w:hanging="570"/>
        <w:rPr>
          <w:noProof/>
        </w:rPr>
      </w:pPr>
      <w:r w:rsidRPr="00110C87">
        <w:rPr>
          <w:noProof/>
        </w:rPr>
        <w:t>1.</w:t>
      </w:r>
      <w:r w:rsidRPr="00110C87">
        <w:rPr>
          <w:noProof/>
        </w:rPr>
        <w:tab/>
      </w:r>
      <w:r w:rsidR="00B52CAB" w:rsidRPr="00110C87">
        <w:t xml:space="preserve">συμφωνεί με την Επιτροπή ότι πληρούνται οι προϋποθέσεις που ορίζονται στον κανονισμό ΕΤΠ, και ιδίως στο άρθρο 4 παράγραφος 2 στοιχείο α) του εν λόγω κανονισμού, και ότι το Βέλγιο δικαιούται, δυνάμει του εν λόγω κανονισμού, να λάβει </w:t>
      </w:r>
      <w:r w:rsidR="00B52CAB" w:rsidRPr="00110C87">
        <w:lastRenderedPageBreak/>
        <w:t>χρηματοδοτική συνεισφορά ύψους 1 622 650 EUR, ποσό που αντιστοιχεί στο 85 % των συνολικών δαπανών ύψους 1 909 000 EUR, στο οποίο περιλαμβάνονται δαπάνες για εξατομικευμένες υπηρεσίες ύψους 1 843 500 EUR και δαπάνες για δραστηριότητες προετοιμασίας, διαχείρισης, ενημέρωσης και δημοσιότητας, ελέγχου και υποβολής εκθέσεων ύψους 65 500 EUR·</w:t>
      </w:r>
    </w:p>
    <w:p w14:paraId="1638B606" w14:textId="4B151110" w:rsidR="00B52CAB" w:rsidRPr="00110C87" w:rsidRDefault="002F5C58" w:rsidP="002F5C58">
      <w:pPr>
        <w:pStyle w:val="NormalHanging12a"/>
        <w:ind w:hanging="570"/>
        <w:rPr>
          <w:noProof/>
        </w:rPr>
      </w:pPr>
      <w:r w:rsidRPr="00110C87">
        <w:rPr>
          <w:noProof/>
        </w:rPr>
        <w:t>2.</w:t>
      </w:r>
      <w:r w:rsidRPr="00110C87">
        <w:rPr>
          <w:noProof/>
        </w:rPr>
        <w:tab/>
      </w:r>
      <w:r w:rsidR="00B52CAB" w:rsidRPr="00110C87">
        <w:t>σημειώνει ότι οι βελγικές αρχές υπέβαλαν την αίτηση στις 28 Αυγούστου 2025 και ότι, μετά τη λήψη πρόσθετων πληροφοριών από το Βέλγιο, η Επιτροπή ολοκλήρωσε την αξιολόγησή της στις 20 Ιανουαρίου 2026, σχεδόν πέντε μήνες αργότερα, και τη διαβίβασε στο Κοινοβούλιο την ίδια ημέρα· τονίζει ότι είναι σημαντικό να μειωθεί το χρονικό διάστημα μεταξύ της υποβολής αίτησης για ενίσχυση από το ΕΤΠ και της απόφασης χρηματοδότησης, διασφαλίζοντας παράλληλα πλήρως τα δικαιώματα του Ευρωπαϊκού Κοινοβουλίου ως ενός σκέλους της αρμόδιας για τον προϋπολογισμό αρχής·</w:t>
      </w:r>
    </w:p>
    <w:p w14:paraId="18ABBABB" w14:textId="352AEEB9" w:rsidR="00B52CAB" w:rsidRPr="00110C87" w:rsidRDefault="002F5C58" w:rsidP="002F5C58">
      <w:pPr>
        <w:pStyle w:val="NormalHanging12a"/>
        <w:ind w:hanging="570"/>
        <w:rPr>
          <w:noProof/>
        </w:rPr>
      </w:pPr>
      <w:r w:rsidRPr="00110C87">
        <w:rPr>
          <w:noProof/>
        </w:rPr>
        <w:t>3.</w:t>
      </w:r>
      <w:r w:rsidRPr="00110C87">
        <w:rPr>
          <w:noProof/>
        </w:rPr>
        <w:tab/>
      </w:r>
      <w:r w:rsidR="00B52CAB" w:rsidRPr="00110C87">
        <w:t>σημειώνει ότι η αίτηση αφορά 267 στοχευόμενους δικαιούχους που απολύθηκαν από την εταιρεία Tupperware·</w:t>
      </w:r>
    </w:p>
    <w:p w14:paraId="0F275467" w14:textId="42D65FED" w:rsidR="00B52CAB" w:rsidRPr="00110C87" w:rsidRDefault="002F5C58" w:rsidP="002F5C58">
      <w:pPr>
        <w:pStyle w:val="NormalHanging12a"/>
        <w:ind w:hanging="570"/>
        <w:rPr>
          <w:noProof/>
        </w:rPr>
      </w:pPr>
      <w:r w:rsidRPr="00110C87">
        <w:rPr>
          <w:noProof/>
        </w:rPr>
        <w:t>4.</w:t>
      </w:r>
      <w:r w:rsidRPr="00110C87">
        <w:rPr>
          <w:noProof/>
        </w:rPr>
        <w:tab/>
      </w:r>
      <w:r w:rsidR="00B52CAB" w:rsidRPr="00110C87">
        <w:t xml:space="preserve">σημειώνει ότι η </w:t>
      </w:r>
      <w:proofErr w:type="spellStart"/>
      <w:r w:rsidR="00B52CAB" w:rsidRPr="00110C87">
        <w:t>Tupperware</w:t>
      </w:r>
      <w:proofErr w:type="spellEnd"/>
      <w:r w:rsidR="00B52CAB" w:rsidRPr="00110C87">
        <w:t xml:space="preserve"> βρισκόταν στο </w:t>
      </w:r>
      <w:proofErr w:type="spellStart"/>
      <w:r w:rsidR="00B52CAB" w:rsidRPr="00110C87">
        <w:t>Aalst</w:t>
      </w:r>
      <w:proofErr w:type="spellEnd"/>
      <w:r w:rsidR="00B52CAB" w:rsidRPr="00110C87">
        <w:t xml:space="preserve"> της επαρχίας της Ανατολικής Φλάνδρας, όπου, ήδη πριν από την πτώχευση της Tupperware, απασχολούνταν μόνο ένας στους δύο ανθρώπους, σε σύγκριση με δύο στους τρεις κατά μέσο όρο σε ολόκληρη την περιφέρεια της Φλάνδρας· εκφράζει τη λύπη του για το γεγονός ότι οι εν λόγω απολύσεις θα επιδεινώσουν περαιτέρω την κατάσταση· τονίζει ότι απαιτείται ταχεία δράση για την πρόληψη της διαρθρωτικής υποβάθμισης των περιφερειών·</w:t>
      </w:r>
    </w:p>
    <w:p w14:paraId="72DDBD4B" w14:textId="46F51293" w:rsidR="00B52CAB" w:rsidRPr="00110C87" w:rsidRDefault="002F5C58" w:rsidP="002F5C58">
      <w:pPr>
        <w:pStyle w:val="NormalHanging12a"/>
        <w:ind w:hanging="570"/>
        <w:rPr>
          <w:noProof/>
        </w:rPr>
      </w:pPr>
      <w:r w:rsidRPr="00110C87">
        <w:rPr>
          <w:noProof/>
        </w:rPr>
        <w:t>5.</w:t>
      </w:r>
      <w:r w:rsidRPr="00110C87">
        <w:rPr>
          <w:noProof/>
        </w:rPr>
        <w:tab/>
      </w:r>
      <w:r w:rsidR="00B52CAB" w:rsidRPr="00110C87">
        <w:t xml:space="preserve">εκφράζει τη λύπη του για το γεγονός ότι η αμερικανική μητρική εταιρεία </w:t>
      </w:r>
      <w:proofErr w:type="spellStart"/>
      <w:r w:rsidR="00B52CAB" w:rsidRPr="00110C87">
        <w:t>Tupperware</w:t>
      </w:r>
      <w:proofErr w:type="spellEnd"/>
      <w:r w:rsidR="00B52CAB" w:rsidRPr="00110C87">
        <w:t xml:space="preserve"> </w:t>
      </w:r>
      <w:proofErr w:type="spellStart"/>
      <w:r w:rsidR="00B52CAB" w:rsidRPr="00110C87">
        <w:t>Brands</w:t>
      </w:r>
      <w:proofErr w:type="spellEnd"/>
      <w:r w:rsidR="00B52CAB" w:rsidRPr="00110C87">
        <w:t xml:space="preserve"> εξαγοράστηκε από πιστωτές τον Οκτώβριο του 2024 και, λόγω σημαντικής αναδιάρθρωσης, ανακάλεσε την κατασκευή και τις άδειες που είχαν χορηγηθεί στην Tupperware General Services NV, καθιστώντας τη βελγική θυγατρική οικονομικά μη βιώσιμη και οδηγώντας στην πτώχευσή της στις 17 Φεβρουαρίου 2025· </w:t>
      </w:r>
    </w:p>
    <w:p w14:paraId="3FB3EA32" w14:textId="0A9310B8" w:rsidR="00B52CAB" w:rsidRPr="00110C87" w:rsidRDefault="002F5C58" w:rsidP="002F5C58">
      <w:pPr>
        <w:pStyle w:val="NormalHanging12a"/>
        <w:ind w:hanging="570"/>
        <w:rPr>
          <w:noProof/>
        </w:rPr>
      </w:pPr>
      <w:r w:rsidRPr="00110C87">
        <w:rPr>
          <w:noProof/>
        </w:rPr>
        <w:t>6.</w:t>
      </w:r>
      <w:r w:rsidRPr="00110C87">
        <w:rPr>
          <w:noProof/>
        </w:rPr>
        <w:tab/>
      </w:r>
      <w:r w:rsidR="00B52CAB" w:rsidRPr="00110C87">
        <w:t xml:space="preserve">χαιρετίζει </w:t>
      </w:r>
      <w:r w:rsidR="00AC6B28">
        <w:t>την</w:t>
      </w:r>
      <w:r w:rsidR="00AC6B28" w:rsidRPr="00110C87">
        <w:t xml:space="preserve"> </w:t>
      </w:r>
      <w:r w:rsidR="00B52CAB" w:rsidRPr="00110C87">
        <w:t>πρωτοβουλία της ομάδας Ευρωπαίων επιχειρηματιών με στόχο την αναζωογόνηση του εμπορικού σήματος στη Γερμανία, τη Γαλλία, το Βέλγιο, την Ιταλία και την Πολωνία·</w:t>
      </w:r>
    </w:p>
    <w:p w14:paraId="742C550E" w14:textId="0E5C6B75" w:rsidR="00B52CAB" w:rsidRPr="00110C87" w:rsidRDefault="002F5C58" w:rsidP="002F5C58">
      <w:pPr>
        <w:pStyle w:val="NormalHanging12a"/>
        <w:ind w:hanging="570"/>
        <w:rPr>
          <w:noProof/>
        </w:rPr>
      </w:pPr>
      <w:r w:rsidRPr="00110C87">
        <w:rPr>
          <w:noProof/>
        </w:rPr>
        <w:t>7.</w:t>
      </w:r>
      <w:r w:rsidRPr="00110C87">
        <w:rPr>
          <w:noProof/>
        </w:rPr>
        <w:tab/>
      </w:r>
      <w:r w:rsidR="00B52CAB" w:rsidRPr="00110C87">
        <w:t>τονίζει ότι στη Φλάνδρα ο κίνδυνος ανεργίας είναι υπερδιπλάσιος για τα άτομα με χαμηλό μορφωτικό επίπεδο· σημειώνει ότι το ένα τρίτο των απολυμένων εργαζομένων έχουν ολοκληρώσει το πολύ την κατώτερη δευτεροβάθμια εκπαίδευση· καλεί τις βελγικές αρχές να παράσχουν ειδική στήριξη προσαρμοσμένη σε αυτά τα προφίλ, ώστε να βοηθήσουν τους εργαζομένους να ξεπεράσουν τις ελλείψεις τους και να βρουν νέες θέσεις εργασίας, λαμβάνοντας παράλληλα μέτρα για τη μείωση των πτωχεύσεων και την αντιμετώπιση των κοινωνικών ανισοτήτων που οδηγούν στον αποκλεισμό του εργατικού δυναμικού·</w:t>
      </w:r>
    </w:p>
    <w:p w14:paraId="63C7F292" w14:textId="15418A1E" w:rsidR="00B52CAB" w:rsidRPr="00110C87" w:rsidRDefault="002F5C58" w:rsidP="002F5C58">
      <w:pPr>
        <w:pStyle w:val="NormalHanging12a"/>
        <w:ind w:hanging="570"/>
        <w:rPr>
          <w:noProof/>
        </w:rPr>
      </w:pPr>
      <w:r w:rsidRPr="00110C87">
        <w:rPr>
          <w:noProof/>
        </w:rPr>
        <w:t>8.</w:t>
      </w:r>
      <w:r w:rsidRPr="00110C87">
        <w:rPr>
          <w:noProof/>
        </w:rPr>
        <w:tab/>
      </w:r>
      <w:r w:rsidR="00B52CAB" w:rsidRPr="00110C87">
        <w:t xml:space="preserve">υπενθυμίζει ότι, σε συμφωνία με τις συνδικαλιστικές οργανώσεις, τους ειδικούς και τους κοινωνικούς εταίρους, οι εξατομικευμένες υπηρεσίες που πρέπει να παρέχονται στους εργαζόμενους συνίστανται στα ακόλουθα μέτρα: ενημερωτικές συναντήσεις για την επανένταξη στην απασχόληση, υπηρεσίες επανατοποθέτησης στην αγορά εργασίας, συμπεριλαμβανομένης της κατάρτισης στις ΤΠΕ· βοήθεια για την εξεύρεση εργασίας μέσω καθοδήγησης και βοήθειας για την αναζήτηση εργασίας, κατάρτισης και </w:t>
      </w:r>
      <w:proofErr w:type="spellStart"/>
      <w:r w:rsidR="00B52CAB" w:rsidRPr="00110C87">
        <w:t>επανακατάρτισης</w:t>
      </w:r>
      <w:proofErr w:type="spellEnd"/>
      <w:r w:rsidR="00B52CAB" w:rsidRPr="00110C87">
        <w:t xml:space="preserve">, ημερίδων ευκαιριών απασχόλησης, διερεύνησης της αγοράς εργασίας για τον εντοπισμό κενών θέσεων και αντιστοίχισης προσφοράς και ζήτησης· </w:t>
      </w:r>
      <w:r w:rsidR="00B52CAB" w:rsidRPr="00110C87">
        <w:lastRenderedPageBreak/>
        <w:t xml:space="preserve">τονίζει τη σημασία της προώθησης ποιοτικών, </w:t>
      </w:r>
      <w:proofErr w:type="spellStart"/>
      <w:r w:rsidR="00B52CAB" w:rsidRPr="00110C87">
        <w:t>μελλοντοστρεφών</w:t>
      </w:r>
      <w:proofErr w:type="spellEnd"/>
      <w:r w:rsidR="00B52CAB" w:rsidRPr="00110C87">
        <w:t xml:space="preserve"> θέσεων εργασίας για τη διασφάλιση μακροπρόθεσμης οικονομικής και κοινωνικής ανθεκτικότητας· καλεί τις βελγικές αρχές να καθιερώσουν διάλογο με τους νέους Ευρωπαίους εκπροσώπους της Tupperware για να διερευνήσουν τις δυνατότητες επανένταξης των απολυμένων εργαζομένων στις οικονομικές τους δραστηριότητες·</w:t>
      </w:r>
    </w:p>
    <w:p w14:paraId="08B1A7E1" w14:textId="57709644" w:rsidR="00B52CAB" w:rsidRPr="00110C87" w:rsidRDefault="002F5C58" w:rsidP="002F5C58">
      <w:pPr>
        <w:pStyle w:val="NormalHanging12a"/>
        <w:ind w:hanging="570"/>
        <w:rPr>
          <w:noProof/>
        </w:rPr>
      </w:pPr>
      <w:r w:rsidRPr="00110C87">
        <w:rPr>
          <w:noProof/>
        </w:rPr>
        <w:t>9.</w:t>
      </w:r>
      <w:r w:rsidRPr="00110C87">
        <w:rPr>
          <w:noProof/>
        </w:rPr>
        <w:tab/>
      </w:r>
      <w:r w:rsidR="00B52CAB" w:rsidRPr="00110C87">
        <w:t>τονίζει ότι τα προσόντα και οι δεξιότητες των απολυμένων εργαζομένων παραμένουν καίριας σημασίας για μια ανθεκτική στις μελλοντικές εξελίξεις ευρωπαϊκή οικονομία· θεωρεί, ως εκ τούτου,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βρίσκουν επαρκείς ευκαιρίες με γνώμονα τα προσόντα και τις δεξιότητές τους· υπενθυμίζει περαιτέρω ότι το ΕΤΠ αποτελεί μέσο αλληλεγγύης και δίκαιης μετάβασης και ότι πρωταρχικό καθήκον της Ένωσης πρέπει να είναι καταρχάς να προλαμβάνονται τέτοια κλεισίματα· θεωρεί ότι, ενώ το ΕΤΠ παρέχει την αναγκαία στήριξη στους πληττόμενους εργαζόμενους, μια ισχυρότερη βιομηχανική πολιτική, μια πιο ισχυρή, βιώσιμη και ανθεκτική οικονομία και η μείωση των στρατηγικών εξαρτήσεων είναι ουσιαστικής σημασίας για τη διασφάλιση της ευρωπαϊκής βιομηχανικής βάσης απασχόλησης·</w:t>
      </w:r>
    </w:p>
    <w:p w14:paraId="2282183D" w14:textId="3336C6AC" w:rsidR="00B52CAB" w:rsidRPr="00110C87" w:rsidRDefault="002F5C58" w:rsidP="002F5C58">
      <w:pPr>
        <w:pStyle w:val="NormalHanging12a"/>
        <w:ind w:hanging="570"/>
        <w:rPr>
          <w:bCs/>
          <w:iCs/>
          <w:noProof/>
        </w:rPr>
      </w:pPr>
      <w:r w:rsidRPr="00110C87">
        <w:rPr>
          <w:bCs/>
          <w:iCs/>
          <w:noProof/>
        </w:rPr>
        <w:t>10.</w:t>
      </w:r>
      <w:r w:rsidRPr="00110C87">
        <w:rPr>
          <w:bCs/>
          <w:iCs/>
          <w:noProof/>
        </w:rPr>
        <w:tab/>
      </w:r>
      <w:r w:rsidR="00B52CAB" w:rsidRPr="00110C87">
        <w:t>τονίζει ότι οι βελγικές αρχές διασφαλίζουν την προβολή της ενωσιακής χρηματοδότησης και τονίζουν την προστιθέμενη αξία της, παρέχοντας αποτελεσματική και στοχευμένη ενημέρωση στους δικαιούχους, στις περιφερειακές και τοπικές αρχές, στους κοινωνικούς εταίρους και στο ευρύτερο κοινό·</w:t>
      </w:r>
    </w:p>
    <w:p w14:paraId="73E8AA28" w14:textId="6CD7F09E" w:rsidR="00B52CAB" w:rsidRPr="00110C87" w:rsidRDefault="002F5C58" w:rsidP="002F5C58">
      <w:pPr>
        <w:pStyle w:val="NormalHanging12a"/>
        <w:ind w:hanging="570"/>
        <w:rPr>
          <w:noProof/>
        </w:rPr>
      </w:pPr>
      <w:r w:rsidRPr="00110C87">
        <w:rPr>
          <w:noProof/>
        </w:rPr>
        <w:t>11.</w:t>
      </w:r>
      <w:r w:rsidRPr="00110C87">
        <w:rPr>
          <w:noProof/>
        </w:rPr>
        <w:tab/>
      </w:r>
      <w:r w:rsidR="00B52CAB" w:rsidRPr="00110C87">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 τονίζει ότι οι αξιολογήσεις αυτές θα πρέπει να βασίζονται σε σαφώς καθορισμένους στόχους και μετρήσιμα αποτελέσματα, επιτρέποντας την αξιολόγηση των αποτελεσμάτων που επιτυγχάνονται για τους ενδιαφερόμενους εργαζόμενους· υπογραμμίζει ότι είναι σημαντικό να εξασφαλιστούν ταχύτερες και αποτελεσματικότερες παρεμβάσεις και υπενθυμίζει, στο πλαίσιο αυτό, την ανάγκη να διερευνηθούν τρόποι για τη διασφάλιση της βιωσιμότητας του ΕΤΠ, ή του διάδοχου προγράμματός του, στο πλαίσιο του επόμενου πολυετούς δημοσιονομικού πλαισίου 2028-2034·</w:t>
      </w:r>
    </w:p>
    <w:p w14:paraId="3FD4C41B" w14:textId="68890D81" w:rsidR="00B52CAB" w:rsidRPr="00110C87" w:rsidRDefault="002F5C58" w:rsidP="002F5C58">
      <w:pPr>
        <w:pStyle w:val="NormalHanging12a"/>
        <w:ind w:hanging="570"/>
        <w:rPr>
          <w:noProof/>
        </w:rPr>
      </w:pPr>
      <w:r w:rsidRPr="00110C87">
        <w:rPr>
          <w:noProof/>
        </w:rPr>
        <w:t>12.</w:t>
      </w:r>
      <w:r w:rsidRPr="00110C87">
        <w:rPr>
          <w:noProof/>
        </w:rPr>
        <w:tab/>
      </w:r>
      <w:r w:rsidR="00B52CAB" w:rsidRPr="00110C87">
        <w:t>σημειώνει ότι το Βέλγιο άρχισε να παρέχει εξατομικευμένες υπηρεσίες στους στοχευόμενους δικαιούχους στις 17 Φεβρουαρίου 2025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14:paraId="60741826" w14:textId="383BC889" w:rsidR="00B52CAB" w:rsidRPr="00110C87" w:rsidRDefault="002F5C58" w:rsidP="002F5C58">
      <w:pPr>
        <w:pStyle w:val="NormalHanging12a"/>
        <w:ind w:hanging="570"/>
        <w:rPr>
          <w:noProof/>
        </w:rPr>
      </w:pPr>
      <w:r w:rsidRPr="00110C87">
        <w:rPr>
          <w:noProof/>
        </w:rPr>
        <w:t>13.</w:t>
      </w:r>
      <w:r w:rsidRPr="00110C87">
        <w:rPr>
          <w:noProof/>
        </w:rPr>
        <w:tab/>
      </w:r>
      <w:r w:rsidR="00B52CAB" w:rsidRPr="00110C87">
        <w:t>σημειώνει ότι το Βέλγιο άρχισε να επιβαρύνεται με τις διοικητικές δαπάνες για την εφαρμογή του ΕΤΠ στις 17 Φεβρουαρίου 2025 και ότι, επομένως, οι δαπάνες αυτές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14:paraId="60CF4990" w14:textId="6CA2AFB6" w:rsidR="00B52CAB" w:rsidRPr="00110C87" w:rsidRDefault="002F5C58" w:rsidP="002F5C58">
      <w:pPr>
        <w:pStyle w:val="NormalHanging12a"/>
        <w:ind w:hanging="570"/>
        <w:rPr>
          <w:noProof/>
        </w:rPr>
      </w:pPr>
      <w:r w:rsidRPr="00110C87">
        <w:rPr>
          <w:noProof/>
        </w:rPr>
        <w:t>14.</w:t>
      </w:r>
      <w:r w:rsidRPr="00110C87">
        <w:rPr>
          <w:noProof/>
        </w:rPr>
        <w:tab/>
      </w:r>
      <w:r w:rsidR="00B52CAB" w:rsidRPr="00110C87">
        <w:t>σημειώνει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0B45F866" w14:textId="75BCF227" w:rsidR="00B52CAB" w:rsidRPr="00110C87" w:rsidRDefault="002F5C58" w:rsidP="002F5C58">
      <w:pPr>
        <w:pStyle w:val="NormalHanging12a"/>
        <w:ind w:hanging="570"/>
        <w:rPr>
          <w:noProof/>
        </w:rPr>
      </w:pPr>
      <w:r w:rsidRPr="00110C87">
        <w:rPr>
          <w:noProof/>
        </w:rPr>
        <w:lastRenderedPageBreak/>
        <w:t>15.</w:t>
      </w:r>
      <w:r w:rsidRPr="00110C87">
        <w:rPr>
          <w:noProof/>
        </w:rPr>
        <w:tab/>
      </w:r>
      <w:r w:rsidR="00B52CAB" w:rsidRPr="00110C87">
        <w:t>επαναλαμβάνει ότι η βοήθεια από το ΕΤΠ δεν πρέπει να αντικαθιστά ενέργειες που αποτελούν ευθύνη των επιχειρήσεων βάσει της εθνικής νομοθεσίας ή συλλογικών συμβάσεων·</w:t>
      </w:r>
    </w:p>
    <w:p w14:paraId="165727CA" w14:textId="36C66FD4" w:rsidR="00B52CAB" w:rsidRPr="00110C87" w:rsidRDefault="002F5C58" w:rsidP="002F5C58">
      <w:pPr>
        <w:pStyle w:val="NormalHanging12a"/>
        <w:ind w:hanging="570"/>
        <w:rPr>
          <w:noProof/>
        </w:rPr>
      </w:pPr>
      <w:r w:rsidRPr="00110C87">
        <w:rPr>
          <w:noProof/>
        </w:rPr>
        <w:t>16.</w:t>
      </w:r>
      <w:r w:rsidRPr="00110C87">
        <w:rPr>
          <w:noProof/>
        </w:rPr>
        <w:tab/>
      </w:r>
      <w:r w:rsidR="00B52CAB" w:rsidRPr="00110C87">
        <w:t>εγκρίνει την απόφαση που επισυνάπτεται στο παρόν ψήφισμα·</w:t>
      </w:r>
    </w:p>
    <w:p w14:paraId="289E35D8" w14:textId="7BCE5CAE" w:rsidR="00B52CAB" w:rsidRPr="00110C87" w:rsidRDefault="002F5C58" w:rsidP="002F5C58">
      <w:pPr>
        <w:pStyle w:val="NormalHanging12a"/>
        <w:ind w:hanging="570"/>
        <w:rPr>
          <w:noProof/>
        </w:rPr>
      </w:pPr>
      <w:r w:rsidRPr="00110C87">
        <w:rPr>
          <w:noProof/>
        </w:rPr>
        <w:t>17.</w:t>
      </w:r>
      <w:r w:rsidRPr="00110C87">
        <w:rPr>
          <w:noProof/>
        </w:rPr>
        <w:tab/>
      </w:r>
      <w:r w:rsidR="00B52CAB" w:rsidRPr="00110C87">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B52CAB" w:rsidRPr="00110C87">
        <w:rPr>
          <w:i/>
        </w:rPr>
        <w:t>Επίσημη Εφημερίδα της Ευρωπαϊκής Ένωσης</w:t>
      </w:r>
      <w:r w:rsidR="00B52CAB" w:rsidRPr="00110C87">
        <w:t>·</w:t>
      </w:r>
    </w:p>
    <w:p w14:paraId="5884618E" w14:textId="729C935D" w:rsidR="00B52CAB" w:rsidRPr="00110C87" w:rsidRDefault="002F5C58" w:rsidP="002F5C58">
      <w:pPr>
        <w:pStyle w:val="NormalHanging12a"/>
        <w:ind w:hanging="570"/>
        <w:rPr>
          <w:noProof/>
        </w:rPr>
      </w:pPr>
      <w:r w:rsidRPr="00110C87">
        <w:rPr>
          <w:noProof/>
        </w:rPr>
        <w:t>18.</w:t>
      </w:r>
      <w:r w:rsidRPr="00110C87">
        <w:rPr>
          <w:noProof/>
        </w:rPr>
        <w:tab/>
      </w:r>
      <w:r w:rsidR="00B52CAB" w:rsidRPr="00110C87">
        <w:t>αναθέτει στην Πρόεδρό του να διαβιβάσει το παρόν ψήφισμα, συμπεριλαμβανομένου του παραρτήματός του, στο Συμβούλιο και στην Επιτροπή.</w:t>
      </w:r>
    </w:p>
    <w:p w14:paraId="699F665D" w14:textId="77777777" w:rsidR="00B52CAB" w:rsidRPr="00110C87" w:rsidRDefault="00B52CAB" w:rsidP="00B52CAB">
      <w:pPr>
        <w:pStyle w:val="NormalHanging12a"/>
        <w:rPr>
          <w:noProof/>
        </w:rPr>
      </w:pPr>
    </w:p>
    <w:p w14:paraId="2326FF90" w14:textId="77777777" w:rsidR="00B52CAB" w:rsidRPr="00110C87" w:rsidRDefault="00B52CAB" w:rsidP="00B52CAB">
      <w:pPr>
        <w:rPr>
          <w:noProof/>
        </w:rPr>
      </w:pPr>
    </w:p>
    <w:p w14:paraId="2A2701DE" w14:textId="77777777" w:rsidR="00B52CAB" w:rsidRPr="00110C87" w:rsidRDefault="00B52CAB" w:rsidP="00B52CAB">
      <w:pPr>
        <w:pStyle w:val="PageHeading"/>
        <w:rPr>
          <w:noProof/>
        </w:rPr>
        <w:sectPr w:rsidR="00B52CAB" w:rsidRPr="00110C87" w:rsidSect="00110C8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14C3BB" w14:textId="77777777" w:rsidR="002B4BEC" w:rsidRPr="002B4BEC" w:rsidRDefault="00B52CAB" w:rsidP="008F2078">
      <w:pPr>
        <w:pStyle w:val="PageHeading"/>
        <w:spacing w:after="240"/>
        <w:rPr>
          <w:rFonts w:ascii="Times New Roman" w:hAnsi="Times New Roman" w:cs="Times New Roman"/>
        </w:rPr>
      </w:pPr>
      <w:bookmarkStart w:id="7" w:name="_Toc223516448"/>
      <w:r w:rsidRPr="002B4BEC">
        <w:rPr>
          <w:rFonts w:ascii="Times New Roman" w:hAnsi="Times New Roman" w:cs="Times New Roman"/>
        </w:rPr>
        <w:lastRenderedPageBreak/>
        <w:t>ΠΑΡΑΡΤΗΜΑ</w:t>
      </w:r>
    </w:p>
    <w:p w14:paraId="357F7139" w14:textId="77C2959B" w:rsidR="00B52CAB" w:rsidRPr="002B4BEC" w:rsidRDefault="00B52CAB" w:rsidP="002B4BEC">
      <w:pPr>
        <w:pStyle w:val="PageHeading"/>
        <w:spacing w:after="240"/>
        <w:rPr>
          <w:rFonts w:ascii="Times New Roman" w:hAnsi="Times New Roman" w:cs="Times New Roman"/>
          <w:noProof/>
        </w:rPr>
      </w:pPr>
      <w:r w:rsidRPr="002B4BEC">
        <w:rPr>
          <w:rFonts w:ascii="Times New Roman" w:hAnsi="Times New Roman" w:cs="Times New Roman"/>
        </w:rPr>
        <w:t>ΑΠΟΦΑΣΗ ΤΟΥ ΕΥΡΩΠΑΪΚΟΥ ΚΟΙΝΟΒΟΥΛΙΟΥ ΚΑΙ ΤΟΥ ΣΥΜΒΟΥΛΙΟΥ</w:t>
      </w:r>
      <w:bookmarkEnd w:id="7"/>
    </w:p>
    <w:p w14:paraId="75276DCC" w14:textId="77777777" w:rsidR="00B52CAB" w:rsidRPr="00110C87" w:rsidRDefault="00B52CAB" w:rsidP="002B4BEC">
      <w:pPr>
        <w:pStyle w:val="Institutionquiagit"/>
        <w:spacing w:before="0" w:after="240"/>
        <w:jc w:val="center"/>
        <w:rPr>
          <w:b/>
          <w:bCs/>
        </w:rPr>
      </w:pPr>
      <w:r w:rsidRPr="002B4BEC">
        <w:rPr>
          <w:b/>
        </w:rPr>
        <w:t>για κινητοποίηση του Ευρωπαϊκού Ταμείου Προσαρμογής στην Παγκοσ</w:t>
      </w:r>
      <w:r w:rsidRPr="00110C87">
        <w:rPr>
          <w:b/>
        </w:rPr>
        <w:t>μιοποίηση για τους απολυμένους εργαζόμενους ύστερα από αίτηση του Βελγίου — EGF/2025/004 BE/ Tupperware</w:t>
      </w:r>
    </w:p>
    <w:p w14:paraId="3FE485E6" w14:textId="77777777" w:rsidR="008F2078" w:rsidRDefault="008F2078" w:rsidP="008F2078">
      <w:pPr>
        <w:rPr>
          <w:b/>
        </w:rPr>
      </w:pPr>
    </w:p>
    <w:p w14:paraId="3CF19E0C" w14:textId="6425F105" w:rsidR="008F2078" w:rsidRPr="00BE2C3E" w:rsidRDefault="008F2078" w:rsidP="008F2078">
      <w:pPr>
        <w:rPr>
          <w:i/>
        </w:rPr>
      </w:pPr>
      <w:bookmarkStart w:id="8" w:name="_Hlk211942854"/>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8F2078">
        <w:rPr>
          <w:i/>
        </w:rPr>
        <w:t>6</w:t>
      </w:r>
      <w:r>
        <w:rPr>
          <w:i/>
        </w:rPr>
        <w:t>/</w:t>
      </w:r>
      <w:r w:rsidRPr="008F2078">
        <w:rPr>
          <w:i/>
        </w:rPr>
        <w:t>723</w:t>
      </w:r>
      <w:r>
        <w:rPr>
          <w:i/>
        </w:rPr>
        <w:t>.)</w:t>
      </w:r>
    </w:p>
    <w:bookmarkEnd w:id="8"/>
    <w:p w14:paraId="09A18BDB" w14:textId="097A9CF8" w:rsidR="00E365E1" w:rsidRPr="00110C87" w:rsidRDefault="00E365E1" w:rsidP="008F2078">
      <w:pPr>
        <w:pStyle w:val="Institutionquiagit"/>
        <w:spacing w:after="240"/>
      </w:pPr>
    </w:p>
    <w:sectPr w:rsidR="00E365E1" w:rsidRPr="00110C87" w:rsidSect="00110C8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1261" w14:textId="77777777" w:rsidR="00577F20" w:rsidRPr="00110C87" w:rsidRDefault="00577F20">
      <w:r w:rsidRPr="00110C87">
        <w:separator/>
      </w:r>
    </w:p>
  </w:endnote>
  <w:endnote w:type="continuationSeparator" w:id="0">
    <w:p w14:paraId="6B5B2C43" w14:textId="77777777" w:rsidR="00577F20" w:rsidRPr="00110C87" w:rsidRDefault="00577F20">
      <w:r w:rsidRPr="00110C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A1CE" w14:textId="77777777" w:rsidR="00B52CAB" w:rsidRPr="00110C87" w:rsidRDefault="00B52CAB" w:rsidP="0028484D">
    <w:pPr>
      <w:pStyle w:val="EPFooter"/>
    </w:pPr>
    <w:r w:rsidRPr="00110C87">
      <w:t>PE</w:t>
    </w:r>
    <w:r w:rsidRPr="00110C87">
      <w:rPr>
        <w:rStyle w:val="HideTWBExt"/>
      </w:rPr>
      <w:t>&lt;NoPE&gt;</w:t>
    </w:r>
    <w:r w:rsidRPr="00110C87">
      <w:t>782.416</w:t>
    </w:r>
    <w:r w:rsidRPr="00110C87">
      <w:rPr>
        <w:rStyle w:val="HideTWBExt"/>
      </w:rPr>
      <w:t>&lt;/NoPE&gt;&lt;Version&gt;</w:t>
    </w:r>
    <w:r w:rsidRPr="00110C87">
      <w:t>v02-00</w:t>
    </w:r>
    <w:r w:rsidRPr="00110C87">
      <w:rPr>
        <w:rStyle w:val="HideTWBExt"/>
      </w:rPr>
      <w:t>&lt;/Version&gt;</w:t>
    </w:r>
    <w:r w:rsidRPr="00110C87">
      <w:tab/>
    </w:r>
    <w:r w:rsidRPr="00110C87">
      <w:fldChar w:fldCharType="begin"/>
    </w:r>
    <w:r w:rsidRPr="00110C87">
      <w:instrText xml:space="preserve"> PAGE  \* MERGEFORMAT </w:instrText>
    </w:r>
    <w:r w:rsidRPr="00110C87">
      <w:fldChar w:fldCharType="separate"/>
    </w:r>
    <w:r w:rsidRPr="00110C87">
      <w:rPr>
        <w:noProof/>
      </w:rPr>
      <w:t>1</w:t>
    </w:r>
    <w:r w:rsidRPr="00110C87">
      <w:fldChar w:fldCharType="end"/>
    </w:r>
    <w:r w:rsidRPr="00110C87">
      <w:t>/</w:t>
    </w:r>
    <w:fldSimple w:instr=" NUMPAGES  \* MERGEFORMAT ">
      <w:r w:rsidRPr="00110C87">
        <w:rPr>
          <w:noProof/>
        </w:rPr>
        <w:t>1</w:t>
      </w:r>
    </w:fldSimple>
    <w:r w:rsidRPr="00110C87">
      <w:tab/>
    </w:r>
    <w:r w:rsidRPr="00110C87">
      <w:rPr>
        <w:rStyle w:val="HideTWBExt"/>
      </w:rPr>
      <w:t>&lt;PathFdR&gt;</w:t>
    </w:r>
    <w:r w:rsidRPr="00110C87">
      <w:t>RR\1338392EL.docx</w:t>
    </w:r>
    <w:r w:rsidRPr="00110C87">
      <w:rPr>
        <w:rStyle w:val="HideTWBExt"/>
      </w:rPr>
      <w:t>&lt;/PathFdR&gt;</w:t>
    </w:r>
  </w:p>
  <w:p w14:paraId="50672AE2" w14:textId="77777777" w:rsidR="00B52CAB" w:rsidRPr="00110C87" w:rsidRDefault="00B52CAB" w:rsidP="0028484D">
    <w:pPr>
      <w:pStyle w:val="EPFooter2"/>
    </w:pPr>
    <w:r w:rsidRPr="00110C8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B2AC" w14:textId="77777777" w:rsidR="00B52CAB" w:rsidRPr="00110C87" w:rsidRDefault="00B52CAB" w:rsidP="0028484D">
    <w:pPr>
      <w:pStyle w:val="EPFooter"/>
    </w:pPr>
    <w:r w:rsidRPr="00110C87">
      <w:rPr>
        <w:rStyle w:val="HideTWBExt"/>
      </w:rPr>
      <w:t>&lt;PathFdR&gt;</w:t>
    </w:r>
    <w:r w:rsidRPr="00110C87">
      <w:t>RR\1338392EL.docx</w:t>
    </w:r>
    <w:r w:rsidRPr="00110C87">
      <w:rPr>
        <w:rStyle w:val="HideTWBExt"/>
      </w:rPr>
      <w:t>&lt;/PathFdR&gt;</w:t>
    </w:r>
    <w:r w:rsidRPr="00110C87">
      <w:tab/>
    </w:r>
    <w:r w:rsidRPr="00110C87">
      <w:tab/>
      <w:t>PE</w:t>
    </w:r>
    <w:r w:rsidRPr="00110C87">
      <w:rPr>
        <w:rStyle w:val="HideTWBExt"/>
      </w:rPr>
      <w:t>&lt;NoPE&gt;</w:t>
    </w:r>
    <w:r w:rsidRPr="00110C87">
      <w:t>782.416</w:t>
    </w:r>
    <w:r w:rsidRPr="00110C87">
      <w:rPr>
        <w:rStyle w:val="HideTWBExt"/>
      </w:rPr>
      <w:t>&lt;/NoPE&gt;&lt;Version&gt;</w:t>
    </w:r>
    <w:r w:rsidRPr="00110C87">
      <w:t>v02-00</w:t>
    </w:r>
    <w:r w:rsidRPr="00110C87">
      <w:rPr>
        <w:rStyle w:val="HideTWBExt"/>
      </w:rPr>
      <w:t>&lt;/Version&gt;</w:t>
    </w:r>
  </w:p>
  <w:p w14:paraId="7C213B56" w14:textId="77777777" w:rsidR="00B52CAB" w:rsidRPr="00110C87" w:rsidRDefault="00B52CAB" w:rsidP="0028484D">
    <w:pPr>
      <w:pStyle w:val="EPFooter2"/>
    </w:pPr>
    <w:r w:rsidRPr="00110C87">
      <w:t>EL</w:t>
    </w:r>
    <w:r w:rsidRPr="00110C87">
      <w:tab/>
    </w:r>
    <w:r w:rsidRPr="00110C87">
      <w:rPr>
        <w:b w:val="0"/>
        <w:i/>
        <w:color w:val="C0C0C0"/>
        <w:sz w:val="22"/>
      </w:rPr>
      <w:t>Ενωμένη στην πολυμορφία</w:t>
    </w:r>
    <w:r w:rsidRPr="00110C8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7ACC" w14:textId="77777777" w:rsidR="00064002" w:rsidRPr="00110C8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5730" w14:textId="77777777" w:rsidR="00064002" w:rsidRPr="00110C8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B97F" w14:textId="77777777" w:rsidR="00064002" w:rsidRPr="00110C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95A1" w14:textId="77777777" w:rsidR="00577F20" w:rsidRPr="00110C87" w:rsidRDefault="00577F20">
      <w:r w:rsidRPr="00110C87">
        <w:separator/>
      </w:r>
    </w:p>
  </w:footnote>
  <w:footnote w:type="continuationSeparator" w:id="0">
    <w:p w14:paraId="0E842CCA" w14:textId="77777777" w:rsidR="00577F20" w:rsidRPr="00110C87" w:rsidRDefault="00577F20">
      <w:r w:rsidRPr="00110C87">
        <w:continuationSeparator/>
      </w:r>
    </w:p>
  </w:footnote>
  <w:footnote w:id="1">
    <w:p w14:paraId="18DC5E5F" w14:textId="1A5D33AF"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lang w:val="el-GR"/>
        </w:rPr>
        <w:t xml:space="preserve"> </w:t>
      </w:r>
      <w:r w:rsidR="00110C87" w:rsidRPr="00110C87">
        <w:rPr>
          <w:sz w:val="24"/>
          <w:lang w:val="el-GR"/>
        </w:rPr>
        <w:tab/>
      </w:r>
      <w:r w:rsidRPr="00110C87">
        <w:rPr>
          <w:sz w:val="24"/>
          <w:lang w:val="el-GR"/>
        </w:rPr>
        <w:t xml:space="preserve">ΕΕ L 153 της 3.5.2021, σ. 48, ELI: </w:t>
      </w:r>
      <w:hyperlink r:id="rId1" w:history="1">
        <w:r w:rsidRPr="00110C87">
          <w:rPr>
            <w:rStyle w:val="Hyperlink"/>
            <w:sz w:val="24"/>
            <w:lang w:val="el-GR"/>
          </w:rPr>
          <w:t>http://data.europa.eu/eli/reg/2021/691/oj</w:t>
        </w:r>
      </w:hyperlink>
      <w:r w:rsidRPr="00110C87">
        <w:rPr>
          <w:sz w:val="24"/>
          <w:lang w:val="el-GR"/>
        </w:rPr>
        <w:t>.</w:t>
      </w:r>
    </w:p>
  </w:footnote>
  <w:footnote w:id="2">
    <w:p w14:paraId="591D189C" w14:textId="4ED02169"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lang w:val="el-GR"/>
        </w:rPr>
        <w:t xml:space="preserve"> </w:t>
      </w:r>
      <w:r w:rsidR="00110C87" w:rsidRPr="00110C87">
        <w:rPr>
          <w:sz w:val="24"/>
          <w:lang w:val="el-GR"/>
        </w:rPr>
        <w:tab/>
      </w:r>
      <w:r w:rsidRPr="00110C87">
        <w:rPr>
          <w:sz w:val="24"/>
          <w:lang w:val="el-GR"/>
        </w:rPr>
        <w:t xml:space="preserve">ΕΕ L 433 I της 22.12.2020, σ. </w:t>
      </w:r>
      <w:r w:rsidRPr="00110C87">
        <w:rPr>
          <w:sz w:val="24"/>
          <w:lang w:val="el-GR"/>
        </w:rPr>
        <w:t xml:space="preserve">11, ELI: </w:t>
      </w:r>
      <w:r>
        <w:fldChar w:fldCharType="begin"/>
      </w:r>
      <w:r>
        <w:instrText>HYPERLINK</w:instrText>
      </w:r>
      <w:r w:rsidRPr="008F2078">
        <w:rPr>
          <w:lang w:val="el-GR"/>
        </w:rPr>
        <w:instrText xml:space="preserve"> "</w:instrText>
      </w:r>
      <w:r>
        <w:instrText>http</w:instrText>
      </w:r>
      <w:r w:rsidRPr="008F2078">
        <w:rPr>
          <w:lang w:val="el-GR"/>
        </w:rPr>
        <w:instrText>://</w:instrText>
      </w:r>
      <w:r>
        <w:instrText>data</w:instrText>
      </w:r>
      <w:r w:rsidRPr="008F2078">
        <w:rPr>
          <w:lang w:val="el-GR"/>
        </w:rPr>
        <w:instrText>.</w:instrText>
      </w:r>
      <w:r>
        <w:instrText>europa</w:instrText>
      </w:r>
      <w:r w:rsidRPr="008F2078">
        <w:rPr>
          <w:lang w:val="el-GR"/>
        </w:rPr>
        <w:instrText>.</w:instrText>
      </w:r>
      <w:r>
        <w:instrText>eu</w:instrText>
      </w:r>
      <w:r w:rsidRPr="008F2078">
        <w:rPr>
          <w:lang w:val="el-GR"/>
        </w:rPr>
        <w:instrText>/</w:instrText>
      </w:r>
      <w:r>
        <w:instrText>eli</w:instrText>
      </w:r>
      <w:r w:rsidRPr="008F2078">
        <w:rPr>
          <w:lang w:val="el-GR"/>
        </w:rPr>
        <w:instrText>/</w:instrText>
      </w:r>
      <w:r>
        <w:instrText>reg</w:instrText>
      </w:r>
      <w:r w:rsidRPr="008F2078">
        <w:rPr>
          <w:lang w:val="el-GR"/>
        </w:rPr>
        <w:instrText>/2020/2093/</w:instrText>
      </w:r>
      <w:r>
        <w:instrText>oj</w:instrText>
      </w:r>
      <w:r w:rsidRPr="008F2078">
        <w:rPr>
          <w:lang w:val="el-GR"/>
        </w:rPr>
        <w:instrText>"</w:instrText>
      </w:r>
      <w:r>
        <w:fldChar w:fldCharType="separate"/>
      </w:r>
      <w:r w:rsidRPr="00110C87">
        <w:rPr>
          <w:rStyle w:val="Hyperlink"/>
          <w:sz w:val="24"/>
          <w:lang w:val="el-GR"/>
        </w:rPr>
        <w:t>http://data.europa.eu/eli/reg/2020/2093/oj</w:t>
      </w:r>
      <w:r>
        <w:fldChar w:fldCharType="end"/>
      </w:r>
      <w:r w:rsidRPr="00110C87">
        <w:rPr>
          <w:sz w:val="24"/>
          <w:lang w:val="el-GR"/>
        </w:rPr>
        <w:t>.</w:t>
      </w:r>
    </w:p>
  </w:footnote>
  <w:footnote w:id="3">
    <w:p w14:paraId="4C45F80E" w14:textId="5C8D92CD"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shd w:val="clear" w:color="auto" w:fill="FFFFFF"/>
          <w:lang w:val="el-GR"/>
        </w:rPr>
        <w:t xml:space="preserve"> </w:t>
      </w:r>
      <w:r w:rsidR="00110C87" w:rsidRPr="00110C87">
        <w:rPr>
          <w:sz w:val="24"/>
          <w:shd w:val="clear" w:color="auto" w:fill="FFFFFF"/>
          <w:lang w:val="el-GR"/>
        </w:rPr>
        <w:tab/>
      </w:r>
      <w:r w:rsidRPr="00110C87">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w:t>
      </w:r>
      <w:r w:rsidRPr="00110C87">
        <w:rPr>
          <w:color w:val="333333"/>
          <w:sz w:val="24"/>
          <w:shd w:val="clear" w:color="auto" w:fill="FFFFFF"/>
          <w:lang w:val="el-GR"/>
        </w:rPr>
        <w:t xml:space="preserve"> </w:t>
      </w:r>
      <w:r>
        <w:fldChar w:fldCharType="begin"/>
      </w:r>
      <w:r>
        <w:instrText>HYPERLINK</w:instrText>
      </w:r>
      <w:r w:rsidRPr="008F2078">
        <w:rPr>
          <w:lang w:val="el-GR"/>
        </w:rPr>
        <w:instrText xml:space="preserve"> "</w:instrText>
      </w:r>
      <w:r>
        <w:instrText>http</w:instrText>
      </w:r>
      <w:r w:rsidRPr="008F2078">
        <w:rPr>
          <w:lang w:val="el-GR"/>
        </w:rPr>
        <w:instrText>://</w:instrText>
      </w:r>
      <w:r>
        <w:instrText>data</w:instrText>
      </w:r>
      <w:r w:rsidRPr="008F2078">
        <w:rPr>
          <w:lang w:val="el-GR"/>
        </w:rPr>
        <w:instrText>.</w:instrText>
      </w:r>
      <w:r>
        <w:instrText>europa</w:instrText>
      </w:r>
      <w:r w:rsidRPr="008F2078">
        <w:rPr>
          <w:lang w:val="el-GR"/>
        </w:rPr>
        <w:instrText>.</w:instrText>
      </w:r>
      <w:r>
        <w:instrText>eu</w:instrText>
      </w:r>
      <w:r w:rsidRPr="008F2078">
        <w:rPr>
          <w:lang w:val="el-GR"/>
        </w:rPr>
        <w:instrText>/</w:instrText>
      </w:r>
      <w:r>
        <w:instrText>eli</w:instrText>
      </w:r>
      <w:r w:rsidRPr="008F2078">
        <w:rPr>
          <w:lang w:val="el-GR"/>
        </w:rPr>
        <w:instrText>/</w:instrText>
      </w:r>
      <w:r>
        <w:instrText>reg</w:instrText>
      </w:r>
      <w:r w:rsidRPr="008F2078">
        <w:rPr>
          <w:lang w:val="el-GR"/>
        </w:rPr>
        <w:instrText>/2024/765/</w:instrText>
      </w:r>
      <w:r>
        <w:instrText>oj</w:instrText>
      </w:r>
      <w:r w:rsidRPr="008F2078">
        <w:rPr>
          <w:lang w:val="el-GR"/>
        </w:rPr>
        <w:instrText>"</w:instrText>
      </w:r>
      <w:r>
        <w:fldChar w:fldCharType="separate"/>
      </w:r>
      <w:r w:rsidRPr="00110C87">
        <w:rPr>
          <w:rStyle w:val="Hyperlink"/>
          <w:sz w:val="24"/>
          <w:shd w:val="clear" w:color="auto" w:fill="FFFFFF"/>
          <w:lang w:val="el-GR"/>
        </w:rPr>
        <w:t>http://data.europa.eu/eli/reg/2024/765/oj</w:t>
      </w:r>
      <w:r>
        <w:fldChar w:fldCharType="end"/>
      </w:r>
      <w:r w:rsidRPr="002F5C58">
        <w:rPr>
          <w:iCs/>
          <w:color w:val="333333"/>
          <w:sz w:val="24"/>
          <w:shd w:val="clear" w:color="auto" w:fill="FFFFFF"/>
          <w:lang w:val="el-GR"/>
        </w:rPr>
        <w:t>).</w:t>
      </w:r>
    </w:p>
  </w:footnote>
  <w:footnote w:id="4">
    <w:p w14:paraId="334A13B1" w14:textId="136D0DFE"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lang w:val="el-GR"/>
        </w:rPr>
        <w:t xml:space="preserve"> </w:t>
      </w:r>
      <w:r w:rsidR="00110C87" w:rsidRPr="00110C87">
        <w:rPr>
          <w:sz w:val="24"/>
          <w:lang w:val="el-GR"/>
        </w:rPr>
        <w:tab/>
      </w:r>
      <w:r w:rsidRPr="00110C87">
        <w:rPr>
          <w:sz w:val="24"/>
          <w:lang w:val="el-GR"/>
        </w:rPr>
        <w:t xml:space="preserve">ΕΕ L 433 I της 22.12.2020, σ. </w:t>
      </w:r>
      <w:r w:rsidRPr="00110C87">
        <w:rPr>
          <w:sz w:val="24"/>
          <w:lang w:val="el-GR"/>
        </w:rPr>
        <w:t xml:space="preserve">28, ELI: </w:t>
      </w:r>
      <w:r>
        <w:fldChar w:fldCharType="begin"/>
      </w:r>
      <w:r>
        <w:instrText>HYPERLINK</w:instrText>
      </w:r>
      <w:r w:rsidRPr="008F2078">
        <w:rPr>
          <w:lang w:val="el-GR"/>
        </w:rPr>
        <w:instrText xml:space="preserve"> "</w:instrText>
      </w:r>
      <w:r>
        <w:instrText>http</w:instrText>
      </w:r>
      <w:r w:rsidRPr="008F2078">
        <w:rPr>
          <w:lang w:val="el-GR"/>
        </w:rPr>
        <w:instrText>://</w:instrText>
      </w:r>
      <w:r>
        <w:instrText>data</w:instrText>
      </w:r>
      <w:r w:rsidRPr="008F2078">
        <w:rPr>
          <w:lang w:val="el-GR"/>
        </w:rPr>
        <w:instrText>.</w:instrText>
      </w:r>
      <w:r>
        <w:instrText>europa</w:instrText>
      </w:r>
      <w:r w:rsidRPr="008F2078">
        <w:rPr>
          <w:lang w:val="el-GR"/>
        </w:rPr>
        <w:instrText>.</w:instrText>
      </w:r>
      <w:r>
        <w:instrText>eu</w:instrText>
      </w:r>
      <w:r w:rsidRPr="008F2078">
        <w:rPr>
          <w:lang w:val="el-GR"/>
        </w:rPr>
        <w:instrText>/</w:instrText>
      </w:r>
      <w:r>
        <w:instrText>eli</w:instrText>
      </w:r>
      <w:r w:rsidRPr="008F2078">
        <w:rPr>
          <w:lang w:val="el-GR"/>
        </w:rPr>
        <w:instrText>/</w:instrText>
      </w:r>
      <w:r>
        <w:instrText>agree</w:instrText>
      </w:r>
      <w:r w:rsidRPr="008F2078">
        <w:rPr>
          <w:lang w:val="el-GR"/>
        </w:rPr>
        <w:instrText>_</w:instrText>
      </w:r>
      <w:r>
        <w:instrText>interinstit</w:instrText>
      </w:r>
      <w:r w:rsidRPr="008F2078">
        <w:rPr>
          <w:lang w:val="el-GR"/>
        </w:rPr>
        <w:instrText>/2020/1222/</w:instrText>
      </w:r>
      <w:r>
        <w:instrText>oj</w:instrText>
      </w:r>
      <w:r w:rsidRPr="008F2078">
        <w:rPr>
          <w:lang w:val="el-GR"/>
        </w:rPr>
        <w:instrText>"</w:instrText>
      </w:r>
      <w:r>
        <w:fldChar w:fldCharType="separate"/>
      </w:r>
      <w:r w:rsidRPr="00110C87">
        <w:rPr>
          <w:rStyle w:val="Hyperlink"/>
          <w:sz w:val="24"/>
          <w:lang w:val="el-GR"/>
        </w:rPr>
        <w:t>http://data.europa.eu/eli/agree_interinstit/2020/1222/oj</w:t>
      </w:r>
      <w:r>
        <w:fldChar w:fldCharType="end"/>
      </w:r>
      <w:r w:rsidRPr="00110C87">
        <w:rPr>
          <w:sz w:val="24"/>
          <w:lang w:val="el-GR"/>
        </w:rPr>
        <w:t>.</w:t>
      </w:r>
    </w:p>
  </w:footnote>
  <w:footnote w:id="5">
    <w:p w14:paraId="3BE248A4" w14:textId="7ABC2F51"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lang w:val="el-GR"/>
        </w:rPr>
        <w:t xml:space="preserve"> </w:t>
      </w:r>
      <w:r w:rsidR="00110C87" w:rsidRPr="00110C87">
        <w:rPr>
          <w:sz w:val="24"/>
          <w:lang w:val="el-GR"/>
        </w:rPr>
        <w:tab/>
      </w:r>
      <w:r w:rsidRPr="00110C87">
        <w:rPr>
          <w:sz w:val="24"/>
          <w:lang w:val="el-GR"/>
        </w:rPr>
        <w:t>Κατά την έννοια του άρθρου 3 του κανονισμού ΕΤΠ.</w:t>
      </w:r>
    </w:p>
  </w:footnote>
  <w:footnote w:id="6">
    <w:p w14:paraId="73097F29" w14:textId="0B2ED8C6" w:rsidR="00B52CAB" w:rsidRPr="00110C87" w:rsidRDefault="00B52CAB" w:rsidP="00110C87">
      <w:pPr>
        <w:pStyle w:val="FootnoteText"/>
        <w:ind w:left="567" w:hanging="567"/>
        <w:rPr>
          <w:sz w:val="24"/>
          <w:lang w:val="el-GR"/>
        </w:rPr>
      </w:pPr>
      <w:r w:rsidRPr="00110C87">
        <w:rPr>
          <w:rStyle w:val="FootnoteReference"/>
          <w:sz w:val="24"/>
          <w:lang w:val="el-GR"/>
        </w:rPr>
        <w:footnoteRef/>
      </w:r>
      <w:r w:rsidR="00110C87" w:rsidRPr="00110C87">
        <w:rPr>
          <w:sz w:val="24"/>
          <w:lang w:val="el-GR"/>
        </w:rPr>
        <w:t xml:space="preserve"> </w:t>
      </w:r>
      <w:r w:rsidR="00110C87" w:rsidRPr="00110C87">
        <w:rPr>
          <w:sz w:val="24"/>
          <w:lang w:val="el-GR"/>
        </w:rPr>
        <w:tab/>
      </w:r>
      <w:r w:rsidRPr="00110C87">
        <w:rPr>
          <w:sz w:val="24"/>
          <w:lang w:val="el-GR"/>
        </w:rPr>
        <w:t>Άρθρο 8 του κανονισμού για το ΠΔΠ.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D96A" w14:textId="77777777" w:rsidR="00064002" w:rsidRPr="00110C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D618" w14:textId="77777777" w:rsidR="00064002" w:rsidRPr="00110C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D51B" w14:textId="77777777" w:rsidR="00064002" w:rsidRPr="00110C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272BC"/>
    <w:multiLevelType w:val="hybridMultilevel"/>
    <w:tmpl w:val="E146BB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5B2310"/>
    <w:multiLevelType w:val="hybridMultilevel"/>
    <w:tmpl w:val="4246C828"/>
    <w:lvl w:ilvl="0" w:tplc="C366C00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7197477">
    <w:abstractNumId w:val="9"/>
  </w:num>
  <w:num w:numId="2" w16cid:durableId="1206530624">
    <w:abstractNumId w:val="9"/>
  </w:num>
  <w:num w:numId="3" w16cid:durableId="967973231">
    <w:abstractNumId w:val="7"/>
  </w:num>
  <w:num w:numId="4" w16cid:durableId="1126703243">
    <w:abstractNumId w:val="7"/>
  </w:num>
  <w:num w:numId="5" w16cid:durableId="1156608150">
    <w:abstractNumId w:val="6"/>
  </w:num>
  <w:num w:numId="6" w16cid:durableId="347954622">
    <w:abstractNumId w:val="6"/>
  </w:num>
  <w:num w:numId="7" w16cid:durableId="981426490">
    <w:abstractNumId w:val="5"/>
  </w:num>
  <w:num w:numId="8" w16cid:durableId="457770617">
    <w:abstractNumId w:val="5"/>
  </w:num>
  <w:num w:numId="9" w16cid:durableId="489055021">
    <w:abstractNumId w:val="4"/>
  </w:num>
  <w:num w:numId="10" w16cid:durableId="1281064305">
    <w:abstractNumId w:val="4"/>
  </w:num>
  <w:num w:numId="11" w16cid:durableId="120652057">
    <w:abstractNumId w:val="8"/>
  </w:num>
  <w:num w:numId="12" w16cid:durableId="766996414">
    <w:abstractNumId w:val="8"/>
  </w:num>
  <w:num w:numId="13" w16cid:durableId="1533302604">
    <w:abstractNumId w:val="3"/>
  </w:num>
  <w:num w:numId="14" w16cid:durableId="264919144">
    <w:abstractNumId w:val="3"/>
  </w:num>
  <w:num w:numId="15" w16cid:durableId="226578071">
    <w:abstractNumId w:val="2"/>
  </w:num>
  <w:num w:numId="16" w16cid:durableId="222837193">
    <w:abstractNumId w:val="2"/>
  </w:num>
  <w:num w:numId="17" w16cid:durableId="1133846">
    <w:abstractNumId w:val="1"/>
  </w:num>
  <w:num w:numId="18" w16cid:durableId="1370491120">
    <w:abstractNumId w:val="1"/>
  </w:num>
  <w:num w:numId="19" w16cid:durableId="1194808185">
    <w:abstractNumId w:val="0"/>
  </w:num>
  <w:num w:numId="20" w16cid:durableId="269701036">
    <w:abstractNumId w:val="0"/>
  </w:num>
  <w:num w:numId="21" w16cid:durableId="441536070">
    <w:abstractNumId w:val="9"/>
  </w:num>
  <w:num w:numId="22" w16cid:durableId="407775920">
    <w:abstractNumId w:val="7"/>
  </w:num>
  <w:num w:numId="23" w16cid:durableId="1936356783">
    <w:abstractNumId w:val="6"/>
  </w:num>
  <w:num w:numId="24" w16cid:durableId="758982250">
    <w:abstractNumId w:val="5"/>
  </w:num>
  <w:num w:numId="25" w16cid:durableId="996882227">
    <w:abstractNumId w:val="4"/>
  </w:num>
  <w:num w:numId="26" w16cid:durableId="1564632741">
    <w:abstractNumId w:val="8"/>
  </w:num>
  <w:num w:numId="27" w16cid:durableId="1915896725">
    <w:abstractNumId w:val="3"/>
  </w:num>
  <w:num w:numId="28" w16cid:durableId="632948027">
    <w:abstractNumId w:val="2"/>
  </w:num>
  <w:num w:numId="29" w16cid:durableId="2137213854">
    <w:abstractNumId w:val="1"/>
  </w:num>
  <w:num w:numId="30" w16cid:durableId="1949892877">
    <w:abstractNumId w:val="0"/>
  </w:num>
  <w:num w:numId="31" w16cid:durableId="1856772035">
    <w:abstractNumId w:val="9"/>
  </w:num>
  <w:num w:numId="32" w16cid:durableId="1929457104">
    <w:abstractNumId w:val="7"/>
  </w:num>
  <w:num w:numId="33" w16cid:durableId="135729430">
    <w:abstractNumId w:val="6"/>
  </w:num>
  <w:num w:numId="34" w16cid:durableId="203255469">
    <w:abstractNumId w:val="5"/>
  </w:num>
  <w:num w:numId="35" w16cid:durableId="502548921">
    <w:abstractNumId w:val="4"/>
  </w:num>
  <w:num w:numId="36" w16cid:durableId="1619020127">
    <w:abstractNumId w:val="8"/>
  </w:num>
  <w:num w:numId="37" w16cid:durableId="1322462890">
    <w:abstractNumId w:val="3"/>
  </w:num>
  <w:num w:numId="38" w16cid:durableId="420375096">
    <w:abstractNumId w:val="2"/>
  </w:num>
  <w:num w:numId="39" w16cid:durableId="390736743">
    <w:abstractNumId w:val="1"/>
  </w:num>
  <w:num w:numId="40" w16cid:durableId="659037898">
    <w:abstractNumId w:val="0"/>
  </w:num>
  <w:num w:numId="41" w16cid:durableId="2126578251">
    <w:abstractNumId w:val="10"/>
  </w:num>
  <w:num w:numId="42" w16cid:durableId="634338386">
    <w:abstractNumId w:val="10"/>
  </w:num>
  <w:num w:numId="43" w16cid:durableId="1219708138">
    <w:abstractNumId w:val="10"/>
  </w:num>
  <w:num w:numId="44" w16cid:durableId="2055503135">
    <w:abstractNumId w:val="13"/>
  </w:num>
  <w:num w:numId="45" w16cid:durableId="1374648685">
    <w:abstractNumId w:val="11"/>
  </w:num>
  <w:num w:numId="46" w16cid:durableId="12471056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EL"/>
    <w:docVar w:name="dvnumam" w:val="0"/>
    <w:docVar w:name="dvpe" w:val="782.416"/>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4 BE/Tupperware (COM(2026)0001 – C10-0012/2026 – 2026/0004(BUD))"/>
  </w:docVars>
  <w:rsids>
    <w:rsidRoot w:val="00577F20"/>
    <w:rsid w:val="00002272"/>
    <w:rsid w:val="00064002"/>
    <w:rsid w:val="000677B9"/>
    <w:rsid w:val="000831BA"/>
    <w:rsid w:val="000A42CC"/>
    <w:rsid w:val="000E7DD9"/>
    <w:rsid w:val="0010095E"/>
    <w:rsid w:val="00110C87"/>
    <w:rsid w:val="00125B37"/>
    <w:rsid w:val="00187494"/>
    <w:rsid w:val="001F32AE"/>
    <w:rsid w:val="002767FF"/>
    <w:rsid w:val="002B18FE"/>
    <w:rsid w:val="002B4BEC"/>
    <w:rsid w:val="002B5493"/>
    <w:rsid w:val="002F5C58"/>
    <w:rsid w:val="00343214"/>
    <w:rsid w:val="00361C00"/>
    <w:rsid w:val="00361E2E"/>
    <w:rsid w:val="00395FA1"/>
    <w:rsid w:val="003E15D4"/>
    <w:rsid w:val="00411CCE"/>
    <w:rsid w:val="0041666E"/>
    <w:rsid w:val="00421060"/>
    <w:rsid w:val="00471C19"/>
    <w:rsid w:val="004867E3"/>
    <w:rsid w:val="0049219E"/>
    <w:rsid w:val="00494A28"/>
    <w:rsid w:val="004C0004"/>
    <w:rsid w:val="004C3B2F"/>
    <w:rsid w:val="004C5D52"/>
    <w:rsid w:val="0050519A"/>
    <w:rsid w:val="005072A1"/>
    <w:rsid w:val="00514517"/>
    <w:rsid w:val="00545827"/>
    <w:rsid w:val="00560270"/>
    <w:rsid w:val="00577F20"/>
    <w:rsid w:val="005C2568"/>
    <w:rsid w:val="005F1B17"/>
    <w:rsid w:val="006037C0"/>
    <w:rsid w:val="006631B6"/>
    <w:rsid w:val="00680577"/>
    <w:rsid w:val="006F74FA"/>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40E5"/>
    <w:rsid w:val="00887B3E"/>
    <w:rsid w:val="008C2AC6"/>
    <w:rsid w:val="008F2078"/>
    <w:rsid w:val="00930C23"/>
    <w:rsid w:val="0093193B"/>
    <w:rsid w:val="009509D8"/>
    <w:rsid w:val="00950B64"/>
    <w:rsid w:val="00981893"/>
    <w:rsid w:val="00A149D2"/>
    <w:rsid w:val="00A1687D"/>
    <w:rsid w:val="00A43E52"/>
    <w:rsid w:val="00A4678D"/>
    <w:rsid w:val="00A778C7"/>
    <w:rsid w:val="00AB441E"/>
    <w:rsid w:val="00AB6293"/>
    <w:rsid w:val="00AC6B28"/>
    <w:rsid w:val="00AE0928"/>
    <w:rsid w:val="00AF3B82"/>
    <w:rsid w:val="00B12E95"/>
    <w:rsid w:val="00B22876"/>
    <w:rsid w:val="00B52CAB"/>
    <w:rsid w:val="00B558F0"/>
    <w:rsid w:val="00B90F91"/>
    <w:rsid w:val="00B9280A"/>
    <w:rsid w:val="00BD48FE"/>
    <w:rsid w:val="00BD7BD8"/>
    <w:rsid w:val="00BE6ADC"/>
    <w:rsid w:val="00C05BFE"/>
    <w:rsid w:val="00C23CD4"/>
    <w:rsid w:val="00C61C0C"/>
    <w:rsid w:val="00C941CB"/>
    <w:rsid w:val="00CC2357"/>
    <w:rsid w:val="00CD2D1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24C88"/>
  <w15:chartTrackingRefBased/>
  <w15:docId w15:val="{4C8AE975-DB97-4CC2-9E8E-9071DFAF5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2CA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52CAB"/>
    <w:pPr>
      <w:keepNext/>
      <w:spacing w:after="480"/>
      <w:jc w:val="center"/>
    </w:pPr>
    <w:rPr>
      <w:rFonts w:ascii="Arial" w:hAnsi="Arial" w:cs="Arial"/>
      <w:b/>
    </w:rPr>
  </w:style>
  <w:style w:type="paragraph" w:customStyle="1" w:styleId="NormalHanging12a">
    <w:name w:val="NormalHanging12a"/>
    <w:basedOn w:val="Normal"/>
    <w:link w:val="NormalHanging12aChar"/>
    <w:rsid w:val="00B52CAB"/>
    <w:pPr>
      <w:spacing w:after="240"/>
      <w:ind w:left="567" w:hanging="567"/>
    </w:pPr>
  </w:style>
  <w:style w:type="paragraph" w:styleId="Header">
    <w:name w:val="header"/>
    <w:basedOn w:val="Normal"/>
    <w:link w:val="HeaderChar"/>
    <w:rsid w:val="00B52CAB"/>
    <w:pPr>
      <w:tabs>
        <w:tab w:val="center" w:pos="4513"/>
        <w:tab w:val="right" w:pos="9026"/>
      </w:tabs>
    </w:pPr>
  </w:style>
  <w:style w:type="character" w:customStyle="1" w:styleId="HeaderChar">
    <w:name w:val="Header Char"/>
    <w:basedOn w:val="DefaultParagraphFont"/>
    <w:link w:val="Header"/>
    <w:rsid w:val="00B52CAB"/>
    <w:rPr>
      <w:sz w:val="24"/>
      <w:lang w:val="el-GR"/>
    </w:rPr>
  </w:style>
  <w:style w:type="paragraph" w:customStyle="1" w:styleId="EPFooter">
    <w:name w:val="EPFooter"/>
    <w:basedOn w:val="Normal"/>
    <w:rsid w:val="00B52CAB"/>
    <w:pPr>
      <w:tabs>
        <w:tab w:val="center" w:pos="4535"/>
        <w:tab w:val="right" w:pos="9071"/>
      </w:tabs>
      <w:spacing w:before="240" w:after="240"/>
    </w:pPr>
    <w:rPr>
      <w:color w:val="010000"/>
      <w:sz w:val="22"/>
    </w:rPr>
  </w:style>
  <w:style w:type="paragraph" w:customStyle="1" w:styleId="EPComma">
    <w:name w:val="EPComma"/>
    <w:basedOn w:val="Normal"/>
    <w:rsid w:val="00B52CAB"/>
    <w:pPr>
      <w:spacing w:before="480" w:after="240"/>
    </w:pPr>
  </w:style>
  <w:style w:type="character" w:styleId="Hyperlink">
    <w:name w:val="Hyperlink"/>
    <w:basedOn w:val="DefaultParagraphFont"/>
    <w:uiPriority w:val="99"/>
    <w:rsid w:val="00B52CAB"/>
    <w:rPr>
      <w:color w:val="0563C1" w:themeColor="hyperlink"/>
      <w:u w:val="single"/>
    </w:rPr>
  </w:style>
  <w:style w:type="paragraph" w:customStyle="1" w:styleId="Institutionquiagit">
    <w:name w:val="Institution qui agit"/>
    <w:basedOn w:val="Normal"/>
    <w:next w:val="Normal"/>
    <w:rsid w:val="00B52CA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52CAB"/>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B52CA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52CA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52CA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52CAB"/>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B52CAB"/>
    <w:rPr>
      <w:rFonts w:ascii="Arial" w:hAnsi="Arial" w:cs="Arial"/>
      <w:b/>
      <w:sz w:val="24"/>
      <w:lang w:val="el-GR"/>
    </w:rPr>
  </w:style>
  <w:style w:type="character" w:customStyle="1" w:styleId="NormalHanging12aChar">
    <w:name w:val="NormalHanging12a Char"/>
    <w:basedOn w:val="DefaultParagraphFont"/>
    <w:link w:val="NormalHanging12a"/>
    <w:locked/>
    <w:rsid w:val="00B52CAB"/>
    <w:rPr>
      <w:sz w:val="24"/>
      <w:lang w:val="el-GR"/>
    </w:rPr>
  </w:style>
  <w:style w:type="paragraph" w:customStyle="1" w:styleId="Personnequisigne">
    <w:name w:val="Personne qui signe"/>
    <w:basedOn w:val="Normal"/>
    <w:next w:val="Institutionquisigne"/>
    <w:rsid w:val="00B52CAB"/>
    <w:pPr>
      <w:widowControl/>
      <w:tabs>
        <w:tab w:val="left" w:pos="4252"/>
      </w:tabs>
    </w:pPr>
    <w:rPr>
      <w:rFonts w:eastAsiaTheme="minorHAnsi"/>
      <w:i/>
      <w:szCs w:val="22"/>
      <w:lang w:eastAsia="en-US"/>
    </w:rPr>
  </w:style>
  <w:style w:type="paragraph" w:styleId="Footer">
    <w:name w:val="footer"/>
    <w:basedOn w:val="Normal"/>
    <w:link w:val="FooterChar"/>
    <w:rsid w:val="00AC6B28"/>
    <w:pPr>
      <w:tabs>
        <w:tab w:val="center" w:pos="4513"/>
        <w:tab w:val="right" w:pos="9026"/>
      </w:tabs>
    </w:pPr>
  </w:style>
  <w:style w:type="character" w:customStyle="1" w:styleId="FooterChar">
    <w:name w:val="Footer Char"/>
    <w:basedOn w:val="DefaultParagraphFont"/>
    <w:link w:val="Footer"/>
    <w:rsid w:val="00AC6B28"/>
    <w:rPr>
      <w:sz w:val="24"/>
      <w:lang w:val="el-GR"/>
    </w:rPr>
  </w:style>
  <w:style w:type="paragraph" w:styleId="Revision">
    <w:name w:val="Revision"/>
    <w:hidden/>
    <w:uiPriority w:val="99"/>
    <w:semiHidden/>
    <w:rsid w:val="00AC6B28"/>
    <w:rPr>
      <w:sz w:val="24"/>
      <w:lang w:val="el-GR"/>
    </w:rPr>
  </w:style>
  <w:style w:type="character" w:styleId="UnresolvedMention">
    <w:name w:val="Unresolved Mention"/>
    <w:basedOn w:val="DefaultParagraphFont"/>
    <w:uiPriority w:val="99"/>
    <w:semiHidden/>
    <w:unhideWhenUsed/>
    <w:rsid w:val="00AC6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2026-05-11T13:12:00Z</dcterms:created>
  <dcterms:modified xsi:type="dcterms:W3CDTF">2026-05-11T13:12:00Z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P10_TA(2026)0073_</vt:lpwstr>
  </property>
  <property fmtid="{D5CDD505-2E9C-101B-9397-08002B2CF9AE}" pid="4" name="&lt;Type&gt;">
    <vt:lpwstr>RR</vt:lpwstr>
  </property>
</Properties>
</file>