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1E3E" w14:paraId="2DB9F2DD" w14:textId="77777777" w:rsidTr="0010095E">
        <w:trPr>
          <w:trHeight w:hRule="exact" w:val="1418"/>
        </w:trPr>
        <w:tc>
          <w:tcPr>
            <w:tcW w:w="6804" w:type="dxa"/>
            <w:shd w:val="clear" w:color="auto" w:fill="auto"/>
            <w:vAlign w:val="center"/>
          </w:tcPr>
          <w:p w14:paraId="01F56195" w14:textId="77777777" w:rsidR="00751A4A" w:rsidRPr="002F1E3E" w:rsidRDefault="001D3E29" w:rsidP="0010095E">
            <w:pPr>
              <w:pStyle w:val="EPName"/>
            </w:pPr>
            <w:r w:rsidRPr="002F1E3E">
              <w:t>Euroopan parlamentti</w:t>
            </w:r>
          </w:p>
          <w:p w14:paraId="3DAD50BE" w14:textId="77777777" w:rsidR="00751A4A" w:rsidRPr="002F1E3E" w:rsidRDefault="005F1B17" w:rsidP="005F1B17">
            <w:pPr>
              <w:pStyle w:val="EPTerm"/>
              <w:rPr>
                <w:rStyle w:val="HideTWBExt"/>
                <w:noProof w:val="0"/>
                <w:vanish w:val="0"/>
                <w:color w:val="auto"/>
              </w:rPr>
            </w:pPr>
            <w:r w:rsidRPr="002F1E3E">
              <w:t>2024</w:t>
            </w:r>
            <w:r w:rsidR="00817416" w:rsidRPr="002F1E3E">
              <w:t>-202</w:t>
            </w:r>
            <w:r w:rsidRPr="002F1E3E">
              <w:t>9</w:t>
            </w:r>
          </w:p>
        </w:tc>
        <w:tc>
          <w:tcPr>
            <w:tcW w:w="2268" w:type="dxa"/>
            <w:shd w:val="clear" w:color="auto" w:fill="auto"/>
          </w:tcPr>
          <w:p w14:paraId="3CFF6B08" w14:textId="77777777" w:rsidR="00751A4A" w:rsidRPr="002F1E3E" w:rsidRDefault="00187494" w:rsidP="0010095E">
            <w:pPr>
              <w:pStyle w:val="EPLogo"/>
            </w:pPr>
            <w:r w:rsidRPr="002F1E3E">
              <w:rPr>
                <w:noProof/>
                <w:lang w:eastAsia="ja-JP"/>
              </w:rPr>
              <w:drawing>
                <wp:inline distT="0" distB="0" distL="0" distR="0" wp14:anchorId="5715ED66" wp14:editId="7F413A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A6E3C6" w14:textId="77777777" w:rsidR="00D058B8" w:rsidRPr="002F1E3E" w:rsidRDefault="00D058B8" w:rsidP="004C5D52">
      <w:pPr>
        <w:pStyle w:val="LineTop"/>
      </w:pPr>
    </w:p>
    <w:p w14:paraId="0A7CF475" w14:textId="77777777" w:rsidR="00680577" w:rsidRPr="002F1E3E" w:rsidRDefault="001D3E29" w:rsidP="00680577">
      <w:pPr>
        <w:pStyle w:val="EPBodyTA1"/>
      </w:pPr>
      <w:r w:rsidRPr="002F1E3E">
        <w:t>HYVÄKSYTYT TEKSTIT</w:t>
      </w:r>
    </w:p>
    <w:p w14:paraId="76BAD197" w14:textId="77777777" w:rsidR="00D058B8" w:rsidRPr="002F1E3E" w:rsidRDefault="00D058B8" w:rsidP="00D058B8">
      <w:pPr>
        <w:pStyle w:val="LineBottom"/>
      </w:pPr>
    </w:p>
    <w:p w14:paraId="78078AAF" w14:textId="66EC233D" w:rsidR="001D3E29" w:rsidRPr="002F1E3E" w:rsidRDefault="001D3E29" w:rsidP="001D3E29">
      <w:pPr>
        <w:pStyle w:val="ATHeading1"/>
      </w:pPr>
      <w:bookmarkStart w:id="0" w:name="TANumber"/>
      <w:r w:rsidRPr="002F1E3E">
        <w:t>P10_TA(2026)00</w:t>
      </w:r>
      <w:bookmarkEnd w:id="0"/>
      <w:r w:rsidR="00A442ED">
        <w:t>73</w:t>
      </w:r>
    </w:p>
    <w:p w14:paraId="54604D17" w14:textId="30D18723" w:rsidR="001D3E29" w:rsidRPr="002F1E3E" w:rsidRDefault="00E64324" w:rsidP="00E64324">
      <w:pPr>
        <w:pStyle w:val="ATHeading2"/>
      </w:pPr>
      <w:bookmarkStart w:id="1" w:name="title"/>
      <w:r w:rsidRPr="002F1E3E">
        <w:rPr>
          <w:bCs/>
        </w:rPr>
        <w:t>Työttömiksi jääneitä työntekijöitä tukevan Euroopan globalisaatiorahaston varojen käyttöönotto – hakemus EGF/2025/004 BE/</w:t>
      </w:r>
      <w:proofErr w:type="spellStart"/>
      <w:r w:rsidRPr="002F1E3E">
        <w:rPr>
          <w:bCs/>
        </w:rPr>
        <w:t>Tupperware</w:t>
      </w:r>
      <w:bookmarkEnd w:id="1"/>
      <w:proofErr w:type="spellEnd"/>
      <w:r w:rsidRPr="002F1E3E">
        <w:rPr>
          <w:bCs/>
        </w:rPr>
        <w:t xml:space="preserve"> – Belgia</w:t>
      </w:r>
    </w:p>
    <w:p w14:paraId="0D7A4C64" w14:textId="77777777" w:rsidR="001D3E29" w:rsidRPr="002F1E3E" w:rsidRDefault="001D3E29" w:rsidP="001D3E29">
      <w:pPr>
        <w:rPr>
          <w:i/>
          <w:vanish/>
        </w:rPr>
      </w:pPr>
      <w:r w:rsidRPr="002F1E3E">
        <w:rPr>
          <w:i/>
        </w:rPr>
        <w:fldChar w:fldCharType="begin"/>
      </w:r>
      <w:r w:rsidRPr="002F1E3E">
        <w:rPr>
          <w:i/>
        </w:rPr>
        <w:instrText xml:space="preserve"> TC"(</w:instrText>
      </w:r>
      <w:bookmarkStart w:id="2" w:name="DocNumber"/>
      <w:r w:rsidRPr="002F1E3E">
        <w:rPr>
          <w:i/>
        </w:rPr>
        <w:instrText>A10-0030/2026</w:instrText>
      </w:r>
      <w:bookmarkEnd w:id="2"/>
      <w:r w:rsidRPr="002F1E3E">
        <w:rPr>
          <w:i/>
        </w:rPr>
        <w:instrText xml:space="preserve"> - Esittelijä: Jean-Marc Germain)"\l3 \n&gt; \* MERGEFORMAT </w:instrText>
      </w:r>
      <w:r w:rsidRPr="002F1E3E">
        <w:rPr>
          <w:i/>
        </w:rPr>
        <w:fldChar w:fldCharType="end"/>
      </w:r>
    </w:p>
    <w:p w14:paraId="27D1546C" w14:textId="77777777" w:rsidR="001D3E29" w:rsidRPr="002F1E3E" w:rsidRDefault="001D3E29" w:rsidP="001D3E29">
      <w:pPr>
        <w:rPr>
          <w:vanish/>
        </w:rPr>
      </w:pPr>
      <w:bookmarkStart w:id="3" w:name="Commission"/>
      <w:r w:rsidRPr="002F1E3E">
        <w:rPr>
          <w:vanish/>
        </w:rPr>
        <w:t>Budjettivaliokunta</w:t>
      </w:r>
      <w:bookmarkEnd w:id="3"/>
    </w:p>
    <w:p w14:paraId="24A080A3" w14:textId="77777777" w:rsidR="001D3E29" w:rsidRPr="002F1E3E" w:rsidRDefault="001D3E29" w:rsidP="001D3E29">
      <w:pPr>
        <w:rPr>
          <w:vanish/>
        </w:rPr>
      </w:pPr>
      <w:bookmarkStart w:id="4" w:name="PE"/>
      <w:r w:rsidRPr="002F1E3E">
        <w:rPr>
          <w:vanish/>
        </w:rPr>
        <w:t>PE782.416</w:t>
      </w:r>
      <w:bookmarkEnd w:id="4"/>
    </w:p>
    <w:p w14:paraId="3C73B90B" w14:textId="73E23011" w:rsidR="001D3E29" w:rsidRPr="002F1E3E" w:rsidRDefault="001D3E29" w:rsidP="001D3E29">
      <w:pPr>
        <w:pStyle w:val="ATHeading3"/>
      </w:pPr>
      <w:bookmarkStart w:id="5" w:name="Sujet"/>
      <w:r w:rsidRPr="002F1E3E">
        <w:t>Euroopan parlamentin päätös</w:t>
      </w:r>
      <w:r w:rsidR="006E0C37" w:rsidRPr="002F1E3E">
        <w:t>lauselma</w:t>
      </w:r>
      <w:r w:rsidRPr="002F1E3E">
        <w:t xml:space="preserve"> </w:t>
      </w:r>
      <w:r w:rsidR="00E64324" w:rsidRPr="002F1E3E">
        <w:t>11</w:t>
      </w:r>
      <w:r w:rsidRPr="002F1E3E">
        <w:t>. maaliskuuta 2026 ehdotuksesta Euroopan parlamentin ja neuvoston päätökseksi työttömiksi jääneitä työntekijöitä tukevan Euroopan globalisaatiorahaston varojen käyttöönotosta Belgian hakemuksen johdosta – EGF/2025/004 BE/</w:t>
      </w:r>
      <w:proofErr w:type="spellStart"/>
      <w:r w:rsidRPr="002F1E3E">
        <w:t>Tupperware</w:t>
      </w:r>
      <w:proofErr w:type="spellEnd"/>
      <w:r w:rsidRPr="002F1E3E">
        <w:t xml:space="preserve"> </w:t>
      </w:r>
      <w:bookmarkStart w:id="6" w:name="References"/>
      <w:bookmarkEnd w:id="5"/>
      <w:r w:rsidRPr="002F1E3E">
        <w:t>(</w:t>
      </w:r>
      <w:proofErr w:type="gramStart"/>
      <w:r w:rsidRPr="002F1E3E">
        <w:t>COM(</w:t>
      </w:r>
      <w:proofErr w:type="gramEnd"/>
      <w:r w:rsidRPr="002F1E3E">
        <w:t>2026)0001 – C10-0012/2026 – 2026/0004(BUD))</w:t>
      </w:r>
      <w:bookmarkEnd w:id="6"/>
    </w:p>
    <w:p w14:paraId="4813F3B4" w14:textId="77777777" w:rsidR="00E97B24" w:rsidRPr="002F1E3E" w:rsidRDefault="00E97B24" w:rsidP="00E64324">
      <w:pPr>
        <w:pStyle w:val="EPComma"/>
        <w:widowControl/>
        <w:rPr>
          <w:noProof/>
        </w:rPr>
      </w:pPr>
      <w:r w:rsidRPr="002F1E3E">
        <w:rPr>
          <w:i/>
        </w:rPr>
        <w:t>Euroopan parlamentti</w:t>
      </w:r>
      <w:r w:rsidRPr="002F1E3E">
        <w:t>, joka</w:t>
      </w:r>
    </w:p>
    <w:p w14:paraId="407915BC" w14:textId="77777777" w:rsidR="00E97B24" w:rsidRPr="002F1E3E" w:rsidRDefault="00E97B24" w:rsidP="00E64324">
      <w:pPr>
        <w:pStyle w:val="NormalHanging12a"/>
        <w:widowControl/>
        <w:rPr>
          <w:noProof/>
        </w:rPr>
      </w:pPr>
      <w:r w:rsidRPr="002F1E3E">
        <w:t>–</w:t>
      </w:r>
      <w:r w:rsidRPr="002F1E3E">
        <w:tab/>
        <w:t>ottaa huomioon komission ehdotuksen Euroopan parlamentille ja neuvostolle (COM(2026)0001 – C10-0012/2026),</w:t>
      </w:r>
    </w:p>
    <w:p w14:paraId="0043A2DF" w14:textId="77777777" w:rsidR="00E97B24" w:rsidRPr="002F1E3E" w:rsidRDefault="00E97B24" w:rsidP="00E64324">
      <w:pPr>
        <w:pStyle w:val="NormalHanging12a"/>
        <w:widowControl/>
      </w:pPr>
      <w:r w:rsidRPr="002F1E3E">
        <w:t>–</w:t>
      </w:r>
      <w:r w:rsidRPr="002F1E3E">
        <w:tab/>
        <w:t>ottaa huomioon Euroopan globalisaatiorahastosta (EGR) työttömiksi jääneille työntekijöille ja asetuksen (EU) N:o 1309/2013 kumoamisesta 28. huhtikuuta 2021 annetun Euroopan parlamentin ja neuvoston asetuksen (EU) 2021/691</w:t>
      </w:r>
      <w:r w:rsidRPr="002F1E3E">
        <w:rPr>
          <w:vertAlign w:val="superscript"/>
        </w:rPr>
        <w:footnoteReference w:id="1"/>
      </w:r>
      <w:r w:rsidRPr="002F1E3E">
        <w:t xml:space="preserve">, jäljempänä ’EGR-asetus’, </w:t>
      </w:r>
    </w:p>
    <w:p w14:paraId="3DCBE2C2" w14:textId="77777777" w:rsidR="00E97B24" w:rsidRPr="002F1E3E" w:rsidRDefault="00E97B24" w:rsidP="00E64324">
      <w:pPr>
        <w:pStyle w:val="NormalHanging12a"/>
        <w:widowControl/>
        <w:rPr>
          <w:noProof/>
        </w:rPr>
      </w:pPr>
      <w:r w:rsidRPr="002F1E3E">
        <w:t>–</w:t>
      </w:r>
      <w:r w:rsidRPr="002F1E3E">
        <w:tab/>
        <w:t>ottaa huomioon vuosia 2021–2027 koskevan monivuotisen rahoituskehyksen vahvistamisesta 17. joulukuuta 2020 annetun neuvoston asetuksen (EU, Euratom) 2020/2093</w:t>
      </w:r>
      <w:r w:rsidRPr="002F1E3E">
        <w:rPr>
          <w:noProof/>
          <w:vertAlign w:val="superscript"/>
        </w:rPr>
        <w:footnoteReference w:id="2"/>
      </w:r>
      <w:r w:rsidRPr="002F1E3E">
        <w:t>, sellaisena kuin se on muutettuna asetuksella (EU, Euratom) 2024/765</w:t>
      </w:r>
      <w:r w:rsidRPr="002F1E3E">
        <w:rPr>
          <w:noProof/>
          <w:vertAlign w:val="superscript"/>
        </w:rPr>
        <w:footnoteReference w:id="3"/>
      </w:r>
      <w:r w:rsidRPr="002F1E3E">
        <w:t xml:space="preserve">, jäljempänä ’rahoituskehysasetus’, ja erityisesti sen 8 artiklan, </w:t>
      </w:r>
    </w:p>
    <w:p w14:paraId="51C70A96" w14:textId="75743182" w:rsidR="00E97B24" w:rsidRPr="002F1E3E" w:rsidRDefault="00E97B24" w:rsidP="00E64324">
      <w:pPr>
        <w:pStyle w:val="NormalHanging12a"/>
        <w:widowControl/>
        <w:rPr>
          <w:noProof/>
        </w:rPr>
      </w:pPr>
      <w:r w:rsidRPr="002F1E3E">
        <w:t>–</w:t>
      </w:r>
      <w:r w:rsidRPr="002F1E3E">
        <w:tab/>
        <w:t xml:space="preserve">ottaa huomioon talousarviota koskevasta kurinalaisuudesta, talousarvioyhteistyöstä ja moitteettomasta varainhoidosta sekä uusista omista varoista, mukaan lukien etenemissuunnitelma uusien omien varojen käyttöönottamiseksi, 16. joulukuuta 2020 </w:t>
      </w:r>
      <w:r w:rsidRPr="002F1E3E">
        <w:lastRenderedPageBreak/>
        <w:t>tehdyn Euroopan parlamentin, Euroopan unionin neuvoston ja Euroopan komission välisen toimielinten sopimuksen</w:t>
      </w:r>
      <w:r w:rsidRPr="002F1E3E">
        <w:rPr>
          <w:rStyle w:val="FootnoteReference"/>
          <w:noProof/>
        </w:rPr>
        <w:footnoteReference w:id="4"/>
      </w:r>
      <w:r w:rsidRPr="002F1E3E">
        <w:t xml:space="preserve"> ja erityisesti sen 9 kohdan,</w:t>
      </w:r>
    </w:p>
    <w:p w14:paraId="5BEE0A1C" w14:textId="77777777" w:rsidR="00E97B24" w:rsidRPr="002F1E3E" w:rsidRDefault="00E97B24" w:rsidP="00E64324">
      <w:pPr>
        <w:pStyle w:val="NormalHanging12a"/>
        <w:widowControl/>
        <w:rPr>
          <w:noProof/>
        </w:rPr>
      </w:pPr>
      <w:r w:rsidRPr="002F1E3E">
        <w:t>–</w:t>
      </w:r>
      <w:r w:rsidRPr="002F1E3E">
        <w:tab/>
        <w:t>ottaa huomioon Euroopan sosiaalisten oikeuksien pilarin,</w:t>
      </w:r>
    </w:p>
    <w:p w14:paraId="5606CA68" w14:textId="77777777" w:rsidR="00E97B24" w:rsidRPr="002F1E3E" w:rsidRDefault="00E97B24" w:rsidP="00E64324">
      <w:pPr>
        <w:pStyle w:val="NormalHanging12a"/>
        <w:widowControl/>
        <w:rPr>
          <w:noProof/>
        </w:rPr>
      </w:pPr>
      <w:r w:rsidRPr="002F1E3E">
        <w:t>–</w:t>
      </w:r>
      <w:r w:rsidRPr="002F1E3E">
        <w:tab/>
        <w:t>ottaa huomioon työllisyyden ja sosiaaliasioiden valiokunnan lausunnon,</w:t>
      </w:r>
    </w:p>
    <w:p w14:paraId="5D8FE9BF" w14:textId="77777777" w:rsidR="00E97B24" w:rsidRPr="002F1E3E" w:rsidRDefault="00E97B24" w:rsidP="00E64324">
      <w:pPr>
        <w:pStyle w:val="NormalHanging12a"/>
        <w:widowControl/>
      </w:pPr>
      <w:r w:rsidRPr="002F1E3E">
        <w:t>–</w:t>
      </w:r>
      <w:r w:rsidRPr="002F1E3E">
        <w:tab/>
        <w:t>ottaa huomioon budjettivaliokunnan mietinnön (A10-0030/2026),</w:t>
      </w:r>
    </w:p>
    <w:p w14:paraId="750728CA" w14:textId="77777777" w:rsidR="00E97B24" w:rsidRPr="002F1E3E" w:rsidRDefault="00E97B24" w:rsidP="00E64324">
      <w:pPr>
        <w:pStyle w:val="NormalHanging12a"/>
        <w:widowControl/>
        <w:rPr>
          <w:noProof/>
        </w:rPr>
      </w:pPr>
      <w:r w:rsidRPr="002F1E3E">
        <w:t>A.</w:t>
      </w:r>
      <w:r w:rsidRPr="002F1E3E">
        <w:tab/>
        <w:t>ottaa huomioon, että unioni on ottanut käyttöön lainsäädäntö- ja budjettivälineitä voidakseen tarjota lisätukea työntekijöille, jotka kärsivät maailmankaupan huomattavien rakenteellisten tapahtumien ja muutosten seurauksista, ja auttaakseen heitä palaamaan työmarkkinoille; toteaa, että tuki annetaan rahoitustukena työntekijöille;</w:t>
      </w:r>
    </w:p>
    <w:p w14:paraId="2EB4B682" w14:textId="79384F4E" w:rsidR="00E97B24" w:rsidRPr="002F1E3E" w:rsidRDefault="00E97B24" w:rsidP="00E64324">
      <w:pPr>
        <w:pStyle w:val="NormalHanging12a"/>
        <w:widowControl/>
        <w:rPr>
          <w:noProof/>
        </w:rPr>
      </w:pPr>
      <w:r w:rsidRPr="002F1E3E">
        <w:t>B.</w:t>
      </w:r>
      <w:r w:rsidRPr="002F1E3E">
        <w:tab/>
        <w:t>ottaa huomioon, että Belgia toimitti hakemuksen EGF/2025/004 BE/</w:t>
      </w:r>
      <w:proofErr w:type="spellStart"/>
      <w:r w:rsidRPr="002F1E3E">
        <w:t>Tupperware</w:t>
      </w:r>
      <w:proofErr w:type="spellEnd"/>
      <w:r w:rsidRPr="002F1E3E">
        <w:t xml:space="preserve"> rahoitustuen saamiseksi </w:t>
      </w:r>
      <w:r w:rsidR="00133AA7" w:rsidRPr="002F1E3E">
        <w:t>Euroopan globalisaatiorahastosta (</w:t>
      </w:r>
      <w:r w:rsidRPr="002F1E3E">
        <w:t>EGR</w:t>
      </w:r>
      <w:r w:rsidR="00133AA7" w:rsidRPr="002F1E3E">
        <w:t>)</w:t>
      </w:r>
      <w:r w:rsidRPr="002F1E3E">
        <w:t xml:space="preserve"> sen jälkeen, kun </w:t>
      </w:r>
      <w:proofErr w:type="spellStart"/>
      <w:r w:rsidRPr="002F1E3E">
        <w:t>Tupperware</w:t>
      </w:r>
      <w:proofErr w:type="spellEnd"/>
      <w:r w:rsidRPr="002F1E3E">
        <w:t xml:space="preserve"> General Services NV (</w:t>
      </w:r>
      <w:proofErr w:type="spellStart"/>
      <w:r w:rsidRPr="002F1E3E">
        <w:t>Tupperware</w:t>
      </w:r>
      <w:proofErr w:type="spellEnd"/>
      <w:r w:rsidRPr="002F1E3E">
        <w:t>) oli vähentänyt</w:t>
      </w:r>
      <w:r w:rsidRPr="002F1E3E">
        <w:rPr>
          <w:noProof/>
          <w:vertAlign w:val="superscript"/>
        </w:rPr>
        <w:footnoteReference w:id="5"/>
      </w:r>
      <w:r w:rsidRPr="002F1E3E">
        <w:t xml:space="preserve"> 267 työntekijää NACE </w:t>
      </w:r>
      <w:proofErr w:type="spellStart"/>
      <w:r w:rsidRPr="002F1E3E">
        <w:t>Rev</w:t>
      </w:r>
      <w:proofErr w:type="spellEnd"/>
      <w:r w:rsidRPr="002F1E3E">
        <w:t xml:space="preserve">. 2:n kaksinumerotasoon 22 (Kumi- ja muovituotteiden valmistus) luokitellulla toimialalla Itä-Flanderin maakunnassa (BE23) viiteajanjakson 17. helmikuuta 2025 – 17. kesäkuuta 2025 aikana; </w:t>
      </w:r>
    </w:p>
    <w:p w14:paraId="65CA6D12" w14:textId="77777777" w:rsidR="00E97B24" w:rsidRPr="002F1E3E" w:rsidRDefault="00E97B24" w:rsidP="00E64324">
      <w:pPr>
        <w:pStyle w:val="NormalHanging12a"/>
        <w:widowControl/>
        <w:rPr>
          <w:noProof/>
        </w:rPr>
      </w:pPr>
      <w:r w:rsidRPr="002F1E3E">
        <w:t>C.</w:t>
      </w:r>
      <w:r w:rsidRPr="002F1E3E">
        <w:tab/>
        <w:t xml:space="preserve">ottaa huomioon, että hakemus perustuu EGR-asetuksen 4 artiklan 2 kohdan a alakohdan mukaiseen toimintakriteeriin, jossa edellytyksenä on vähintään 200:n työttömäksi jääneen työntekijän tai itsenäisen ammatinharjoittajan työskentelyn loppuminen neljän kuukauden viiteajanjakson aikana jäsenvaltiossa sijaitsevassa yrityksessä; </w:t>
      </w:r>
    </w:p>
    <w:p w14:paraId="21C72F32" w14:textId="77777777" w:rsidR="00E97B24" w:rsidRPr="002F1E3E" w:rsidRDefault="00E97B24" w:rsidP="00E64324">
      <w:pPr>
        <w:pStyle w:val="NormalHanging12a"/>
        <w:widowControl/>
        <w:rPr>
          <w:noProof/>
        </w:rPr>
      </w:pPr>
      <w:r w:rsidRPr="002F1E3E">
        <w:t>D.</w:t>
      </w:r>
      <w:r w:rsidRPr="002F1E3E">
        <w:tab/>
        <w:t xml:space="preserve">ottaa huomioon, että </w:t>
      </w:r>
      <w:proofErr w:type="spellStart"/>
      <w:r w:rsidRPr="002F1E3E">
        <w:t>Tupperware</w:t>
      </w:r>
      <w:proofErr w:type="spellEnd"/>
      <w:r w:rsidRPr="002F1E3E">
        <w:t xml:space="preserve"> hakeutui konkurssiin 17. helmikuuta 2025; ottaa huomioon, että konkurssit ovat lisääntyneet Belgiassa vuodesta 2022;</w:t>
      </w:r>
    </w:p>
    <w:p w14:paraId="716A5AF7" w14:textId="77777777" w:rsidR="00E97B24" w:rsidRPr="002F1E3E" w:rsidRDefault="00E97B24" w:rsidP="00E64324">
      <w:pPr>
        <w:pStyle w:val="NormalHanging12a"/>
        <w:widowControl/>
        <w:rPr>
          <w:noProof/>
        </w:rPr>
      </w:pPr>
      <w:r w:rsidRPr="002F1E3E">
        <w:t>E.</w:t>
      </w:r>
      <w:r w:rsidRPr="002F1E3E">
        <w:tab/>
        <w:t>ottaa huomioon, että Belgia ilmoitti, että Flanderin työvoimapalvelu VDAB tarjoaa kansallista ennakko- ja yhteisrahoitusta kyseisiä toimenpiteitä varten;</w:t>
      </w:r>
    </w:p>
    <w:p w14:paraId="1830B2B7" w14:textId="77777777" w:rsidR="00E97B24" w:rsidRPr="002F1E3E" w:rsidRDefault="00E97B24" w:rsidP="00E64324">
      <w:pPr>
        <w:pStyle w:val="NormalHanging12a"/>
        <w:widowControl/>
        <w:rPr>
          <w:noProof/>
        </w:rPr>
      </w:pPr>
      <w:r w:rsidRPr="002F1E3E">
        <w:t>F.</w:t>
      </w:r>
      <w:r w:rsidRPr="002F1E3E">
        <w:tab/>
        <w:t>ottaa huomioon, että kansallisessa ja unionin lainsäädännössä joukkovähentämisistä säädettyjä vaatimuksia on noudatettu;</w:t>
      </w:r>
    </w:p>
    <w:p w14:paraId="1F44C90F" w14:textId="77777777" w:rsidR="00E97B24" w:rsidRPr="002F1E3E" w:rsidRDefault="00E97B24" w:rsidP="00E64324">
      <w:pPr>
        <w:pStyle w:val="NormalHanging12a"/>
        <w:widowControl/>
        <w:rPr>
          <w:noProof/>
        </w:rPr>
      </w:pPr>
      <w:r w:rsidRPr="002F1E3E">
        <w:t>G.</w:t>
      </w:r>
      <w:r w:rsidRPr="002F1E3E">
        <w:tab/>
        <w:t xml:space="preserve">toteaa, että </w:t>
      </w:r>
      <w:proofErr w:type="spellStart"/>
      <w:r w:rsidRPr="002F1E3E">
        <w:t>EGR:n</w:t>
      </w:r>
      <w:proofErr w:type="spellEnd"/>
      <w:r w:rsidRPr="002F1E3E">
        <w:t xml:space="preserve"> rahoitustuki olisi suunnattava ensisijaisesti aktiivisiin työvoimapoliittisiin toimenpiteisiin ja yksilöllisiin palveluihin, joilla pyritään integroimaan edunsaajat nopeasti takaisin ihmisarvoisiin ja kestäviin työpaikkoihin samalla, kun heitä valmistellaan vihreämpään ja digitaalisempaan eurooppalaiseen talouteen;</w:t>
      </w:r>
    </w:p>
    <w:p w14:paraId="2CE20F3B" w14:textId="77777777" w:rsidR="00E97B24" w:rsidRPr="002F1E3E" w:rsidRDefault="00E97B24" w:rsidP="00E64324">
      <w:pPr>
        <w:pStyle w:val="NormalHanging12a"/>
        <w:widowControl/>
        <w:rPr>
          <w:noProof/>
        </w:rPr>
      </w:pPr>
      <w:r w:rsidRPr="002F1E3E">
        <w:t>H.</w:t>
      </w:r>
      <w:r w:rsidRPr="002F1E3E">
        <w:tab/>
        <w:t>ottaa huomioon, että EGR ei saa ylittää 30 miljoonan euron vuotuista enimmäismäärää (vuoden 2018 hintoina)</w:t>
      </w:r>
      <w:r w:rsidRPr="002F1E3E">
        <w:rPr>
          <w:noProof/>
          <w:vertAlign w:val="superscript"/>
        </w:rPr>
        <w:footnoteReference w:id="6"/>
      </w:r>
      <w:r w:rsidRPr="002F1E3E">
        <w:t xml:space="preserve">; </w:t>
      </w:r>
    </w:p>
    <w:p w14:paraId="776F088C" w14:textId="77777777" w:rsidR="00E97B24" w:rsidRPr="002F1E3E" w:rsidRDefault="00E97B24" w:rsidP="00E64324">
      <w:pPr>
        <w:pStyle w:val="NormalHanging12a"/>
        <w:widowControl/>
        <w:rPr>
          <w:noProof/>
        </w:rPr>
      </w:pPr>
      <w:r w:rsidRPr="002F1E3E">
        <w:t>1.</w:t>
      </w:r>
      <w:r w:rsidRPr="002F1E3E">
        <w:tab/>
        <w:t xml:space="preserve">on yhtä mieltä komission kanssa siitä, että EGR-asetuksessa ja erityisesti sen 4 artiklan 2 kohdan a alakohdassa säädetyt edellytykset täyttyvät ja että Belgia on oikeutettu saamaan kyseisen asetuksen mukaista rahoitustukea 1 622 650 euroa eli 85 prosenttia 1 909 000 euron kokonaiskustannuksista, joista yksilöllisten palvelujen osuus on </w:t>
      </w:r>
      <w:r w:rsidRPr="002F1E3E">
        <w:lastRenderedPageBreak/>
        <w:t>1 843 500 euroa ja valmistelu-, hallinnointi-, tiedotus-, mainonta-, valvonta- ja raportointitoimien osuus 65 500 euroa;</w:t>
      </w:r>
    </w:p>
    <w:p w14:paraId="79A7D2F3" w14:textId="77777777" w:rsidR="00E97B24" w:rsidRPr="002F1E3E" w:rsidRDefault="00E97B24" w:rsidP="00E64324">
      <w:pPr>
        <w:pStyle w:val="NormalHanging12a"/>
        <w:widowControl/>
        <w:rPr>
          <w:noProof/>
        </w:rPr>
      </w:pPr>
      <w:r w:rsidRPr="002F1E3E">
        <w:t>2.</w:t>
      </w:r>
      <w:r w:rsidRPr="002F1E3E">
        <w:tab/>
        <w:t>toteaa, että Belgian viranomaiset jättivät hakemuksen 28. elokuuta 2025 ja että Belgian toimitettua lisätietoja komissio sai hakemusta koskevan arvionsa valmiiksi 20. tammikuuta 2026 eli lähes viisi kuukautta myöhemmin ja ilmoitti asiasta parlamentille samana päivänä; korostaa, että on tärkeää lyhentää EGR-tukihakemuksen jättämisen ja rahoituspäätöksen välistä aikaa ja samalla turvata täysin Euroopan parlamentin oikeudet yhtenä budjettivallan käyttäjänä;</w:t>
      </w:r>
    </w:p>
    <w:p w14:paraId="3654AA4A" w14:textId="77777777" w:rsidR="00E97B24" w:rsidRPr="002F1E3E" w:rsidRDefault="00E97B24" w:rsidP="00E64324">
      <w:pPr>
        <w:pStyle w:val="NormalHanging12a"/>
        <w:widowControl/>
        <w:rPr>
          <w:noProof/>
        </w:rPr>
      </w:pPr>
      <w:r w:rsidRPr="002F1E3E">
        <w:t>3.</w:t>
      </w:r>
      <w:r w:rsidRPr="002F1E3E">
        <w:tab/>
        <w:t xml:space="preserve">ottaa huomioon, että hakemus koskee 267:ää kohteena olevaa edunsaajaa, jotka ovat </w:t>
      </w:r>
      <w:proofErr w:type="spellStart"/>
      <w:r w:rsidRPr="002F1E3E">
        <w:t>Tupperwarelta</w:t>
      </w:r>
      <w:proofErr w:type="spellEnd"/>
      <w:r w:rsidRPr="002F1E3E">
        <w:t xml:space="preserve"> vähennettyjä työntekijöitä;</w:t>
      </w:r>
    </w:p>
    <w:p w14:paraId="6915B604" w14:textId="77777777" w:rsidR="00E97B24" w:rsidRPr="002F1E3E" w:rsidRDefault="00E97B24" w:rsidP="00E64324">
      <w:pPr>
        <w:pStyle w:val="NormalHanging12a"/>
        <w:widowControl/>
        <w:rPr>
          <w:noProof/>
        </w:rPr>
      </w:pPr>
      <w:r w:rsidRPr="002F1E3E">
        <w:t>4.</w:t>
      </w:r>
      <w:r w:rsidRPr="002F1E3E">
        <w:tab/>
        <w:t xml:space="preserve">panee merkille, että </w:t>
      </w:r>
      <w:proofErr w:type="spellStart"/>
      <w:r w:rsidRPr="002F1E3E">
        <w:t>Tupperware</w:t>
      </w:r>
      <w:proofErr w:type="spellEnd"/>
      <w:r w:rsidRPr="002F1E3E">
        <w:t xml:space="preserve"> sijaitsi Aalstissa Itä-Flanderin maakunnassa, jossa jo ennen </w:t>
      </w:r>
      <w:proofErr w:type="spellStart"/>
      <w:r w:rsidRPr="002F1E3E">
        <w:t>Tupperwaren</w:t>
      </w:r>
      <w:proofErr w:type="spellEnd"/>
      <w:r w:rsidRPr="002F1E3E">
        <w:t xml:space="preserve"> konkurssia vain noin puolella väestöstä oli työpaikka, kun koko Flanderin alueella vastaava osuus on keskimäärin kaksi kolmasosaa; pitää valitettavana, että nämä työntekijävähennykset pahentavat tilannetta entisestään; korostaa, että tarvitaan nopeita toimia rakenteellisen alueellisen taantuman estämiseksi;</w:t>
      </w:r>
    </w:p>
    <w:p w14:paraId="00F4AF31" w14:textId="77777777" w:rsidR="00E97B24" w:rsidRPr="002F1E3E" w:rsidRDefault="00E97B24" w:rsidP="00E64324">
      <w:pPr>
        <w:pStyle w:val="NormalHanging12a"/>
        <w:widowControl/>
        <w:rPr>
          <w:noProof/>
        </w:rPr>
      </w:pPr>
      <w:r w:rsidRPr="002F1E3E">
        <w:t>5.</w:t>
      </w:r>
      <w:r w:rsidRPr="002F1E3E">
        <w:tab/>
        <w:t xml:space="preserve">pitää valitettavana, että velkojat ottivat amerikkalaisen emoyhtiön </w:t>
      </w:r>
      <w:proofErr w:type="spellStart"/>
      <w:r w:rsidRPr="002F1E3E">
        <w:t>Tupperware</w:t>
      </w:r>
      <w:proofErr w:type="spellEnd"/>
      <w:r w:rsidRPr="002F1E3E">
        <w:t xml:space="preserve"> </w:t>
      </w:r>
      <w:proofErr w:type="spellStart"/>
      <w:r w:rsidRPr="002F1E3E">
        <w:t>Brandsin</w:t>
      </w:r>
      <w:proofErr w:type="spellEnd"/>
      <w:r w:rsidRPr="002F1E3E">
        <w:t xml:space="preserve"> haltuunsa lokakuussa 2024 ja merkittävän rakenneuudistuksen vuoksi peruuttivat </w:t>
      </w:r>
      <w:proofErr w:type="spellStart"/>
      <w:r w:rsidRPr="002F1E3E">
        <w:t>Tupperware</w:t>
      </w:r>
      <w:proofErr w:type="spellEnd"/>
      <w:r w:rsidRPr="002F1E3E">
        <w:t xml:space="preserve"> General Services </w:t>
      </w:r>
      <w:proofErr w:type="spellStart"/>
      <w:r w:rsidRPr="002F1E3E">
        <w:t>NV:lle</w:t>
      </w:r>
      <w:proofErr w:type="spellEnd"/>
      <w:r w:rsidRPr="002F1E3E">
        <w:t xml:space="preserve"> myönnetyt valmistus- ja myyntiluvat, mikä teki belgialaisesta tytäryhtiöstä taloudellisesti elinkelvottoman ja johti sen konkurssiin 17. helmikuuta 2025; </w:t>
      </w:r>
    </w:p>
    <w:p w14:paraId="45F1A851" w14:textId="77777777" w:rsidR="00E97B24" w:rsidRPr="002F1E3E" w:rsidRDefault="00E97B24" w:rsidP="00E64324">
      <w:pPr>
        <w:pStyle w:val="NormalHanging12a"/>
        <w:widowControl/>
        <w:rPr>
          <w:noProof/>
        </w:rPr>
      </w:pPr>
      <w:r w:rsidRPr="002F1E3E">
        <w:t>6.</w:t>
      </w:r>
      <w:r w:rsidRPr="002F1E3E">
        <w:tab/>
        <w:t>suhtautuu myönteisesti eurooppalaisten yrittäjien ryhmän aloitteeseen, jolla tuotemerkki pyritään elvyttämään Saksassa, Ranskassa, Belgiassa, Italiassa ja Puolassa;</w:t>
      </w:r>
    </w:p>
    <w:p w14:paraId="62D30A22" w14:textId="77777777" w:rsidR="00E97B24" w:rsidRPr="002F1E3E" w:rsidRDefault="00E97B24" w:rsidP="00E64324">
      <w:pPr>
        <w:pStyle w:val="NormalHanging12a"/>
        <w:widowControl/>
        <w:rPr>
          <w:noProof/>
        </w:rPr>
      </w:pPr>
      <w:r w:rsidRPr="002F1E3E">
        <w:t>7.</w:t>
      </w:r>
      <w:r w:rsidRPr="002F1E3E">
        <w:tab/>
        <w:t>korostaa, että Flanderissa matalasti koulutettujen työttömyysriski on yli kaksinkertainen; toteaa, että kolmasosalla työttömiksi jääneistä työntekijöistä on enintään ylemmän perusasteen koulutus; kehottaa Belgian viranomaisia tarjoamaan tällaisten työttömiksi jääneiden työntekijöiden tarpeisiin räätälöityä erityistukea, jotta heitä voidaan auttaa korjaamaan puutteet osaamisessaan ja uuden työpaikan löytämisessä, ja samalla toteuttamaan toimenpiteitä konkurssien vähentämiseksi ja ratkaisujen löytämiseksi työvoiman syrjäytymiseen johtavaan sosiaaliseen eriarvoisuuteen;</w:t>
      </w:r>
    </w:p>
    <w:p w14:paraId="5538B66F" w14:textId="77777777" w:rsidR="00E97B24" w:rsidRPr="002F1E3E" w:rsidRDefault="00E97B24" w:rsidP="00E64324">
      <w:pPr>
        <w:pStyle w:val="NormalHanging12a"/>
        <w:widowControl/>
        <w:rPr>
          <w:noProof/>
        </w:rPr>
      </w:pPr>
      <w:r w:rsidRPr="002F1E3E">
        <w:t>8.</w:t>
      </w:r>
      <w:r w:rsidRPr="002F1E3E">
        <w:tab/>
        <w:t xml:space="preserve">muistuttaa, että työntekijöille on tarjottava ammattiliittojen, asiantuntijoiden ja työmarkkinaosapuolten kanssa sovitun mukaisesti yksilöllisten palvelujen paketti, joka koostuu seuraavista toimenpiteistä: työelämään palaamista koskevat tiedotustilaisuudet ja uudelleensijoituspalvelut, mukaan lukien tieto- ja viestintätekniikkakoulutus; avustaminen työpaikan löytämisessä ohjauksen ja työnhakuneuvonnan, koulutuksen ja uudelleenkoulutuksen, työpaikkamessujen, työpaikkojen kartoituksen ja työnhakijoiden ja työpaikkojen </w:t>
      </w:r>
      <w:proofErr w:type="spellStart"/>
      <w:r w:rsidRPr="002F1E3E">
        <w:t>yhteensaattamisen</w:t>
      </w:r>
      <w:proofErr w:type="spellEnd"/>
      <w:r w:rsidRPr="002F1E3E">
        <w:t xml:space="preserve"> avulla; korostaa, että on tärkeää edistää laadukkaita ja tulevaisuuteen suuntautuvia työpaikkoja pitkän aikavälin taloudellisen ja sosiaalisen selviytymiskyvyn varmistamiseksi; kehottaa Belgian viranomaisia käynnistämään vuoropuhelun </w:t>
      </w:r>
      <w:proofErr w:type="spellStart"/>
      <w:r w:rsidRPr="002F1E3E">
        <w:t>Tupperwaren</w:t>
      </w:r>
      <w:proofErr w:type="spellEnd"/>
      <w:r w:rsidRPr="002F1E3E">
        <w:t xml:space="preserve"> uusien eurooppalaisten edustajien kanssa, jotta voidaan tutkia mahdollisuuksia integroida työttömiksi jääneet työntekijät niiden taloudelliseen toimintaan;</w:t>
      </w:r>
    </w:p>
    <w:p w14:paraId="7BBB925E" w14:textId="77777777" w:rsidR="00E97B24" w:rsidRPr="002F1E3E" w:rsidRDefault="00E97B24" w:rsidP="00E64324">
      <w:pPr>
        <w:pStyle w:val="NormalHanging12a"/>
        <w:widowControl/>
        <w:rPr>
          <w:noProof/>
        </w:rPr>
      </w:pPr>
      <w:r w:rsidRPr="002F1E3E">
        <w:t>9.</w:t>
      </w:r>
      <w:r w:rsidRPr="002F1E3E">
        <w:tab/>
        <w:t xml:space="preserve">korostaa, että irtisanottujen työntekijöiden pätevyydet ja taidot ovat edelleen keskeisessä asemassa tulevaisuuden vaatimukset huomioon ottavassa Euroopan </w:t>
      </w:r>
      <w:r w:rsidRPr="002F1E3E">
        <w:lastRenderedPageBreak/>
        <w:t xml:space="preserve">taloudessa; katsoo siksi, että </w:t>
      </w:r>
      <w:proofErr w:type="spellStart"/>
      <w:r w:rsidRPr="002F1E3E">
        <w:t>EGR:n</w:t>
      </w:r>
      <w:proofErr w:type="spellEnd"/>
      <w:r w:rsidRPr="002F1E3E">
        <w:t xml:space="preserve"> varojen käyttöönotto on sisällytettävä osaksi laajempia toimintapoliittisia toimia kaikilla politiikan tasoilla sen varmistamiseksi, että asianomaiset työntekijät löytävät pätevyyksiään ja taitojaan vastaavia mahdollisuuksia; muistuttaa lisäksi, että EGR on solidaarisuuden ja oikeudenmukaisen siirtymän väline ja että unionin ensisijaisena tehtävänä on oltava tällaisten sulkemisten estäminen alun pitäen; katsoo, että vaikka EGR tarjoaa tarvittavaa tukea asianomaisille työntekijöille, ovat vahvempi teollisuuspolitiikka, vankempi, kestävämpi ja häiriönsietokykyisempi talous sekä strategisten riippuvuuksien vähentäminen olennaisen tärkeitä Euroopan teollisuuden työllisyyspohjan turvaamiseksi;</w:t>
      </w:r>
    </w:p>
    <w:p w14:paraId="65EB1C61" w14:textId="77777777" w:rsidR="00E97B24" w:rsidRPr="002F1E3E" w:rsidRDefault="00E97B24" w:rsidP="00E64324">
      <w:pPr>
        <w:pStyle w:val="NormalHanging12a"/>
        <w:widowControl/>
        <w:rPr>
          <w:bCs/>
          <w:iCs/>
          <w:noProof/>
        </w:rPr>
      </w:pPr>
      <w:r w:rsidRPr="002F1E3E">
        <w:t>10.</w:t>
      </w:r>
      <w:r w:rsidRPr="002F1E3E">
        <w:tab/>
        <w:t>korostaa, että Belgian viranomaisten on varmistettava unionin rahoituksen näkyvyys ja korostettava sen tuomaa lisäarvoa tiedottamalla siitä tehokkaasti ja kohdennetusti edunsaajille, alue- ja paikallisviranomaisille, työmarkkinaosapuolille ja suurelle yleisölle;</w:t>
      </w:r>
    </w:p>
    <w:p w14:paraId="07AC9560" w14:textId="77777777" w:rsidR="00E97B24" w:rsidRPr="002F1E3E" w:rsidRDefault="00E97B24" w:rsidP="00E64324">
      <w:pPr>
        <w:pStyle w:val="NormalHanging12a"/>
        <w:widowControl/>
        <w:rPr>
          <w:noProof/>
        </w:rPr>
      </w:pPr>
      <w:r w:rsidRPr="002F1E3E">
        <w:t>11.</w:t>
      </w:r>
      <w:r w:rsidRPr="002F1E3E">
        <w:tab/>
        <w:t xml:space="preserve">kehottaa laatimaan toteutetuista toimenpiteistä perusteelliset loppuarvioinnit, joissa ilmoitetaan selkeästi, miten varat on käytetty ja käytettiinkö ne hyväksyttyjen suunnitelmien mukaisesti; korostaa, että tällaisten arviointien olisi perustuttava selkeästi määriteltyihin tavoitteisiin ja mitattavissa oleviin tuloksiin, jotta voidaan arvioida asianomaisten työntekijöiden kannalta saavutettuja tuloksia; korostaa, että on tärkeää varmistaa nopeammat ja tehokkaammat toimet, ja muistuttaa tässä yhteydessä tarpeesta tutkia tapoja varmistaa </w:t>
      </w:r>
      <w:proofErr w:type="spellStart"/>
      <w:r w:rsidRPr="002F1E3E">
        <w:t>EGR:n</w:t>
      </w:r>
      <w:proofErr w:type="spellEnd"/>
      <w:r w:rsidRPr="002F1E3E">
        <w:t xml:space="preserve"> tai sitä seuraavan ohjelman kestävyys seuraavan monivuotisen rahoituskehyksen 2028–2034 puitteissa;</w:t>
      </w:r>
    </w:p>
    <w:p w14:paraId="02EB3914" w14:textId="77777777" w:rsidR="00E97B24" w:rsidRPr="002F1E3E" w:rsidRDefault="00E97B24" w:rsidP="00E64324">
      <w:pPr>
        <w:pStyle w:val="NormalHanging12a"/>
        <w:widowControl/>
        <w:rPr>
          <w:noProof/>
        </w:rPr>
      </w:pPr>
      <w:r w:rsidRPr="002F1E3E">
        <w:t>12.</w:t>
      </w:r>
      <w:r w:rsidRPr="002F1E3E">
        <w:tab/>
        <w:t xml:space="preserve">panee merkille, että Belgia aloitti yksilöllisten palvelujen tarjoamisen kohteena oleville edunsaajille 17. helmikuuta 2025 ja että toimenpiteisiin liittyviin menoihin voidaan näin ollen myöntää </w:t>
      </w:r>
      <w:proofErr w:type="spellStart"/>
      <w:r w:rsidRPr="002F1E3E">
        <w:t>EGR:n</w:t>
      </w:r>
      <w:proofErr w:type="spellEnd"/>
      <w:r w:rsidRPr="002F1E3E">
        <w:t xml:space="preserve"> rahoitustukea kaudella, joka alkaa kyseisestä päivästä ja päättyy 24 kuukauden kuluttua rahoituspäätöksen voimaantulopäivästä;</w:t>
      </w:r>
    </w:p>
    <w:p w14:paraId="14F96665" w14:textId="77777777" w:rsidR="00E97B24" w:rsidRPr="002F1E3E" w:rsidRDefault="00E97B24" w:rsidP="00E64324">
      <w:pPr>
        <w:pStyle w:val="NormalHanging12a"/>
        <w:widowControl/>
        <w:rPr>
          <w:noProof/>
        </w:rPr>
      </w:pPr>
      <w:r w:rsidRPr="002F1E3E">
        <w:t>13.</w:t>
      </w:r>
      <w:r w:rsidRPr="002F1E3E">
        <w:tab/>
        <w:t xml:space="preserve">toteaa, että Belgialle on aiheutunut hallinnollisia menoja </w:t>
      </w:r>
      <w:proofErr w:type="spellStart"/>
      <w:r w:rsidRPr="002F1E3E">
        <w:t>EGR:n</w:t>
      </w:r>
      <w:proofErr w:type="spellEnd"/>
      <w:r w:rsidRPr="002F1E3E">
        <w:t xml:space="preserve"> täytäntöönpanosta 17. helmikuuta 2025 lähtien ja että näihin toimiin liittyviin menoihin voidaan näin ollen myöntää </w:t>
      </w:r>
      <w:proofErr w:type="spellStart"/>
      <w:r w:rsidRPr="002F1E3E">
        <w:t>EGR:n</w:t>
      </w:r>
      <w:proofErr w:type="spellEnd"/>
      <w:r w:rsidRPr="002F1E3E">
        <w:t xml:space="preserve"> rahoitustukea kaudella, joka alkaa kyseisestä päivästä ja päättyy 31 kuukauden kuluttua rahoituspäätöksen voimaantulopäivästä;</w:t>
      </w:r>
    </w:p>
    <w:p w14:paraId="3ED9F807" w14:textId="77777777" w:rsidR="00E97B24" w:rsidRPr="002F1E3E" w:rsidRDefault="00E97B24" w:rsidP="00E64324">
      <w:pPr>
        <w:pStyle w:val="NormalHanging12a"/>
        <w:widowControl/>
        <w:rPr>
          <w:noProof/>
        </w:rPr>
      </w:pPr>
      <w:r w:rsidRPr="002F1E3E">
        <w:t>14.</w:t>
      </w:r>
      <w:r w:rsidRPr="002F1E3E">
        <w:tab/>
        <w:t>toteaa Belgian viranomaisten vakuuttaneen, että suunniteltuihin toimiin osallistumisen ja niiden täytäntöönpanon osalta noudatetaan yhdenvertaisen kohtelun ja syrjimättömyyden periaatteita ja että kaksinkertainen rahoitus estetään;</w:t>
      </w:r>
    </w:p>
    <w:p w14:paraId="4B0CEC06" w14:textId="77777777" w:rsidR="00E97B24" w:rsidRPr="002F1E3E" w:rsidRDefault="00E97B24" w:rsidP="00E64324">
      <w:pPr>
        <w:pStyle w:val="NormalHanging12a"/>
        <w:widowControl/>
        <w:rPr>
          <w:noProof/>
        </w:rPr>
      </w:pPr>
      <w:r w:rsidRPr="002F1E3E">
        <w:t>15.</w:t>
      </w:r>
      <w:r w:rsidRPr="002F1E3E">
        <w:tab/>
        <w:t xml:space="preserve">muistuttaa, että </w:t>
      </w:r>
      <w:proofErr w:type="spellStart"/>
      <w:r w:rsidRPr="002F1E3E">
        <w:t>EGR:n</w:t>
      </w:r>
      <w:proofErr w:type="spellEnd"/>
      <w:r w:rsidRPr="002F1E3E">
        <w:t xml:space="preserve"> tuki ei saa korvata toimenpiteitä, jotka kansallisen lainsäädännön tai työehtosopimusten nojalla kuuluvat yritysten vastuulle;</w:t>
      </w:r>
    </w:p>
    <w:p w14:paraId="49C786F5" w14:textId="77777777" w:rsidR="00E97B24" w:rsidRPr="002F1E3E" w:rsidRDefault="00E97B24" w:rsidP="00E64324">
      <w:pPr>
        <w:pStyle w:val="NormalHanging12a"/>
        <w:widowControl/>
        <w:rPr>
          <w:noProof/>
        </w:rPr>
      </w:pPr>
      <w:r w:rsidRPr="002F1E3E">
        <w:t>16.</w:t>
      </w:r>
      <w:r w:rsidRPr="002F1E3E">
        <w:tab/>
        <w:t>hyväksyy tämän päätöslauselman liitteenä olevan päätöksen;</w:t>
      </w:r>
    </w:p>
    <w:p w14:paraId="06914A9C" w14:textId="77777777" w:rsidR="00E97B24" w:rsidRPr="002F1E3E" w:rsidRDefault="00E97B24" w:rsidP="00E64324">
      <w:pPr>
        <w:pStyle w:val="NormalHanging12a"/>
        <w:widowControl/>
        <w:rPr>
          <w:noProof/>
        </w:rPr>
      </w:pPr>
      <w:r w:rsidRPr="002F1E3E">
        <w:t>17.</w:t>
      </w:r>
      <w:r w:rsidRPr="002F1E3E">
        <w:tab/>
        <w:t xml:space="preserve">kehottaa puhemiestä allekirjoittamaan päätöksen neuvoston puheenjohtajan kanssa ja huolehtimaan sen julkaisemisesta </w:t>
      </w:r>
      <w:r w:rsidRPr="002F1E3E">
        <w:rPr>
          <w:i/>
        </w:rPr>
        <w:t>Euroopan unionin virallisessa lehdessä</w:t>
      </w:r>
      <w:r w:rsidRPr="002F1E3E">
        <w:t>;</w:t>
      </w:r>
    </w:p>
    <w:p w14:paraId="759B4D4C" w14:textId="0AA3A4FD" w:rsidR="00E97B24" w:rsidRPr="002F1E3E" w:rsidRDefault="00E97B24" w:rsidP="00E64324">
      <w:pPr>
        <w:pStyle w:val="NormalHanging12a"/>
        <w:widowControl/>
        <w:rPr>
          <w:noProof/>
        </w:rPr>
      </w:pPr>
      <w:r w:rsidRPr="002F1E3E">
        <w:t>18.</w:t>
      </w:r>
      <w:r w:rsidRPr="002F1E3E">
        <w:tab/>
        <w:t>kehottaa puhemiestä välittämään tämän päätöslauselman liitteineen neuvostolle ja komissiolle.</w:t>
      </w:r>
    </w:p>
    <w:p w14:paraId="61F165A7" w14:textId="77777777" w:rsidR="00E97B24" w:rsidRPr="002F1E3E" w:rsidRDefault="00E97B24" w:rsidP="00E64324">
      <w:pPr>
        <w:widowControl/>
        <w:rPr>
          <w:noProof/>
        </w:rPr>
      </w:pPr>
    </w:p>
    <w:p w14:paraId="04D59A0E" w14:textId="77777777" w:rsidR="00E97B24" w:rsidRPr="002F1E3E" w:rsidRDefault="00E97B24" w:rsidP="00E64324">
      <w:pPr>
        <w:pStyle w:val="PageHeading"/>
        <w:widowControl/>
        <w:rPr>
          <w:noProof/>
        </w:rPr>
        <w:sectPr w:rsidR="00E97B24" w:rsidRPr="002F1E3E" w:rsidSect="00377C1F">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35D4FE4" w14:textId="77777777" w:rsidR="00A71223" w:rsidRPr="00A71223" w:rsidRDefault="00E97B24" w:rsidP="00E64324">
      <w:pPr>
        <w:pStyle w:val="PageHeading"/>
        <w:widowControl/>
        <w:rPr>
          <w:rFonts w:ascii="Times New Roman" w:hAnsi="Times New Roman" w:cs="Times New Roman"/>
        </w:rPr>
      </w:pPr>
      <w:bookmarkStart w:id="7" w:name="_Toc221190959"/>
      <w:bookmarkStart w:id="8" w:name="_Toc223442358"/>
      <w:r w:rsidRPr="00A71223">
        <w:rPr>
          <w:rFonts w:ascii="Times New Roman" w:hAnsi="Times New Roman" w:cs="Times New Roman"/>
        </w:rPr>
        <w:lastRenderedPageBreak/>
        <w:t>LIITE</w:t>
      </w:r>
    </w:p>
    <w:p w14:paraId="1183AB29" w14:textId="0DCECF59" w:rsidR="00E97B24" w:rsidRPr="00A71223" w:rsidRDefault="00E97B24" w:rsidP="00E64324">
      <w:pPr>
        <w:pStyle w:val="PageHeading"/>
        <w:widowControl/>
        <w:rPr>
          <w:rFonts w:ascii="Times New Roman" w:hAnsi="Times New Roman" w:cs="Times New Roman"/>
          <w:noProof/>
        </w:rPr>
      </w:pPr>
      <w:r w:rsidRPr="00A71223">
        <w:rPr>
          <w:rFonts w:ascii="Times New Roman" w:hAnsi="Times New Roman" w:cs="Times New Roman"/>
        </w:rPr>
        <w:t>EUROOPAN PARLAMENTIN JA NEUVOSTON PÄÄTÖS</w:t>
      </w:r>
      <w:bookmarkEnd w:id="7"/>
      <w:bookmarkEnd w:id="8"/>
    </w:p>
    <w:p w14:paraId="0349ED7C" w14:textId="77777777" w:rsidR="00E97B24" w:rsidRPr="002F1E3E" w:rsidRDefault="00E97B24" w:rsidP="00A71223">
      <w:pPr>
        <w:pStyle w:val="Institutionquiagit"/>
        <w:jc w:val="center"/>
        <w:rPr>
          <w:b/>
          <w:bCs/>
        </w:rPr>
      </w:pPr>
      <w:r w:rsidRPr="002F1E3E">
        <w:rPr>
          <w:b/>
        </w:rPr>
        <w:t xml:space="preserve">työttömiksi jääneitä työntekijöitä tukevan Euroopan globalisaatiorahaston varojen käyttöönotosta Belgian hakemuksen </w:t>
      </w:r>
      <w:proofErr w:type="gramStart"/>
      <w:r w:rsidRPr="002F1E3E">
        <w:rPr>
          <w:b/>
        </w:rPr>
        <w:t>johdosta</w:t>
      </w:r>
      <w:proofErr w:type="gramEnd"/>
      <w:r w:rsidRPr="002F1E3E">
        <w:rPr>
          <w:b/>
        </w:rPr>
        <w:t xml:space="preserve"> – EGF/2025/004 BE/ </w:t>
      </w:r>
      <w:proofErr w:type="spellStart"/>
      <w:r w:rsidRPr="002F1E3E">
        <w:rPr>
          <w:b/>
        </w:rPr>
        <w:t>Tupperware</w:t>
      </w:r>
      <w:proofErr w:type="spellEnd"/>
    </w:p>
    <w:p w14:paraId="075F2CA1" w14:textId="1173BFC9" w:rsidR="00A71223" w:rsidRPr="006E0791" w:rsidRDefault="00A71223" w:rsidP="00A71223">
      <w:pPr>
        <w:spacing w:before="240"/>
        <w:rPr>
          <w:i/>
          <w:szCs w:val="24"/>
        </w:rPr>
      </w:pPr>
      <w:r w:rsidRPr="006E0791">
        <w:rPr>
          <w:i/>
          <w:szCs w:val="24"/>
        </w:rPr>
        <w:t xml:space="preserve">(Tätä liitettä ei esitetä tässä, koska se vastaa lopullista säädöstä, päätöstä </w:t>
      </w:r>
      <w:r>
        <w:rPr>
          <w:i/>
          <w:szCs w:val="24"/>
        </w:rPr>
        <w:t>(</w:t>
      </w:r>
      <w:r w:rsidRPr="006E0791">
        <w:rPr>
          <w:i/>
          <w:szCs w:val="24"/>
        </w:rPr>
        <w:t>EU</w:t>
      </w:r>
      <w:r>
        <w:rPr>
          <w:i/>
          <w:szCs w:val="24"/>
        </w:rPr>
        <w:t>) 20</w:t>
      </w:r>
      <w:r>
        <w:rPr>
          <w:i/>
          <w:szCs w:val="24"/>
        </w:rPr>
        <w:t>26</w:t>
      </w:r>
      <w:r>
        <w:rPr>
          <w:i/>
          <w:szCs w:val="24"/>
        </w:rPr>
        <w:t>/</w:t>
      </w:r>
      <w:r>
        <w:rPr>
          <w:i/>
          <w:szCs w:val="24"/>
        </w:rPr>
        <w:t>723</w:t>
      </w:r>
      <w:r w:rsidRPr="006E0791">
        <w:rPr>
          <w:i/>
          <w:szCs w:val="24"/>
        </w:rPr>
        <w:t>.)</w:t>
      </w:r>
    </w:p>
    <w:sectPr w:rsidR="00A71223" w:rsidRPr="006E0791" w:rsidSect="00E64324">
      <w:headerReference w:type="even" r:id="rId11"/>
      <w:headerReference w:type="default" r:id="rId12"/>
      <w:footerReference w:type="even" r:id="rId13"/>
      <w:headerReference w:type="first" r:id="rId14"/>
      <w:footerReference w:type="first" r:id="rId15"/>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5F6ED5" w14:textId="77777777" w:rsidR="001D3E29" w:rsidRPr="00377C1F" w:rsidRDefault="001D3E29">
      <w:r w:rsidRPr="00377C1F">
        <w:separator/>
      </w:r>
    </w:p>
  </w:endnote>
  <w:endnote w:type="continuationSeparator" w:id="0">
    <w:p w14:paraId="57AF7F15" w14:textId="77777777" w:rsidR="001D3E29" w:rsidRPr="00377C1F" w:rsidRDefault="001D3E29">
      <w:r w:rsidRPr="00377C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31934" w14:textId="77777777" w:rsidR="00E97B24" w:rsidRPr="00377C1F" w:rsidRDefault="00E97B24" w:rsidP="007B633F">
    <w:pPr>
      <w:pStyle w:val="EPFooter"/>
    </w:pPr>
    <w:r w:rsidRPr="00377C1F">
      <w:t>PE</w:t>
    </w:r>
    <w:r w:rsidRPr="00377C1F">
      <w:rPr>
        <w:rStyle w:val="HideTWBExt"/>
      </w:rPr>
      <w:t>&lt;NoPE&gt;</w:t>
    </w:r>
    <w:r w:rsidRPr="00377C1F">
      <w:t>782.416</w:t>
    </w:r>
    <w:r w:rsidRPr="00377C1F">
      <w:rPr>
        <w:rStyle w:val="HideTWBExt"/>
      </w:rPr>
      <w:t>&lt;/NoPE&gt;&lt;Version&gt;</w:t>
    </w:r>
    <w:r w:rsidRPr="00377C1F">
      <w:t>v02-00</w:t>
    </w:r>
    <w:r w:rsidRPr="00377C1F">
      <w:rPr>
        <w:rStyle w:val="HideTWBExt"/>
      </w:rPr>
      <w:t>&lt;/Version&gt;</w:t>
    </w:r>
    <w:r w:rsidRPr="00377C1F">
      <w:tab/>
    </w:r>
    <w:r w:rsidRPr="00377C1F">
      <w:fldChar w:fldCharType="begin"/>
    </w:r>
    <w:r w:rsidRPr="00377C1F">
      <w:instrText xml:space="preserve"> PAGE  \* MERGEFORMAT </w:instrText>
    </w:r>
    <w:r w:rsidRPr="00377C1F">
      <w:fldChar w:fldCharType="separate"/>
    </w:r>
    <w:r w:rsidRPr="00377C1F">
      <w:rPr>
        <w:noProof/>
      </w:rPr>
      <w:t>12</w:t>
    </w:r>
    <w:r w:rsidRPr="00377C1F">
      <w:fldChar w:fldCharType="end"/>
    </w:r>
    <w:r w:rsidRPr="00377C1F">
      <w:t>/</w:t>
    </w:r>
    <w:fldSimple w:instr=" NUMPAGES  \* MERGEFORMAT ">
      <w:r w:rsidRPr="00377C1F">
        <w:rPr>
          <w:noProof/>
        </w:rPr>
        <w:t>18</w:t>
      </w:r>
    </w:fldSimple>
    <w:r w:rsidRPr="00377C1F">
      <w:tab/>
    </w:r>
    <w:r w:rsidRPr="00377C1F">
      <w:rPr>
        <w:rStyle w:val="HideTWBExt"/>
      </w:rPr>
      <w:t>&lt;PathFdR&gt;</w:t>
    </w:r>
    <w:r w:rsidRPr="00377C1F">
      <w:t>RR\1338392FI.docx</w:t>
    </w:r>
    <w:r w:rsidRPr="00377C1F">
      <w:rPr>
        <w:rStyle w:val="HideTWBExt"/>
      </w:rPr>
      <w:t>&lt;/PathFdR&gt;</w:t>
    </w:r>
  </w:p>
  <w:p w14:paraId="174A8150" w14:textId="77777777" w:rsidR="00E97B24" w:rsidRPr="00377C1F" w:rsidRDefault="00E97B24" w:rsidP="007B633F">
    <w:pPr>
      <w:pStyle w:val="EPFooter2"/>
    </w:pPr>
    <w:r w:rsidRPr="00377C1F">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67BA6" w14:textId="77777777" w:rsidR="00E97B24" w:rsidRPr="00377C1F" w:rsidRDefault="00E97B24" w:rsidP="007B633F">
    <w:pPr>
      <w:pStyle w:val="EPFooter"/>
    </w:pPr>
    <w:r w:rsidRPr="00377C1F">
      <w:rPr>
        <w:rStyle w:val="HideTWBExt"/>
      </w:rPr>
      <w:t>&lt;PathFdR&gt;</w:t>
    </w:r>
    <w:r w:rsidRPr="00377C1F">
      <w:t>RR\1338392FI.docx</w:t>
    </w:r>
    <w:r w:rsidRPr="00377C1F">
      <w:rPr>
        <w:rStyle w:val="HideTWBExt"/>
      </w:rPr>
      <w:t>&lt;/PathFdR&gt;</w:t>
    </w:r>
    <w:r w:rsidRPr="00377C1F">
      <w:tab/>
    </w:r>
    <w:r w:rsidRPr="00377C1F">
      <w:tab/>
      <w:t>PE</w:t>
    </w:r>
    <w:r w:rsidRPr="00377C1F">
      <w:rPr>
        <w:rStyle w:val="HideTWBExt"/>
      </w:rPr>
      <w:t>&lt;NoPE&gt;</w:t>
    </w:r>
    <w:r w:rsidRPr="00377C1F">
      <w:t>782.416</w:t>
    </w:r>
    <w:r w:rsidRPr="00377C1F">
      <w:rPr>
        <w:rStyle w:val="HideTWBExt"/>
      </w:rPr>
      <w:t>&lt;/NoPE&gt;&lt;Version&gt;</w:t>
    </w:r>
    <w:r w:rsidRPr="00377C1F">
      <w:t>v02-00</w:t>
    </w:r>
    <w:r w:rsidRPr="00377C1F">
      <w:rPr>
        <w:rStyle w:val="HideTWBExt"/>
      </w:rPr>
      <w:t>&lt;/Version&gt;</w:t>
    </w:r>
  </w:p>
  <w:p w14:paraId="2E826D44" w14:textId="77777777" w:rsidR="00E97B24" w:rsidRPr="00377C1F" w:rsidRDefault="00E97B24" w:rsidP="007B633F">
    <w:pPr>
      <w:pStyle w:val="EPFooter2"/>
    </w:pPr>
    <w:r w:rsidRPr="00377C1F">
      <w:t>FI</w:t>
    </w:r>
    <w:r w:rsidRPr="00377C1F">
      <w:tab/>
    </w:r>
    <w:r w:rsidRPr="00377C1F">
      <w:rPr>
        <w:b w:val="0"/>
        <w:i/>
        <w:color w:val="C0C0C0"/>
        <w:sz w:val="22"/>
      </w:rPr>
      <w:t>Moninaisuudessaan yhtenäinen</w:t>
    </w:r>
    <w:r w:rsidRPr="00377C1F">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603DB" w14:textId="77777777" w:rsidR="00064002" w:rsidRPr="00377C1F"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244B3" w14:textId="77777777" w:rsidR="00064002" w:rsidRPr="00377C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C32A4" w14:textId="77777777" w:rsidR="001D3E29" w:rsidRPr="00377C1F" w:rsidRDefault="001D3E29">
      <w:r w:rsidRPr="00377C1F">
        <w:separator/>
      </w:r>
    </w:p>
  </w:footnote>
  <w:footnote w:type="continuationSeparator" w:id="0">
    <w:p w14:paraId="33803304" w14:textId="77777777" w:rsidR="001D3E29" w:rsidRPr="00377C1F" w:rsidRDefault="001D3E29">
      <w:r w:rsidRPr="00377C1F">
        <w:continuationSeparator/>
      </w:r>
    </w:p>
  </w:footnote>
  <w:footnote w:id="1">
    <w:p w14:paraId="23F98BCB" w14:textId="23E44476" w:rsidR="00E97B24" w:rsidRPr="003E5D2A" w:rsidRDefault="00E97B24" w:rsidP="00377C1F">
      <w:pPr>
        <w:pStyle w:val="FootnoteText"/>
        <w:ind w:left="567" w:hanging="567"/>
        <w:rPr>
          <w:sz w:val="24"/>
          <w:lang w:val="fi-FI"/>
        </w:rPr>
      </w:pPr>
      <w:r w:rsidRPr="003E5D2A">
        <w:rPr>
          <w:rStyle w:val="FootnoteReference"/>
          <w:sz w:val="24"/>
          <w:lang w:val="fi-FI"/>
        </w:rPr>
        <w:footnoteRef/>
      </w:r>
      <w:r w:rsidR="00377C1F" w:rsidRPr="003E5D2A">
        <w:rPr>
          <w:sz w:val="24"/>
          <w:lang w:val="fi-FI"/>
        </w:rPr>
        <w:t xml:space="preserve"> </w:t>
      </w:r>
      <w:r w:rsidR="00377C1F" w:rsidRPr="003E5D2A">
        <w:rPr>
          <w:sz w:val="24"/>
          <w:lang w:val="fi-FI"/>
        </w:rPr>
        <w:tab/>
      </w:r>
      <w:r w:rsidRPr="003E5D2A">
        <w:rPr>
          <w:sz w:val="24"/>
          <w:lang w:val="fi-FI"/>
        </w:rPr>
        <w:t xml:space="preserve">EUVL L 153, 3.5.2021, s. 48, </w:t>
      </w:r>
      <w:r w:rsidR="00E97F9C" w:rsidRPr="002B7CA5">
        <w:rPr>
          <w:sz w:val="24"/>
          <w:lang w:val="fi-FI"/>
        </w:rPr>
        <w:t xml:space="preserve">ELI: </w:t>
      </w:r>
      <w:hyperlink r:id="rId1" w:history="1">
        <w:r w:rsidR="00E97F9C" w:rsidRPr="002B7CA5">
          <w:rPr>
            <w:rStyle w:val="Hyperlink"/>
            <w:sz w:val="24"/>
            <w:lang w:val="fi-FI"/>
          </w:rPr>
          <w:t>http://data.europa.eu/eli/reg/2021/691/oj</w:t>
        </w:r>
      </w:hyperlink>
      <w:r w:rsidRPr="003E5D2A">
        <w:rPr>
          <w:sz w:val="24"/>
          <w:lang w:val="fi-FI"/>
        </w:rPr>
        <w:t>.</w:t>
      </w:r>
    </w:p>
  </w:footnote>
  <w:footnote w:id="2">
    <w:p w14:paraId="37749DC6" w14:textId="3C1AB275" w:rsidR="00E97B24" w:rsidRPr="003E5D2A" w:rsidRDefault="00E97B24" w:rsidP="00377C1F">
      <w:pPr>
        <w:pStyle w:val="FootnoteText"/>
        <w:ind w:left="567" w:hanging="567"/>
        <w:rPr>
          <w:sz w:val="24"/>
          <w:lang w:val="fi-FI"/>
        </w:rPr>
      </w:pPr>
      <w:r w:rsidRPr="003E5D2A">
        <w:rPr>
          <w:rStyle w:val="FootnoteReference"/>
          <w:sz w:val="24"/>
          <w:lang w:val="fi-FI"/>
        </w:rPr>
        <w:footnoteRef/>
      </w:r>
      <w:r w:rsidR="00377C1F" w:rsidRPr="003E5D2A">
        <w:rPr>
          <w:sz w:val="24"/>
          <w:lang w:val="fi-FI"/>
        </w:rPr>
        <w:t xml:space="preserve"> </w:t>
      </w:r>
      <w:r w:rsidR="00377C1F" w:rsidRPr="003E5D2A">
        <w:rPr>
          <w:sz w:val="24"/>
          <w:lang w:val="fi-FI"/>
        </w:rPr>
        <w:tab/>
      </w:r>
      <w:r w:rsidRPr="003E5D2A">
        <w:rPr>
          <w:sz w:val="24"/>
          <w:lang w:val="fi-FI"/>
        </w:rPr>
        <w:t xml:space="preserve">EUVL L 433 I, 22.12.2020, s. 11, ELI: </w:t>
      </w:r>
      <w:hyperlink r:id="rId2" w:history="1">
        <w:r w:rsidRPr="003E5D2A">
          <w:rPr>
            <w:rStyle w:val="Hyperlink"/>
            <w:sz w:val="24"/>
            <w:lang w:val="fi-FI"/>
          </w:rPr>
          <w:t>http://data.europa.eu/eli/reg/2020/2093/oj</w:t>
        </w:r>
      </w:hyperlink>
      <w:r w:rsidRPr="003E5D2A">
        <w:rPr>
          <w:sz w:val="24"/>
          <w:lang w:val="fi-FI"/>
        </w:rPr>
        <w:t>.</w:t>
      </w:r>
    </w:p>
  </w:footnote>
  <w:footnote w:id="3">
    <w:p w14:paraId="0FD58328" w14:textId="28DF025F" w:rsidR="00E97B24" w:rsidRPr="003E5D2A" w:rsidRDefault="00E97B24" w:rsidP="00377C1F">
      <w:pPr>
        <w:pStyle w:val="FootnoteText"/>
        <w:ind w:left="567" w:hanging="567"/>
        <w:rPr>
          <w:sz w:val="24"/>
          <w:lang w:val="fi-FI"/>
        </w:rPr>
      </w:pPr>
      <w:r w:rsidRPr="003E5D2A">
        <w:rPr>
          <w:rStyle w:val="FootnoteReference"/>
          <w:sz w:val="24"/>
          <w:lang w:val="fi-FI"/>
        </w:rPr>
        <w:footnoteRef/>
      </w:r>
      <w:r w:rsidR="00377C1F" w:rsidRPr="003E5D2A">
        <w:rPr>
          <w:sz w:val="24"/>
          <w:shd w:val="clear" w:color="auto" w:fill="FFFFFF"/>
          <w:lang w:val="fi-FI"/>
        </w:rPr>
        <w:t xml:space="preserve"> </w:t>
      </w:r>
      <w:r w:rsidR="00377C1F" w:rsidRPr="003E5D2A">
        <w:rPr>
          <w:sz w:val="24"/>
          <w:shd w:val="clear" w:color="auto" w:fill="FFFFFF"/>
          <w:lang w:val="fi-FI"/>
        </w:rPr>
        <w:tab/>
      </w:r>
      <w:r w:rsidRPr="003E5D2A">
        <w:rPr>
          <w:sz w:val="24"/>
          <w:shd w:val="clear" w:color="auto" w:fill="FFFFFF"/>
          <w:lang w:val="fi-FI"/>
        </w:rPr>
        <w:t>Neuvoston asetus (EU, Euratom) 2024/765, annettu 29. helmikuuta 2024, vuosia 2021–2027 koskevan monivuotisen rahoituskehyksen vahvistamisesta annetun asetuksen (EU, Euratom) 2020/2093 muuttamisesta (EUVL L, 2024/765, 29.2.2024, ELI:</w:t>
      </w:r>
      <w:r w:rsidRPr="003E5D2A">
        <w:rPr>
          <w:color w:val="333333"/>
          <w:sz w:val="24"/>
          <w:shd w:val="clear" w:color="auto" w:fill="FFFFFF"/>
          <w:lang w:val="fi-FI"/>
        </w:rPr>
        <w:t xml:space="preserve"> </w:t>
      </w:r>
      <w:hyperlink r:id="rId3" w:history="1">
        <w:r w:rsidRPr="003E5D2A">
          <w:rPr>
            <w:rStyle w:val="Hyperlink"/>
            <w:sz w:val="24"/>
            <w:shd w:val="clear" w:color="auto" w:fill="FFFFFF"/>
            <w:lang w:val="fi-FI"/>
          </w:rPr>
          <w:t>http://data.europa.eu/eli/reg/2024/765/oj</w:t>
        </w:r>
      </w:hyperlink>
      <w:r w:rsidRPr="003E5D2A">
        <w:rPr>
          <w:i/>
          <w:color w:val="333333"/>
          <w:sz w:val="24"/>
          <w:shd w:val="clear" w:color="auto" w:fill="FFFFFF"/>
          <w:lang w:val="fi-FI"/>
        </w:rPr>
        <w:t>).</w:t>
      </w:r>
    </w:p>
  </w:footnote>
  <w:footnote w:id="4">
    <w:p w14:paraId="0D15614A" w14:textId="2FE23FBC" w:rsidR="00E97B24" w:rsidRPr="003E5D2A" w:rsidRDefault="00E97B24" w:rsidP="00377C1F">
      <w:pPr>
        <w:pStyle w:val="FootnoteText"/>
        <w:ind w:left="567" w:hanging="567"/>
        <w:rPr>
          <w:sz w:val="24"/>
          <w:lang w:val="fi-FI"/>
        </w:rPr>
      </w:pPr>
      <w:r w:rsidRPr="003E5D2A">
        <w:rPr>
          <w:rStyle w:val="FootnoteReference"/>
          <w:sz w:val="24"/>
          <w:lang w:val="fi-FI"/>
        </w:rPr>
        <w:footnoteRef/>
      </w:r>
      <w:r w:rsidR="00377C1F" w:rsidRPr="003E5D2A">
        <w:rPr>
          <w:sz w:val="24"/>
          <w:lang w:val="fi-FI"/>
        </w:rPr>
        <w:t xml:space="preserve"> </w:t>
      </w:r>
      <w:r w:rsidR="00377C1F" w:rsidRPr="003E5D2A">
        <w:rPr>
          <w:sz w:val="24"/>
          <w:lang w:val="fi-FI"/>
        </w:rPr>
        <w:tab/>
      </w:r>
      <w:r w:rsidRPr="003E5D2A">
        <w:rPr>
          <w:sz w:val="24"/>
          <w:lang w:val="fi-FI"/>
        </w:rPr>
        <w:t xml:space="preserve">EUVL L 433 I, 22.12.2020, s. 28, ELI: </w:t>
      </w:r>
      <w:hyperlink r:id="rId4" w:history="1">
        <w:r w:rsidRPr="003E5D2A">
          <w:rPr>
            <w:rStyle w:val="Hyperlink"/>
            <w:sz w:val="24"/>
            <w:lang w:val="fi-FI"/>
          </w:rPr>
          <w:t>http://data.europa.eu/eli/agree_interinstit/2020/1222/oj</w:t>
        </w:r>
      </w:hyperlink>
      <w:r w:rsidRPr="003E5D2A">
        <w:rPr>
          <w:sz w:val="24"/>
          <w:lang w:val="fi-FI"/>
        </w:rPr>
        <w:t>.</w:t>
      </w:r>
    </w:p>
  </w:footnote>
  <w:footnote w:id="5">
    <w:p w14:paraId="0841F980" w14:textId="304EC90C" w:rsidR="00E97B24" w:rsidRPr="003E5D2A" w:rsidRDefault="00E97B24" w:rsidP="00377C1F">
      <w:pPr>
        <w:pStyle w:val="FootnoteText"/>
        <w:ind w:left="567" w:hanging="567"/>
        <w:rPr>
          <w:sz w:val="24"/>
          <w:lang w:val="fi-FI"/>
        </w:rPr>
      </w:pPr>
      <w:r w:rsidRPr="003E5D2A">
        <w:rPr>
          <w:rStyle w:val="FootnoteReference"/>
          <w:sz w:val="24"/>
          <w:lang w:val="fi-FI"/>
        </w:rPr>
        <w:footnoteRef/>
      </w:r>
      <w:r w:rsidR="00377C1F" w:rsidRPr="003E5D2A">
        <w:rPr>
          <w:sz w:val="24"/>
          <w:lang w:val="fi-FI"/>
        </w:rPr>
        <w:t xml:space="preserve"> </w:t>
      </w:r>
      <w:r w:rsidR="00377C1F" w:rsidRPr="003E5D2A">
        <w:rPr>
          <w:sz w:val="24"/>
          <w:lang w:val="fi-FI"/>
        </w:rPr>
        <w:tab/>
      </w:r>
      <w:r w:rsidRPr="003E5D2A">
        <w:rPr>
          <w:sz w:val="24"/>
          <w:lang w:val="fi-FI"/>
        </w:rPr>
        <w:t>EGR-asetuksen 3 artiklan mukaisessa merkityksessä.</w:t>
      </w:r>
    </w:p>
  </w:footnote>
  <w:footnote w:id="6">
    <w:p w14:paraId="660D5E04" w14:textId="275D8277" w:rsidR="00E97B24" w:rsidRPr="003E5D2A" w:rsidRDefault="00E97B24" w:rsidP="00377C1F">
      <w:pPr>
        <w:pStyle w:val="FootnoteText"/>
        <w:ind w:left="567" w:hanging="567"/>
        <w:rPr>
          <w:sz w:val="24"/>
          <w:lang w:val="fi-FI"/>
        </w:rPr>
      </w:pPr>
      <w:r w:rsidRPr="003E5D2A">
        <w:rPr>
          <w:rStyle w:val="FootnoteReference"/>
          <w:sz w:val="24"/>
          <w:lang w:val="fi-FI"/>
        </w:rPr>
        <w:footnoteRef/>
      </w:r>
      <w:r w:rsidR="00377C1F" w:rsidRPr="003E5D2A">
        <w:rPr>
          <w:sz w:val="24"/>
          <w:lang w:val="fi-FI"/>
        </w:rPr>
        <w:t xml:space="preserve"> </w:t>
      </w:r>
      <w:r w:rsidR="00377C1F" w:rsidRPr="003E5D2A">
        <w:rPr>
          <w:sz w:val="24"/>
          <w:lang w:val="fi-FI"/>
        </w:rPr>
        <w:tab/>
      </w:r>
      <w:r w:rsidRPr="003E5D2A">
        <w:rPr>
          <w:sz w:val="24"/>
          <w:lang w:val="fi-FI"/>
        </w:rPr>
        <w:t>Rahoituskehysasetuksen 8 artikla.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AF8A6" w14:textId="77777777" w:rsidR="00064002" w:rsidRPr="00377C1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A25F0" w14:textId="77777777" w:rsidR="00064002" w:rsidRPr="00377C1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C20D9" w14:textId="77777777" w:rsidR="00064002" w:rsidRPr="00377C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8217488">
    <w:abstractNumId w:val="9"/>
  </w:num>
  <w:num w:numId="2" w16cid:durableId="1908104203">
    <w:abstractNumId w:val="9"/>
  </w:num>
  <w:num w:numId="3" w16cid:durableId="729882181">
    <w:abstractNumId w:val="7"/>
  </w:num>
  <w:num w:numId="4" w16cid:durableId="1827624910">
    <w:abstractNumId w:val="7"/>
  </w:num>
  <w:num w:numId="5" w16cid:durableId="699597073">
    <w:abstractNumId w:val="6"/>
  </w:num>
  <w:num w:numId="6" w16cid:durableId="1062752536">
    <w:abstractNumId w:val="6"/>
  </w:num>
  <w:num w:numId="7" w16cid:durableId="905408981">
    <w:abstractNumId w:val="5"/>
  </w:num>
  <w:num w:numId="8" w16cid:durableId="1047799159">
    <w:abstractNumId w:val="5"/>
  </w:num>
  <w:num w:numId="9" w16cid:durableId="231739202">
    <w:abstractNumId w:val="4"/>
  </w:num>
  <w:num w:numId="10" w16cid:durableId="6249536">
    <w:abstractNumId w:val="4"/>
  </w:num>
  <w:num w:numId="11" w16cid:durableId="1677728291">
    <w:abstractNumId w:val="8"/>
  </w:num>
  <w:num w:numId="12" w16cid:durableId="1920020612">
    <w:abstractNumId w:val="8"/>
  </w:num>
  <w:num w:numId="13" w16cid:durableId="1170680229">
    <w:abstractNumId w:val="3"/>
  </w:num>
  <w:num w:numId="14" w16cid:durableId="915671993">
    <w:abstractNumId w:val="3"/>
  </w:num>
  <w:num w:numId="15" w16cid:durableId="1035471519">
    <w:abstractNumId w:val="2"/>
  </w:num>
  <w:num w:numId="16" w16cid:durableId="72699230">
    <w:abstractNumId w:val="2"/>
  </w:num>
  <w:num w:numId="17" w16cid:durableId="2127188702">
    <w:abstractNumId w:val="1"/>
  </w:num>
  <w:num w:numId="18" w16cid:durableId="1070618515">
    <w:abstractNumId w:val="1"/>
  </w:num>
  <w:num w:numId="19" w16cid:durableId="1848982505">
    <w:abstractNumId w:val="0"/>
  </w:num>
  <w:num w:numId="20" w16cid:durableId="2055881256">
    <w:abstractNumId w:val="0"/>
  </w:num>
  <w:num w:numId="21" w16cid:durableId="763303381">
    <w:abstractNumId w:val="9"/>
  </w:num>
  <w:num w:numId="22" w16cid:durableId="1860728894">
    <w:abstractNumId w:val="7"/>
  </w:num>
  <w:num w:numId="23" w16cid:durableId="1812400191">
    <w:abstractNumId w:val="6"/>
  </w:num>
  <w:num w:numId="24" w16cid:durableId="1207259406">
    <w:abstractNumId w:val="5"/>
  </w:num>
  <w:num w:numId="25" w16cid:durableId="2028628549">
    <w:abstractNumId w:val="4"/>
  </w:num>
  <w:num w:numId="26" w16cid:durableId="70006202">
    <w:abstractNumId w:val="8"/>
  </w:num>
  <w:num w:numId="27" w16cid:durableId="399181254">
    <w:abstractNumId w:val="3"/>
  </w:num>
  <w:num w:numId="28" w16cid:durableId="395323811">
    <w:abstractNumId w:val="2"/>
  </w:num>
  <w:num w:numId="29" w16cid:durableId="1109200427">
    <w:abstractNumId w:val="1"/>
  </w:num>
  <w:num w:numId="30" w16cid:durableId="2040469795">
    <w:abstractNumId w:val="0"/>
  </w:num>
  <w:num w:numId="31" w16cid:durableId="596400388">
    <w:abstractNumId w:val="9"/>
  </w:num>
  <w:num w:numId="32" w16cid:durableId="240914920">
    <w:abstractNumId w:val="7"/>
  </w:num>
  <w:num w:numId="33" w16cid:durableId="854535448">
    <w:abstractNumId w:val="6"/>
  </w:num>
  <w:num w:numId="34" w16cid:durableId="969937551">
    <w:abstractNumId w:val="5"/>
  </w:num>
  <w:num w:numId="35" w16cid:durableId="415908400">
    <w:abstractNumId w:val="4"/>
  </w:num>
  <w:num w:numId="36" w16cid:durableId="530924959">
    <w:abstractNumId w:val="8"/>
  </w:num>
  <w:num w:numId="37" w16cid:durableId="302856265">
    <w:abstractNumId w:val="3"/>
  </w:num>
  <w:num w:numId="38" w16cid:durableId="324093897">
    <w:abstractNumId w:val="2"/>
  </w:num>
  <w:num w:numId="39" w16cid:durableId="28606273">
    <w:abstractNumId w:val="1"/>
  </w:num>
  <w:num w:numId="40" w16cid:durableId="1387143369">
    <w:abstractNumId w:val="0"/>
  </w:num>
  <w:num w:numId="41" w16cid:durableId="1306591359">
    <w:abstractNumId w:val="10"/>
  </w:num>
  <w:num w:numId="42" w16cid:durableId="155078186">
    <w:abstractNumId w:val="10"/>
  </w:num>
  <w:num w:numId="43" w16cid:durableId="1027020626">
    <w:abstractNumId w:val="10"/>
  </w:num>
  <w:num w:numId="44" w16cid:durableId="13017689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0/2026"/>
    <w:docVar w:name="dvlangue" w:val="FI"/>
    <w:docVar w:name="dvnumam" w:val="0"/>
    <w:docVar w:name="dvpe" w:val="782.416"/>
    <w:docVar w:name="dvrapporteur" w:val="Esittelijä: "/>
    <w:docVar w:name="dvtitre" w:val="Euroopan parlamentin päätös xx. maaliskuuta 2026 ehdotuksesta Euroopan parlamentin ja neuvoston päätökseksi työttömiksi jääneitä työntekijöitä tukevan Euroopan globalisaatiorahaston varojen käyttöönotosta Belgian hakemuksen johdosta – EGF/2025/004 BE/Tupperware (COM(2026)0001 – C10-0012/2026 – 2026/0004(BUD))"/>
  </w:docVars>
  <w:rsids>
    <w:rsidRoot w:val="001D3E29"/>
    <w:rsid w:val="00002272"/>
    <w:rsid w:val="00004F2E"/>
    <w:rsid w:val="00064002"/>
    <w:rsid w:val="000677B9"/>
    <w:rsid w:val="000831BA"/>
    <w:rsid w:val="000A42CC"/>
    <w:rsid w:val="000E7DD9"/>
    <w:rsid w:val="0010095E"/>
    <w:rsid w:val="00125B37"/>
    <w:rsid w:val="00133AA7"/>
    <w:rsid w:val="00187494"/>
    <w:rsid w:val="001D3E29"/>
    <w:rsid w:val="001F32AE"/>
    <w:rsid w:val="00232497"/>
    <w:rsid w:val="002767FF"/>
    <w:rsid w:val="002820F2"/>
    <w:rsid w:val="002848A8"/>
    <w:rsid w:val="002B18FE"/>
    <w:rsid w:val="002B5493"/>
    <w:rsid w:val="002F1E3E"/>
    <w:rsid w:val="00343214"/>
    <w:rsid w:val="00361C00"/>
    <w:rsid w:val="0037506B"/>
    <w:rsid w:val="00377C1F"/>
    <w:rsid w:val="00395FA1"/>
    <w:rsid w:val="003A4933"/>
    <w:rsid w:val="003E15D4"/>
    <w:rsid w:val="003E5D2A"/>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0C37"/>
    <w:rsid w:val="006F74FA"/>
    <w:rsid w:val="00731ADD"/>
    <w:rsid w:val="00734777"/>
    <w:rsid w:val="00747932"/>
    <w:rsid w:val="00751A4A"/>
    <w:rsid w:val="00756632"/>
    <w:rsid w:val="00762C74"/>
    <w:rsid w:val="00767C78"/>
    <w:rsid w:val="007735DE"/>
    <w:rsid w:val="00786EC0"/>
    <w:rsid w:val="007D1690"/>
    <w:rsid w:val="007E22AD"/>
    <w:rsid w:val="00817416"/>
    <w:rsid w:val="00834CEF"/>
    <w:rsid w:val="00842779"/>
    <w:rsid w:val="00865F67"/>
    <w:rsid w:val="00881A7B"/>
    <w:rsid w:val="008840E5"/>
    <w:rsid w:val="00887B3E"/>
    <w:rsid w:val="008C2AC6"/>
    <w:rsid w:val="00930C23"/>
    <w:rsid w:val="0093193B"/>
    <w:rsid w:val="009509D8"/>
    <w:rsid w:val="00950B64"/>
    <w:rsid w:val="00981893"/>
    <w:rsid w:val="00A1687D"/>
    <w:rsid w:val="00A43E52"/>
    <w:rsid w:val="00A442ED"/>
    <w:rsid w:val="00A4678D"/>
    <w:rsid w:val="00A71223"/>
    <w:rsid w:val="00A778C7"/>
    <w:rsid w:val="00AB441E"/>
    <w:rsid w:val="00AB6293"/>
    <w:rsid w:val="00AE0928"/>
    <w:rsid w:val="00AF3B82"/>
    <w:rsid w:val="00B12E95"/>
    <w:rsid w:val="00B22876"/>
    <w:rsid w:val="00B558F0"/>
    <w:rsid w:val="00BD48FE"/>
    <w:rsid w:val="00BD7BD8"/>
    <w:rsid w:val="00BE6ADC"/>
    <w:rsid w:val="00C05BFE"/>
    <w:rsid w:val="00C236C8"/>
    <w:rsid w:val="00C23CD4"/>
    <w:rsid w:val="00C61C0C"/>
    <w:rsid w:val="00C941CB"/>
    <w:rsid w:val="00CC2357"/>
    <w:rsid w:val="00CF071A"/>
    <w:rsid w:val="00D058B8"/>
    <w:rsid w:val="00D4200A"/>
    <w:rsid w:val="00D55B5E"/>
    <w:rsid w:val="00D56C11"/>
    <w:rsid w:val="00D834A0"/>
    <w:rsid w:val="00D872DF"/>
    <w:rsid w:val="00D91E21"/>
    <w:rsid w:val="00DA7FCD"/>
    <w:rsid w:val="00E365E1"/>
    <w:rsid w:val="00E64324"/>
    <w:rsid w:val="00E820A4"/>
    <w:rsid w:val="00E97B24"/>
    <w:rsid w:val="00E97F9C"/>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528C17"/>
  <w15:chartTrackingRefBased/>
  <w15:docId w15:val="{00107789-2457-459A-8181-F5F8953D2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97B2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E97B24"/>
    <w:pPr>
      <w:keepNext/>
      <w:spacing w:after="480"/>
      <w:jc w:val="center"/>
    </w:pPr>
    <w:rPr>
      <w:rFonts w:ascii="Arial" w:hAnsi="Arial" w:cs="Arial"/>
      <w:b/>
    </w:rPr>
  </w:style>
  <w:style w:type="paragraph" w:customStyle="1" w:styleId="NormalHanging12a">
    <w:name w:val="NormalHanging12a"/>
    <w:basedOn w:val="Normal"/>
    <w:link w:val="NormalHanging12aChar"/>
    <w:rsid w:val="00E97B24"/>
    <w:pPr>
      <w:spacing w:after="240"/>
      <w:ind w:left="567" w:hanging="567"/>
    </w:pPr>
  </w:style>
  <w:style w:type="paragraph" w:styleId="Header">
    <w:name w:val="header"/>
    <w:basedOn w:val="Normal"/>
    <w:link w:val="HeaderChar"/>
    <w:rsid w:val="00E97B24"/>
    <w:pPr>
      <w:tabs>
        <w:tab w:val="center" w:pos="4513"/>
        <w:tab w:val="right" w:pos="9026"/>
      </w:tabs>
    </w:pPr>
  </w:style>
  <w:style w:type="character" w:customStyle="1" w:styleId="HeaderChar">
    <w:name w:val="Header Char"/>
    <w:basedOn w:val="DefaultParagraphFont"/>
    <w:link w:val="Header"/>
    <w:rsid w:val="00E97B24"/>
    <w:rPr>
      <w:sz w:val="24"/>
      <w:lang w:val="fi-FI"/>
    </w:rPr>
  </w:style>
  <w:style w:type="paragraph" w:customStyle="1" w:styleId="EPFooter">
    <w:name w:val="EPFooter"/>
    <w:basedOn w:val="Normal"/>
    <w:rsid w:val="00E97B24"/>
    <w:pPr>
      <w:tabs>
        <w:tab w:val="center" w:pos="4535"/>
        <w:tab w:val="right" w:pos="9071"/>
      </w:tabs>
      <w:spacing w:before="240" w:after="240"/>
    </w:pPr>
    <w:rPr>
      <w:color w:val="010000"/>
      <w:sz w:val="22"/>
    </w:rPr>
  </w:style>
  <w:style w:type="paragraph" w:customStyle="1" w:styleId="EPComma">
    <w:name w:val="EPComma"/>
    <w:basedOn w:val="Normal"/>
    <w:rsid w:val="00E97B24"/>
    <w:pPr>
      <w:spacing w:before="480" w:after="240"/>
    </w:pPr>
  </w:style>
  <w:style w:type="character" w:styleId="Hyperlink">
    <w:name w:val="Hyperlink"/>
    <w:basedOn w:val="DefaultParagraphFont"/>
    <w:uiPriority w:val="99"/>
    <w:rsid w:val="00E97B24"/>
    <w:rPr>
      <w:color w:val="0563C1" w:themeColor="hyperlink"/>
      <w:u w:val="single"/>
    </w:rPr>
  </w:style>
  <w:style w:type="paragraph" w:customStyle="1" w:styleId="Institutionquiagit">
    <w:name w:val="Institution qui agit"/>
    <w:basedOn w:val="Normal"/>
    <w:next w:val="Normal"/>
    <w:rsid w:val="00E97B24"/>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E97B24"/>
    <w:pPr>
      <w:widowControl/>
      <w:spacing w:before="120" w:after="120"/>
      <w:ind w:left="709" w:hanging="709"/>
      <w:jc w:val="both"/>
    </w:pPr>
    <w:rPr>
      <w:rFonts w:eastAsiaTheme="minorHAnsi"/>
      <w:szCs w:val="22"/>
      <w:lang w:eastAsia="en-US"/>
    </w:rPr>
  </w:style>
  <w:style w:type="paragraph" w:customStyle="1" w:styleId="Institutionquisigne">
    <w:name w:val="Institution qui signe"/>
    <w:basedOn w:val="Normal"/>
    <w:next w:val="Normal"/>
    <w:rsid w:val="00E97B24"/>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E97B24"/>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E97B24"/>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E97B24"/>
    <w:pPr>
      <w:keepNext/>
      <w:widowControl/>
      <w:spacing w:before="120" w:after="120"/>
      <w:jc w:val="both"/>
    </w:pPr>
    <w:rPr>
      <w:rFonts w:eastAsiaTheme="minorHAnsi"/>
      <w:szCs w:val="22"/>
      <w:lang w:eastAsia="en-US"/>
    </w:rPr>
  </w:style>
  <w:style w:type="character" w:customStyle="1" w:styleId="PageHeadingChar">
    <w:name w:val="PageHeading Char"/>
    <w:basedOn w:val="DefaultParagraphFont"/>
    <w:link w:val="PageHeading"/>
    <w:locked/>
    <w:rsid w:val="00E97B24"/>
    <w:rPr>
      <w:rFonts w:ascii="Arial" w:hAnsi="Arial" w:cs="Arial"/>
      <w:b/>
      <w:sz w:val="24"/>
      <w:lang w:val="fi-FI"/>
    </w:rPr>
  </w:style>
  <w:style w:type="character" w:customStyle="1" w:styleId="NormalHanging12aChar">
    <w:name w:val="NormalHanging12a Char"/>
    <w:basedOn w:val="DefaultParagraphFont"/>
    <w:link w:val="NormalHanging12a"/>
    <w:locked/>
    <w:rsid w:val="00E97B24"/>
    <w:rPr>
      <w:sz w:val="24"/>
      <w:lang w:val="fi-FI"/>
    </w:rPr>
  </w:style>
  <w:style w:type="paragraph" w:customStyle="1" w:styleId="Personnequisigne">
    <w:name w:val="Personne qui signe"/>
    <w:basedOn w:val="Normal"/>
    <w:next w:val="Institutionquisigne"/>
    <w:rsid w:val="00E97B24"/>
    <w:pPr>
      <w:widowControl/>
      <w:tabs>
        <w:tab w:val="left" w:pos="4252"/>
      </w:tabs>
    </w:pPr>
    <w:rPr>
      <w:rFonts w:eastAsiaTheme="minorHAnsi"/>
      <w:i/>
      <w:szCs w:val="22"/>
      <w:lang w:eastAsia="en-US"/>
    </w:rPr>
  </w:style>
  <w:style w:type="paragraph" w:styleId="Footer">
    <w:name w:val="footer"/>
    <w:basedOn w:val="Normal"/>
    <w:link w:val="FooterChar"/>
    <w:rsid w:val="00E64324"/>
    <w:pPr>
      <w:tabs>
        <w:tab w:val="center" w:pos="4513"/>
        <w:tab w:val="right" w:pos="9026"/>
      </w:tabs>
    </w:pPr>
  </w:style>
  <w:style w:type="character" w:customStyle="1" w:styleId="FooterChar">
    <w:name w:val="Footer Char"/>
    <w:basedOn w:val="DefaultParagraphFont"/>
    <w:link w:val="Footer"/>
    <w:rsid w:val="00E64324"/>
    <w:rPr>
      <w:sz w:val="24"/>
      <w:lang w:val="fi-FI"/>
    </w:rPr>
  </w:style>
  <w:style w:type="paragraph" w:styleId="Revision">
    <w:name w:val="Revision"/>
    <w:hidden/>
    <w:uiPriority w:val="99"/>
    <w:semiHidden/>
    <w:rsid w:val="00E64324"/>
    <w:rPr>
      <w:sz w:val="24"/>
      <w:lang w:val="fi-FI"/>
    </w:rPr>
  </w:style>
  <w:style w:type="character" w:styleId="CommentReference">
    <w:name w:val="annotation reference"/>
    <w:basedOn w:val="DefaultParagraphFont"/>
    <w:rsid w:val="00834CEF"/>
    <w:rPr>
      <w:sz w:val="16"/>
      <w:szCs w:val="16"/>
    </w:rPr>
  </w:style>
  <w:style w:type="paragraph" w:styleId="CommentText">
    <w:name w:val="annotation text"/>
    <w:basedOn w:val="Normal"/>
    <w:link w:val="CommentTextChar"/>
    <w:rsid w:val="00834CEF"/>
    <w:rPr>
      <w:sz w:val="20"/>
    </w:rPr>
  </w:style>
  <w:style w:type="character" w:customStyle="1" w:styleId="CommentTextChar">
    <w:name w:val="Comment Text Char"/>
    <w:basedOn w:val="DefaultParagraphFont"/>
    <w:link w:val="CommentText"/>
    <w:rsid w:val="00834CEF"/>
    <w:rPr>
      <w:lang w:val="fi-FI"/>
    </w:rPr>
  </w:style>
  <w:style w:type="paragraph" w:styleId="CommentSubject">
    <w:name w:val="annotation subject"/>
    <w:basedOn w:val="CommentText"/>
    <w:next w:val="CommentText"/>
    <w:link w:val="CommentSubjectChar"/>
    <w:rsid w:val="00834CEF"/>
    <w:rPr>
      <w:b/>
      <w:bCs/>
    </w:rPr>
  </w:style>
  <w:style w:type="character" w:customStyle="1" w:styleId="CommentSubjectChar">
    <w:name w:val="Comment Subject Char"/>
    <w:basedOn w:val="CommentTextChar"/>
    <w:link w:val="CommentSubject"/>
    <w:rsid w:val="00834CEF"/>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1624</Words>
  <Characters>9257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2026-05-11T12:27:00Z</dcterms:created>
  <dcterms:modified xsi:type="dcterms:W3CDTF">2026-05-11T12:27:00Z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P10_TA(2026)0073_</vt:lpwstr>
  </property>
  <property fmtid="{D5CDD505-2E9C-101B-9397-08002B2CF9AE}" pid="4" name="&lt;Type&gt;">
    <vt:lpwstr>RR</vt:lpwstr>
  </property>
</Properties>
</file>