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29C1" w14:paraId="356D0DFA" w14:textId="77777777" w:rsidTr="0010095E">
        <w:trPr>
          <w:trHeight w:hRule="exact" w:val="1418"/>
        </w:trPr>
        <w:tc>
          <w:tcPr>
            <w:tcW w:w="6804" w:type="dxa"/>
            <w:shd w:val="clear" w:color="auto" w:fill="auto"/>
            <w:vAlign w:val="center"/>
          </w:tcPr>
          <w:p w14:paraId="59B7E154" w14:textId="77777777" w:rsidR="00751A4A" w:rsidRPr="00AA29C1" w:rsidRDefault="00CE4819" w:rsidP="0010095E">
            <w:pPr>
              <w:pStyle w:val="EPName"/>
            </w:pPr>
            <w:r w:rsidRPr="00AA29C1">
              <w:t>Europski parlament</w:t>
            </w:r>
          </w:p>
          <w:p w14:paraId="7E4C348B" w14:textId="77777777" w:rsidR="00751A4A" w:rsidRPr="00AA29C1" w:rsidRDefault="005F1B17" w:rsidP="005F1B17">
            <w:pPr>
              <w:pStyle w:val="EPTerm"/>
              <w:rPr>
                <w:rStyle w:val="HideTWBExt"/>
                <w:noProof w:val="0"/>
                <w:vanish w:val="0"/>
                <w:color w:val="auto"/>
              </w:rPr>
            </w:pPr>
            <w:r w:rsidRPr="00AA29C1">
              <w:t>2024</w:t>
            </w:r>
            <w:r w:rsidR="00817416" w:rsidRPr="00AA29C1">
              <w:t>-202</w:t>
            </w:r>
            <w:r w:rsidRPr="00AA29C1">
              <w:t>9</w:t>
            </w:r>
          </w:p>
        </w:tc>
        <w:tc>
          <w:tcPr>
            <w:tcW w:w="2268" w:type="dxa"/>
            <w:shd w:val="clear" w:color="auto" w:fill="auto"/>
          </w:tcPr>
          <w:p w14:paraId="4C88C151" w14:textId="77777777" w:rsidR="00751A4A" w:rsidRPr="00AA29C1" w:rsidRDefault="00187494" w:rsidP="0010095E">
            <w:pPr>
              <w:pStyle w:val="EPLogo"/>
            </w:pPr>
            <w:r w:rsidRPr="00AA29C1">
              <w:rPr>
                <w:noProof/>
                <w:lang w:eastAsia="ja-JP"/>
              </w:rPr>
              <w:drawing>
                <wp:inline distT="0" distB="0" distL="0" distR="0" wp14:anchorId="2C91180F" wp14:editId="5554CB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BE0996" w14:textId="77777777" w:rsidR="00D058B8" w:rsidRPr="00AA29C1" w:rsidRDefault="00D058B8" w:rsidP="004C5D52">
      <w:pPr>
        <w:pStyle w:val="LineTop"/>
      </w:pPr>
    </w:p>
    <w:p w14:paraId="1C828A33" w14:textId="77777777" w:rsidR="00680577" w:rsidRPr="00AA29C1" w:rsidRDefault="00CE4819" w:rsidP="00680577">
      <w:pPr>
        <w:pStyle w:val="EPBodyTA1"/>
      </w:pPr>
      <w:r w:rsidRPr="00AA29C1">
        <w:t>USVOJENI TEKSTOVI</w:t>
      </w:r>
    </w:p>
    <w:p w14:paraId="56FC7DAC" w14:textId="77777777" w:rsidR="00D058B8" w:rsidRPr="00AA29C1" w:rsidRDefault="00D058B8" w:rsidP="00D058B8">
      <w:pPr>
        <w:pStyle w:val="LineBottom"/>
      </w:pPr>
    </w:p>
    <w:p w14:paraId="2F6E23B3" w14:textId="6046B80B" w:rsidR="00CE4819" w:rsidRPr="00AA29C1" w:rsidRDefault="00CE4819" w:rsidP="00CE4819">
      <w:pPr>
        <w:pStyle w:val="ATHeading1"/>
      </w:pPr>
      <w:bookmarkStart w:id="0" w:name="TANumber"/>
      <w:r w:rsidRPr="00AA29C1">
        <w:t>P10_TA(2026)00</w:t>
      </w:r>
      <w:r w:rsidR="00E917D6">
        <w:t>73</w:t>
      </w:r>
      <w:bookmarkEnd w:id="0"/>
    </w:p>
    <w:p w14:paraId="2F5C594E" w14:textId="77777777" w:rsidR="00CE4819" w:rsidRPr="00AA29C1" w:rsidRDefault="00CE4819" w:rsidP="00CE4819">
      <w:pPr>
        <w:pStyle w:val="ATHeading2"/>
      </w:pPr>
      <w:bookmarkStart w:id="1" w:name="title"/>
      <w:r w:rsidRPr="00AA29C1">
        <w:t>Mobilizacija Europskog fonda za prilagodbu globalizaciji za radnike koji su proglašeni viškom: zahtjev EGF/2025/004 BE/</w:t>
      </w:r>
      <w:proofErr w:type="spellStart"/>
      <w:r w:rsidRPr="00AA29C1">
        <w:t>Tupperware</w:t>
      </w:r>
      <w:proofErr w:type="spellEnd"/>
      <w:r w:rsidRPr="00AA29C1">
        <w:t xml:space="preserve"> – Belgija</w:t>
      </w:r>
      <w:bookmarkEnd w:id="1"/>
    </w:p>
    <w:p w14:paraId="04DABF8F" w14:textId="77777777" w:rsidR="00CE4819" w:rsidRPr="00AA29C1" w:rsidRDefault="00CE4819" w:rsidP="00CE4819">
      <w:pPr>
        <w:rPr>
          <w:i/>
          <w:vanish/>
        </w:rPr>
      </w:pPr>
      <w:r w:rsidRPr="00AA29C1">
        <w:rPr>
          <w:i/>
        </w:rPr>
        <w:fldChar w:fldCharType="begin"/>
      </w:r>
      <w:r w:rsidRPr="00AA29C1">
        <w:rPr>
          <w:i/>
        </w:rPr>
        <w:instrText xml:space="preserve"> TC"(</w:instrText>
      </w:r>
      <w:bookmarkStart w:id="2" w:name="DocNumber"/>
      <w:r w:rsidRPr="00AA29C1">
        <w:rPr>
          <w:i/>
        </w:rPr>
        <w:instrText>A10-0030/2026</w:instrText>
      </w:r>
      <w:bookmarkEnd w:id="2"/>
      <w:r w:rsidRPr="00AA29C1">
        <w:rPr>
          <w:i/>
        </w:rPr>
        <w:instrText xml:space="preserve"> - Izvjestitelj: Jean-Marc </w:instrText>
      </w:r>
      <w:proofErr w:type="spellStart"/>
      <w:r w:rsidRPr="00AA29C1">
        <w:rPr>
          <w:i/>
        </w:rPr>
        <w:instrText>Germain</w:instrText>
      </w:r>
      <w:proofErr w:type="spellEnd"/>
      <w:r w:rsidRPr="00AA29C1">
        <w:rPr>
          <w:i/>
        </w:rPr>
        <w:instrText xml:space="preserve">)"\l3 \n&gt; \* MERGEFORMAT </w:instrText>
      </w:r>
      <w:r w:rsidRPr="00AA29C1">
        <w:rPr>
          <w:i/>
        </w:rPr>
        <w:fldChar w:fldCharType="end"/>
      </w:r>
    </w:p>
    <w:p w14:paraId="56F38998" w14:textId="77777777" w:rsidR="00CE4819" w:rsidRPr="00AA29C1" w:rsidRDefault="00CE4819" w:rsidP="00CE4819">
      <w:pPr>
        <w:rPr>
          <w:vanish/>
        </w:rPr>
      </w:pPr>
      <w:bookmarkStart w:id="3" w:name="Commission"/>
      <w:r w:rsidRPr="00AA29C1">
        <w:rPr>
          <w:vanish/>
        </w:rPr>
        <w:t>Odbor za proračune</w:t>
      </w:r>
      <w:bookmarkEnd w:id="3"/>
    </w:p>
    <w:p w14:paraId="57F27258" w14:textId="77777777" w:rsidR="00CE4819" w:rsidRPr="00AA29C1" w:rsidRDefault="00CE4819" w:rsidP="00CE4819">
      <w:pPr>
        <w:rPr>
          <w:vanish/>
        </w:rPr>
      </w:pPr>
      <w:bookmarkStart w:id="4" w:name="PE"/>
      <w:r w:rsidRPr="00AA29C1">
        <w:rPr>
          <w:vanish/>
        </w:rPr>
        <w:t>PE782.416</w:t>
      </w:r>
      <w:bookmarkEnd w:id="4"/>
    </w:p>
    <w:p w14:paraId="0B1989EA" w14:textId="2ED512A2" w:rsidR="00CE4819" w:rsidRPr="00AA29C1" w:rsidRDefault="00CE4819" w:rsidP="00CE4819">
      <w:pPr>
        <w:pStyle w:val="ATHeading3"/>
      </w:pPr>
      <w:bookmarkStart w:id="5" w:name="Sujet"/>
      <w:r w:rsidRPr="00AA29C1">
        <w:t xml:space="preserve">Rezolucija Europskog parlamenta od </w:t>
      </w:r>
      <w:r w:rsidR="00AA29C1">
        <w:t>11</w:t>
      </w:r>
      <w:r w:rsidRPr="00AA29C1">
        <w:t xml:space="preserve">. </w:t>
      </w:r>
      <w:r w:rsidR="00AA29C1">
        <w:t xml:space="preserve">ožujka </w:t>
      </w:r>
      <w:r w:rsidRPr="00AA29C1">
        <w:t>2026. o Prijedlogu odluke Europskog parlamenta i Vijeća o mobilizaciji Europskog fonda za prilagodbu globalizaciji za radnike koji su proglašeni viškom na temelju zahtjeva Belgije – EGF/2025/004 BE/</w:t>
      </w:r>
      <w:proofErr w:type="spellStart"/>
      <w:r w:rsidRPr="00AA29C1">
        <w:t>Tupperware</w:t>
      </w:r>
      <w:proofErr w:type="spellEnd"/>
      <w:r w:rsidRPr="00AA29C1">
        <w:t xml:space="preserve"> </w:t>
      </w:r>
      <w:bookmarkStart w:id="6" w:name="References"/>
      <w:bookmarkEnd w:id="5"/>
      <w:r w:rsidRPr="00AA29C1">
        <w:t>(COM(2026)0001 – C10-0012/2026 – 2026/0004(BUD))</w:t>
      </w:r>
      <w:bookmarkEnd w:id="6"/>
    </w:p>
    <w:p w14:paraId="3722F813" w14:textId="77777777" w:rsidR="00F509D9" w:rsidRPr="00AA29C1" w:rsidRDefault="00F509D9" w:rsidP="00F509D9">
      <w:pPr>
        <w:pStyle w:val="EPComma"/>
        <w:rPr>
          <w:noProof/>
        </w:rPr>
      </w:pPr>
      <w:r w:rsidRPr="00AA29C1">
        <w:rPr>
          <w:i/>
        </w:rPr>
        <w:t>Europski parlament</w:t>
      </w:r>
      <w:r w:rsidRPr="00AA29C1">
        <w:t>,</w:t>
      </w:r>
    </w:p>
    <w:p w14:paraId="5393BBFB" w14:textId="77777777" w:rsidR="00F509D9" w:rsidRPr="00AA29C1" w:rsidRDefault="00F509D9" w:rsidP="00F509D9">
      <w:pPr>
        <w:pStyle w:val="NormalHanging12a"/>
        <w:rPr>
          <w:noProof/>
        </w:rPr>
      </w:pPr>
      <w:r w:rsidRPr="00AA29C1">
        <w:t>–</w:t>
      </w:r>
      <w:r w:rsidRPr="00AA29C1">
        <w:tab/>
        <w:t>uzimajući u obzir prijedlog Komisije upućen Europskom parlamentu i Vijeću (COM(2026)0001 – C10</w:t>
      </w:r>
      <w:r w:rsidRPr="00AA29C1">
        <w:noBreakHyphen/>
        <w:t>0012/2026),</w:t>
      </w:r>
    </w:p>
    <w:p w14:paraId="659F662C" w14:textId="77777777" w:rsidR="00F509D9" w:rsidRPr="00AA29C1" w:rsidRDefault="00F509D9" w:rsidP="00F509D9">
      <w:pPr>
        <w:pStyle w:val="NormalHanging12a"/>
      </w:pPr>
      <w:r w:rsidRPr="00AA29C1">
        <w:t>–</w:t>
      </w:r>
      <w:r w:rsidRPr="00AA29C1">
        <w:tab/>
        <w:t>uzimajući u obzir Uredbu (EU) 2021/691 Europskog parlamenta i Vijeća od 28. travnja 2021. o Europskom fondu za prilagodbu globalizaciji za radnike koji su proglašeni viškom (EGF) i stavljanju izvan snage Uredbe (EU) br. 1309/2013</w:t>
      </w:r>
      <w:r w:rsidRPr="00AA29C1">
        <w:rPr>
          <w:vertAlign w:val="superscript"/>
        </w:rPr>
        <w:footnoteReference w:id="1"/>
      </w:r>
      <w:r w:rsidRPr="00AA29C1">
        <w:t xml:space="preserve"> („Uredba o EGF-u”), </w:t>
      </w:r>
    </w:p>
    <w:p w14:paraId="2F1F8598" w14:textId="77777777" w:rsidR="00F509D9" w:rsidRPr="00AA29C1" w:rsidRDefault="00F509D9" w:rsidP="00F509D9">
      <w:pPr>
        <w:pStyle w:val="NormalHanging12a"/>
        <w:rPr>
          <w:noProof/>
        </w:rPr>
      </w:pPr>
      <w:r w:rsidRPr="00AA29C1">
        <w:t>–</w:t>
      </w:r>
      <w:r w:rsidRPr="00AA29C1">
        <w:tab/>
        <w:t>uzimajući u obzir Uredbu Vijeća (EU, Euratom) 2020/2093 od 17. prosinca 2020. kojom se utvrđuje višegodišnji financijski okvir za razdoblje 2021. – 2027.</w:t>
      </w:r>
      <w:r w:rsidRPr="00AA29C1">
        <w:rPr>
          <w:noProof/>
          <w:vertAlign w:val="superscript"/>
        </w:rPr>
        <w:footnoteReference w:id="2"/>
      </w:r>
      <w:r w:rsidRPr="00AA29C1">
        <w:t>, kako je izmijenjena Uredbom (EU, Euratom) 2024/765</w:t>
      </w:r>
      <w:r w:rsidRPr="00AA29C1">
        <w:rPr>
          <w:noProof/>
          <w:vertAlign w:val="superscript"/>
        </w:rPr>
        <w:footnoteReference w:id="3"/>
      </w:r>
      <w:r w:rsidRPr="00AA29C1">
        <w:t xml:space="preserve"> („Uredba o VFO-u”), a posebno njezin članak 8., </w:t>
      </w:r>
    </w:p>
    <w:p w14:paraId="6754E95D" w14:textId="77777777" w:rsidR="00F509D9" w:rsidRPr="00AA29C1" w:rsidRDefault="00F509D9" w:rsidP="00F509D9">
      <w:pPr>
        <w:pStyle w:val="NormalHanging12a"/>
        <w:rPr>
          <w:noProof/>
        </w:rPr>
      </w:pPr>
      <w:r w:rsidRPr="00AA29C1">
        <w:t>–</w:t>
      </w:r>
      <w:r w:rsidRPr="00AA29C1">
        <w:tab/>
        <w:t xml:space="preserve">uzimajući u obzir </w:t>
      </w:r>
      <w:proofErr w:type="spellStart"/>
      <w:r w:rsidRPr="00AA29C1">
        <w:t>Međuinstitucijski</w:t>
      </w:r>
      <w:proofErr w:type="spellEnd"/>
      <w:r w:rsidRPr="00AA29C1">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AA29C1">
        <w:rPr>
          <w:rStyle w:val="FootnoteReference"/>
          <w:noProof/>
        </w:rPr>
        <w:footnoteReference w:id="4"/>
      </w:r>
      <w:r w:rsidRPr="00AA29C1">
        <w:t xml:space="preserve">, a posebno </w:t>
      </w:r>
      <w:r w:rsidRPr="00AA29C1">
        <w:lastRenderedPageBreak/>
        <w:t>njegovu točku 9.,</w:t>
      </w:r>
    </w:p>
    <w:p w14:paraId="3F898A20" w14:textId="77777777" w:rsidR="00F509D9" w:rsidRPr="00AA29C1" w:rsidRDefault="00F509D9" w:rsidP="00F509D9">
      <w:pPr>
        <w:pStyle w:val="NormalHanging12a"/>
        <w:rPr>
          <w:noProof/>
        </w:rPr>
      </w:pPr>
      <w:r w:rsidRPr="00AA29C1">
        <w:t>–</w:t>
      </w:r>
      <w:r w:rsidRPr="00AA29C1">
        <w:tab/>
        <w:t>uzimajući u obzir europski stup socijalnih prava,</w:t>
      </w:r>
    </w:p>
    <w:p w14:paraId="1A84B256" w14:textId="77777777" w:rsidR="00F509D9" w:rsidRPr="00AA29C1" w:rsidRDefault="00F509D9" w:rsidP="00F509D9">
      <w:pPr>
        <w:pStyle w:val="NormalHanging12a"/>
        <w:rPr>
          <w:noProof/>
        </w:rPr>
      </w:pPr>
      <w:r w:rsidRPr="00AA29C1">
        <w:t>–</w:t>
      </w:r>
      <w:r w:rsidRPr="00AA29C1">
        <w:tab/>
        <w:t>uzimajući u obzir mišljenje Odbora za zapošljavanje i socijalna pitanja,</w:t>
      </w:r>
    </w:p>
    <w:p w14:paraId="6FBA565F" w14:textId="77777777" w:rsidR="00F509D9" w:rsidRPr="00AA29C1" w:rsidRDefault="00F509D9" w:rsidP="00F509D9">
      <w:pPr>
        <w:pStyle w:val="NormalHanging12a"/>
      </w:pPr>
      <w:r w:rsidRPr="00AA29C1">
        <w:t>–</w:t>
      </w:r>
      <w:r w:rsidRPr="00AA29C1">
        <w:tab/>
        <w:t>uzimajući u obzir izvješće Odbora za proračune (A10</w:t>
      </w:r>
      <w:r w:rsidRPr="00AA29C1">
        <w:noBreakHyphen/>
        <w:t>0030/2026),</w:t>
      </w:r>
    </w:p>
    <w:p w14:paraId="5A905F24" w14:textId="77777777" w:rsidR="00F509D9" w:rsidRPr="00AA29C1" w:rsidRDefault="00F509D9" w:rsidP="00F509D9">
      <w:pPr>
        <w:pStyle w:val="NormalHanging12a"/>
        <w:rPr>
          <w:noProof/>
        </w:rPr>
      </w:pPr>
      <w:r w:rsidRPr="00AA29C1">
        <w:t>A.</w:t>
      </w:r>
      <w:r w:rsidRPr="00AA29C1">
        <w:tab/>
        <w:t>budući da je Europska unija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 budući da se ta pomoć ostvaruje u obliku financijske potpore radnicima;</w:t>
      </w:r>
    </w:p>
    <w:p w14:paraId="6F9EBFD1" w14:textId="1710C604" w:rsidR="00F509D9" w:rsidRPr="00AA29C1" w:rsidRDefault="00F509D9" w:rsidP="00F509D9">
      <w:pPr>
        <w:pStyle w:val="NormalHanging12a"/>
        <w:rPr>
          <w:noProof/>
        </w:rPr>
      </w:pPr>
      <w:r w:rsidRPr="00AA29C1">
        <w:t>B.</w:t>
      </w:r>
      <w:r w:rsidRPr="00AA29C1">
        <w:tab/>
        <w:t>budući da je Belgija podnijela zahtjev EGF/2025/004 BE/</w:t>
      </w:r>
      <w:proofErr w:type="spellStart"/>
      <w:r w:rsidRPr="00AA29C1">
        <w:t>Tupperware</w:t>
      </w:r>
      <w:proofErr w:type="spellEnd"/>
      <w:r w:rsidRPr="00AA29C1">
        <w:t xml:space="preserve"> za financijski doprinos iz </w:t>
      </w:r>
      <w:r w:rsidR="0033584C">
        <w:t>Europskog fonda za prilagodbu globalizaciji (</w:t>
      </w:r>
      <w:r w:rsidRPr="00AA29C1">
        <w:t>EGF</w:t>
      </w:r>
      <w:r w:rsidR="0033584C">
        <w:t xml:space="preserve">) </w:t>
      </w:r>
      <w:r w:rsidRPr="00AA29C1">
        <w:t>nakon otpuštanja 267 radnika</w:t>
      </w:r>
      <w:r w:rsidRPr="00AA29C1">
        <w:rPr>
          <w:noProof/>
          <w:vertAlign w:val="superscript"/>
        </w:rPr>
        <w:footnoteReference w:id="5"/>
      </w:r>
      <w:r w:rsidRPr="00AA29C1">
        <w:t xml:space="preserve"> u poduzeću </w:t>
      </w:r>
      <w:proofErr w:type="spellStart"/>
      <w:r w:rsidRPr="00AA29C1">
        <w:t>Tupperware</w:t>
      </w:r>
      <w:proofErr w:type="spellEnd"/>
      <w:r w:rsidRPr="00AA29C1">
        <w:t xml:space="preserve"> General </w:t>
      </w:r>
      <w:proofErr w:type="spellStart"/>
      <w:r w:rsidRPr="00AA29C1">
        <w:t>Services</w:t>
      </w:r>
      <w:proofErr w:type="spellEnd"/>
      <w:r w:rsidRPr="00AA29C1">
        <w:t xml:space="preserve"> NV (</w:t>
      </w:r>
      <w:proofErr w:type="spellStart"/>
      <w:r w:rsidRPr="00AA29C1">
        <w:t>Tupperware</w:t>
      </w:r>
      <w:proofErr w:type="spellEnd"/>
      <w:r w:rsidRPr="00AA29C1">
        <w:t xml:space="preserve">) u sektoru gospodarstva svrstanom u odjeljak 22. NACE-a </w:t>
      </w:r>
      <w:proofErr w:type="spellStart"/>
      <w:r w:rsidRPr="00AA29C1">
        <w:t>Rev</w:t>
      </w:r>
      <w:proofErr w:type="spellEnd"/>
      <w:r w:rsidRPr="00AA29C1">
        <w:t xml:space="preserve">. 2 (Proizvodnja gumenih i plastičnih proizvoda) u pokrajini Istočnoj Flandriji (BE23), u referentnom razdoblju od 17. veljače 2025. do 17. lipnja 2025.; </w:t>
      </w:r>
    </w:p>
    <w:p w14:paraId="3831A9AA" w14:textId="750B6AA7" w:rsidR="00F509D9" w:rsidRPr="00AA29C1" w:rsidRDefault="00F509D9" w:rsidP="00F509D9">
      <w:pPr>
        <w:pStyle w:val="NormalHanging12a"/>
        <w:rPr>
          <w:noProof/>
        </w:rPr>
      </w:pPr>
      <w:r w:rsidRPr="00AA29C1">
        <w:t>C.</w:t>
      </w:r>
      <w:r w:rsidRPr="00AA29C1">
        <w:tab/>
        <w:t xml:space="preserve">budući da se zahtjev temelji na intervencijskim kriterijima iz članka 4. stavka 2. točke (a) Uredbe o EGF-u, kojima se propisuje da je potrebno da </w:t>
      </w:r>
      <w:r w:rsidR="00454220">
        <w:t>tijekom</w:t>
      </w:r>
      <w:r w:rsidRPr="00AA29C1">
        <w:t xml:space="preserve"> referentno</w:t>
      </w:r>
      <w:r w:rsidR="00454220">
        <w:t>g</w:t>
      </w:r>
      <w:r w:rsidRPr="00AA29C1">
        <w:t xml:space="preserve"> razdoblj</w:t>
      </w:r>
      <w:r w:rsidR="00454220">
        <w:t>a</w:t>
      </w:r>
      <w:r w:rsidRPr="00AA29C1">
        <w:t xml:space="preserve"> od četiri mjeseca najmanje 200 radnika ili samozaposlenih osoba koji su proglašeni viškom u nekom poduzeću u državi članici prestane obavljati svoju djelatnost; </w:t>
      </w:r>
    </w:p>
    <w:p w14:paraId="6446B898" w14:textId="77777777" w:rsidR="00F509D9" w:rsidRPr="00AA29C1" w:rsidRDefault="00F509D9" w:rsidP="00F509D9">
      <w:pPr>
        <w:pStyle w:val="NormalHanging12a"/>
        <w:rPr>
          <w:noProof/>
        </w:rPr>
      </w:pPr>
      <w:r w:rsidRPr="00AA29C1">
        <w:t>D.</w:t>
      </w:r>
      <w:r w:rsidRPr="00AA29C1">
        <w:tab/>
        <w:t xml:space="preserve">budući da je </w:t>
      </w:r>
      <w:proofErr w:type="spellStart"/>
      <w:r w:rsidRPr="00AA29C1">
        <w:t>Tupperware</w:t>
      </w:r>
      <w:proofErr w:type="spellEnd"/>
      <w:r w:rsidRPr="00AA29C1">
        <w:t xml:space="preserve"> 17. veljače 2025. pokrenuo stečajni postupak; budući da Belgija od 2022. bilježi rast broja stečajeva;</w:t>
      </w:r>
    </w:p>
    <w:p w14:paraId="08249742" w14:textId="77777777" w:rsidR="00F509D9" w:rsidRPr="00AA29C1" w:rsidRDefault="00F509D9" w:rsidP="00F509D9">
      <w:pPr>
        <w:pStyle w:val="NormalHanging12a"/>
        <w:rPr>
          <w:noProof/>
        </w:rPr>
      </w:pPr>
      <w:r w:rsidRPr="00AA29C1">
        <w:t>E.</w:t>
      </w:r>
      <w:r w:rsidRPr="00AA29C1">
        <w:tab/>
        <w:t xml:space="preserve">budući da je Belgija navela da flamanska služba za zapošljavanje (VDAB) osigurava nacionalno </w:t>
      </w:r>
      <w:proofErr w:type="spellStart"/>
      <w:r w:rsidRPr="00AA29C1">
        <w:t>pretfinanciranje</w:t>
      </w:r>
      <w:proofErr w:type="spellEnd"/>
      <w:r w:rsidRPr="00AA29C1">
        <w:t xml:space="preserve"> i sufinanciranje mjera;</w:t>
      </w:r>
    </w:p>
    <w:p w14:paraId="7ECB7200" w14:textId="52077BE8" w:rsidR="00F509D9" w:rsidRPr="00AA29C1" w:rsidRDefault="00F509D9" w:rsidP="00F509D9">
      <w:pPr>
        <w:pStyle w:val="NormalHanging12a"/>
        <w:rPr>
          <w:noProof/>
        </w:rPr>
      </w:pPr>
      <w:r w:rsidRPr="00AA29C1">
        <w:t>F.</w:t>
      </w:r>
      <w:r w:rsidRPr="00AA29C1">
        <w:tab/>
        <w:t xml:space="preserve">budući da su ispunjeni zahtjevi utvrđeni zakonodavstvom Unije i nacionalnim zakonodavstvom o kolektivnom </w:t>
      </w:r>
      <w:r w:rsidR="00454220">
        <w:t>otkazivanju</w:t>
      </w:r>
      <w:r w:rsidRPr="00AA29C1">
        <w:t>;</w:t>
      </w:r>
    </w:p>
    <w:p w14:paraId="5DE15E96" w14:textId="77777777" w:rsidR="00F509D9" w:rsidRPr="00AA29C1" w:rsidRDefault="00F509D9" w:rsidP="00F509D9">
      <w:pPr>
        <w:pStyle w:val="NormalHanging12a"/>
        <w:rPr>
          <w:noProof/>
        </w:rPr>
      </w:pPr>
      <w:r w:rsidRPr="00AA29C1">
        <w:t>G.</w:t>
      </w:r>
      <w:r w:rsidRPr="00AA29C1">
        <w:tab/>
        <w:t>budući da bi financijski doprinos iz EGF-a ponajprije trebao biti usmjeren na aktivne mjere politike tržišta rada i personalizirane usluge čiji je cilj brza reintegracija korisnika na dostojanstvena i održiva radna mjesta, uz njihovu istodobnu pripremu na zelenije i digitalnije europsko gospodarstvo;</w:t>
      </w:r>
    </w:p>
    <w:p w14:paraId="29F6929C" w14:textId="77777777" w:rsidR="00F509D9" w:rsidRPr="00AA29C1" w:rsidRDefault="00F509D9" w:rsidP="00F509D9">
      <w:pPr>
        <w:pStyle w:val="NormalHanging12a"/>
        <w:rPr>
          <w:noProof/>
        </w:rPr>
      </w:pPr>
      <w:r w:rsidRPr="00AA29C1">
        <w:t>H.</w:t>
      </w:r>
      <w:r w:rsidRPr="00AA29C1">
        <w:tab/>
        <w:t>budući da EGF ne smije premašiti najviši dopušteni godišnji iznos od 30 milijuna EUR (u cijenama iz 2018.)</w:t>
      </w:r>
      <w:r w:rsidRPr="00AA29C1">
        <w:rPr>
          <w:noProof/>
          <w:vertAlign w:val="superscript"/>
        </w:rPr>
        <w:footnoteReference w:id="6"/>
      </w:r>
      <w:r w:rsidRPr="00AA29C1">
        <w:t xml:space="preserve">; </w:t>
      </w:r>
    </w:p>
    <w:p w14:paraId="736336A5" w14:textId="77777777" w:rsidR="00F509D9" w:rsidRPr="00AA29C1" w:rsidRDefault="00F509D9" w:rsidP="00F509D9">
      <w:pPr>
        <w:pStyle w:val="NormalHanging12a"/>
        <w:rPr>
          <w:noProof/>
        </w:rPr>
      </w:pPr>
      <w:r w:rsidRPr="00AA29C1">
        <w:t>1.</w:t>
      </w:r>
      <w:r w:rsidRPr="00AA29C1">
        <w:tab/>
        <w:t xml:space="preserve">slaže se s Komisijom da su uvjeti iz Uredbe o EGF-u, a posebno oni iz njezina članka 4. stavka 2. točke (a), ispunjeni i da Belgija u skladu s tom Uredbom ima pravo na financijski doprinos u iznosu od 1 622 650 EUR, odnosno 85 % ukupnog troška od 1 909 000 EUR, što obuhvaća troškove za personalizirane usluge u iznosu od 1 843 500 EUR i troškove za aktivnosti pripreme, upravljanja, informiranja i promidžbe </w:t>
      </w:r>
      <w:r w:rsidRPr="00AA29C1">
        <w:lastRenderedPageBreak/>
        <w:t>te kontrole i izvješćivanja u iznosu od 65 500 EUR;</w:t>
      </w:r>
    </w:p>
    <w:p w14:paraId="40345F30" w14:textId="77777777" w:rsidR="00F509D9" w:rsidRPr="00AA29C1" w:rsidRDefault="00F509D9" w:rsidP="00F509D9">
      <w:pPr>
        <w:pStyle w:val="NormalHanging12a"/>
        <w:rPr>
          <w:noProof/>
        </w:rPr>
      </w:pPr>
      <w:r w:rsidRPr="00AA29C1">
        <w:t>2.</w:t>
      </w:r>
      <w:r w:rsidRPr="00AA29C1">
        <w:tab/>
        <w:t>primjećuje da su belgijske vlasti zahtjev podnijele 28. kolovoza 2025. te da je, na temelju primitka dodatnih informacija od Belgije, Komisija dovršila ocjenjivanje zahtjeva 20. siječnja 2026., gotovo pet mjeseci kasnije, i o tome istoga dana obavijestila Parlament; naglašava da je važno skratiti vrijeme između podnošenja zahtjeva za pomoć iz EGF-a i odluke o financiranju uz istodobnu punu zaštitu prava Europskog parlamenta kao jedne grane proračunskog tijela;</w:t>
      </w:r>
    </w:p>
    <w:p w14:paraId="34348908" w14:textId="77777777" w:rsidR="00F509D9" w:rsidRPr="00AA29C1" w:rsidRDefault="00F509D9" w:rsidP="00F509D9">
      <w:pPr>
        <w:pStyle w:val="NormalHanging12a"/>
        <w:rPr>
          <w:noProof/>
        </w:rPr>
      </w:pPr>
      <w:r w:rsidRPr="00AA29C1">
        <w:t>3.</w:t>
      </w:r>
      <w:r w:rsidRPr="00AA29C1">
        <w:tab/>
        <w:t xml:space="preserve">prima na znanje da se zahtjev odnosi na 267 ciljanih korisnika koji su proglašeni viškom u poduzeću </w:t>
      </w:r>
      <w:proofErr w:type="spellStart"/>
      <w:r w:rsidRPr="00AA29C1">
        <w:t>Tupperware</w:t>
      </w:r>
      <w:proofErr w:type="spellEnd"/>
      <w:r w:rsidRPr="00AA29C1">
        <w:t>;</w:t>
      </w:r>
    </w:p>
    <w:p w14:paraId="5E79D484" w14:textId="77777777" w:rsidR="00F509D9" w:rsidRPr="00AA29C1" w:rsidRDefault="00F509D9" w:rsidP="00F509D9">
      <w:pPr>
        <w:pStyle w:val="NormalHanging12a"/>
        <w:rPr>
          <w:noProof/>
        </w:rPr>
      </w:pPr>
      <w:r w:rsidRPr="00AA29C1">
        <w:t>4.</w:t>
      </w:r>
      <w:r w:rsidRPr="00AA29C1">
        <w:tab/>
        <w:t xml:space="preserve">napominje da se </w:t>
      </w:r>
      <w:proofErr w:type="spellStart"/>
      <w:r w:rsidRPr="00AA29C1">
        <w:t>Tupperware</w:t>
      </w:r>
      <w:proofErr w:type="spellEnd"/>
      <w:r w:rsidRPr="00AA29C1">
        <w:t xml:space="preserve"> nalazio u </w:t>
      </w:r>
      <w:proofErr w:type="spellStart"/>
      <w:r w:rsidRPr="00AA29C1">
        <w:t>Aalstu</w:t>
      </w:r>
      <w:proofErr w:type="spellEnd"/>
      <w:r w:rsidRPr="00AA29C1">
        <w:t xml:space="preserve"> u pokrajini Istočnoj Flandriji, gdje je bila zaposlena samo svaka druga osoba, u usporedbi s prosječno dvije trećine osoba u Flandriji ukupno, već i prije stečaja </w:t>
      </w:r>
      <w:proofErr w:type="spellStart"/>
      <w:r w:rsidRPr="00AA29C1">
        <w:t>Tupperwarea</w:t>
      </w:r>
      <w:proofErr w:type="spellEnd"/>
      <w:r w:rsidRPr="00AA29C1">
        <w:t>; izražava žaljenje zbog toga što će ta otpuštanja dodatno pogoršati postojeću situaciju; naglašava da je potrebno brzo djelovati kako bi se spriječilo strukturno regionalno pogoršanje;</w:t>
      </w:r>
    </w:p>
    <w:p w14:paraId="02DAB947" w14:textId="77777777" w:rsidR="00F509D9" w:rsidRPr="00AA29C1" w:rsidRDefault="00F509D9" w:rsidP="00F509D9">
      <w:pPr>
        <w:pStyle w:val="NormalHanging12a"/>
        <w:rPr>
          <w:noProof/>
        </w:rPr>
      </w:pPr>
      <w:r w:rsidRPr="00AA29C1">
        <w:t>5.</w:t>
      </w:r>
      <w:r w:rsidRPr="00AA29C1">
        <w:tab/>
        <w:t xml:space="preserve">izražava žaljenje zbog toga što su američko matično društvo </w:t>
      </w:r>
      <w:proofErr w:type="spellStart"/>
      <w:r w:rsidRPr="00AA29C1">
        <w:t>Tupperware</w:t>
      </w:r>
      <w:proofErr w:type="spellEnd"/>
      <w:r w:rsidRPr="00AA29C1">
        <w:t xml:space="preserve"> </w:t>
      </w:r>
      <w:proofErr w:type="spellStart"/>
      <w:r w:rsidRPr="00AA29C1">
        <w:t>Brands</w:t>
      </w:r>
      <w:proofErr w:type="spellEnd"/>
      <w:r w:rsidRPr="00AA29C1">
        <w:t xml:space="preserve"> u listopadu 2024. preuzeli vjerovnici i što su zbog znatnog restrukturiranja ukinuli proizvodnju i licencije dodijeljene društvu </w:t>
      </w:r>
      <w:proofErr w:type="spellStart"/>
      <w:r w:rsidRPr="00AA29C1">
        <w:t>Tupperware</w:t>
      </w:r>
      <w:proofErr w:type="spellEnd"/>
      <w:r w:rsidRPr="00AA29C1">
        <w:t xml:space="preserve"> General </w:t>
      </w:r>
      <w:proofErr w:type="spellStart"/>
      <w:r w:rsidRPr="00AA29C1">
        <w:t>Services</w:t>
      </w:r>
      <w:proofErr w:type="spellEnd"/>
      <w:r w:rsidRPr="00AA29C1">
        <w:t xml:space="preserve"> NV, zbog čega je belgijsko društvo kći postalo financijski neodrživo, što je dovelo do njegova stečaja 17. veljače 2025.; </w:t>
      </w:r>
    </w:p>
    <w:p w14:paraId="1C028CCC" w14:textId="77777777" w:rsidR="00F509D9" w:rsidRPr="00AA29C1" w:rsidRDefault="00F509D9" w:rsidP="00F509D9">
      <w:pPr>
        <w:pStyle w:val="NormalHanging12a"/>
        <w:rPr>
          <w:noProof/>
        </w:rPr>
      </w:pPr>
      <w:r w:rsidRPr="00AA29C1">
        <w:t>6.</w:t>
      </w:r>
      <w:r w:rsidRPr="00AA29C1">
        <w:tab/>
        <w:t>pozdravlja inicijativu skupine europskih poduzetnika čiji je cilj oživjeti taj brend u Njemačkoj, Francuskoj, Belgiji, Italiji i Poljskoj;</w:t>
      </w:r>
    </w:p>
    <w:p w14:paraId="28E023D6" w14:textId="77777777" w:rsidR="00F509D9" w:rsidRPr="00AA29C1" w:rsidRDefault="00F509D9" w:rsidP="00F509D9">
      <w:pPr>
        <w:pStyle w:val="NormalHanging12a"/>
        <w:rPr>
          <w:noProof/>
        </w:rPr>
      </w:pPr>
      <w:r w:rsidRPr="00AA29C1">
        <w:t>7.</w:t>
      </w:r>
      <w:r w:rsidRPr="00AA29C1">
        <w:tab/>
        <w:t>naglašava da je u Flandriji rizik od nezaposlenosti više nego dvostruko veći za osobe s niskom razinom obrazovanja; napominje da trećina radnika koji su proglašeni viškom ima samo niži stupanj srednjoškolskog obrazovanja; poziva belgijske vlasti da pruže posebnu potporu prilagođenu tim profilima kako bi se radnicima pomoglo da prevladaju svoje nedostatke i pronađu nova radna mjesta, kao i da poduzmu mjere za smanjenje stečajeva i rješavanje socijalnih razlika koje dovode do isključenosti radne snage;</w:t>
      </w:r>
    </w:p>
    <w:p w14:paraId="39CB9C4A" w14:textId="04295B36" w:rsidR="00F509D9" w:rsidRPr="00AA29C1" w:rsidRDefault="00F509D9" w:rsidP="00F509D9">
      <w:pPr>
        <w:pStyle w:val="NormalHanging12a"/>
        <w:rPr>
          <w:noProof/>
        </w:rPr>
      </w:pPr>
      <w:r w:rsidRPr="00AA29C1">
        <w:t>8.</w:t>
      </w:r>
      <w:r w:rsidRPr="00AA29C1">
        <w:tab/>
        <w:t xml:space="preserve">podsjeća na to da se, u dogovoru sa sindikatima, stručnjacima i socijalnim partnerima, personalizirane usluge koje se trebaju pružati radnicima sastoje od sljedećih mjera: informativnih sastanaka za reintegraciju na tržište rada, usluga traženja novoga radnog mjesta, uključujući osposobljavanje u području IKT-a; pomoći u pronalaženju posla putem savjetovanja i pomoći pri pronalasku radnog mjesta, osposobljavanja i prekvalifikacije, sajmova poslova, izviđanja i </w:t>
      </w:r>
      <w:r w:rsidR="0033584C">
        <w:t>usklađivanje ponude i potražnje na tržištu rada</w:t>
      </w:r>
      <w:r w:rsidRPr="00AA29C1">
        <w:t xml:space="preserve">; ističe važnost poticanja visokokvalitetnih radnih mjesta usmjerenih na budućnost kako bi se osigurala dugoročna gospodarska i socijalna otpornost; poziva belgijske vlasti da uspostave dijalog s novim europskim predstavnicima </w:t>
      </w:r>
      <w:proofErr w:type="spellStart"/>
      <w:r w:rsidRPr="00AA29C1">
        <w:t>Tupperwarea</w:t>
      </w:r>
      <w:proofErr w:type="spellEnd"/>
      <w:r w:rsidRPr="00AA29C1">
        <w:t xml:space="preserve"> kako bi se istražile mogućnosti za reintegraciju radnika koji su proglašeni viškom u njihove gospodarske aktivnosti;</w:t>
      </w:r>
    </w:p>
    <w:p w14:paraId="53378AAA" w14:textId="419CD79F" w:rsidR="00F509D9" w:rsidRPr="00AA29C1" w:rsidRDefault="00F509D9" w:rsidP="00F509D9">
      <w:pPr>
        <w:pStyle w:val="NormalHanging12a"/>
        <w:rPr>
          <w:noProof/>
        </w:rPr>
      </w:pPr>
      <w:r w:rsidRPr="00AA29C1">
        <w:t>9.</w:t>
      </w:r>
      <w:r w:rsidRPr="00AA29C1">
        <w:tab/>
        <w:t xml:space="preserve">ističe da su kvalifikacije i vještine otpuštenih radnika i dalje ključne za europsko gospodarstvo; stoga smatra da mobilizacija EGF-a treba biti ugrađena u širi odgovor </w:t>
      </w:r>
      <w:r w:rsidR="0033584C">
        <w:t xml:space="preserve">politikama </w:t>
      </w:r>
      <w:r w:rsidRPr="00AA29C1">
        <w:t xml:space="preserve">na svim političkim razinama kako bi se osiguralo da pogođeni radnici pronađu odgovarajuće mogućnosti u skladu sa svojim kvalifikacijama i vještinama; nadalje, podsjeća da je EGF instrument solidarnosti i pravedne tranzicije te da primarna zadaća Unije prije svega mora biti sprečavanje takvih zatvaranja; smatra da su, iako </w:t>
      </w:r>
      <w:r w:rsidRPr="00AA29C1">
        <w:lastRenderedPageBreak/>
        <w:t>EGF pruža potrebnu potporu pogođenim radnicima, snažnija industrijska politika, snažnije, održivije i otpornije gospodarstvo te smanjenje strateških ovisnosti ključni za zaštitu europske baze radnih mjesta u industriji;</w:t>
      </w:r>
    </w:p>
    <w:p w14:paraId="14CF760D" w14:textId="77777777" w:rsidR="00F509D9" w:rsidRPr="00AA29C1" w:rsidRDefault="00F509D9" w:rsidP="00F509D9">
      <w:pPr>
        <w:pStyle w:val="NormalHanging12a"/>
        <w:rPr>
          <w:bCs/>
          <w:iCs/>
          <w:noProof/>
        </w:rPr>
      </w:pPr>
      <w:r w:rsidRPr="00AA29C1">
        <w:t>10.</w:t>
      </w:r>
      <w:r w:rsidRPr="00AA29C1">
        <w:tab/>
        <w:t>naglašava da belgijske vlasti moraju osigurati vidljivost financiranja Unije i istaknuti njegovu dodanu vrijednost pružanjem učinkovitih i ciljanih informacija korisnicima, regionalnim i lokalnim vlastima, socijalnim partnerima i široj javnosti;</w:t>
      </w:r>
    </w:p>
    <w:p w14:paraId="75F07F7A" w14:textId="77777777" w:rsidR="00F509D9" w:rsidRPr="00AA29C1" w:rsidRDefault="00F509D9" w:rsidP="00F509D9">
      <w:pPr>
        <w:pStyle w:val="NormalHanging12a"/>
        <w:rPr>
          <w:noProof/>
        </w:rPr>
      </w:pPr>
      <w:r w:rsidRPr="00AA29C1">
        <w:t>11.</w:t>
      </w:r>
      <w:r w:rsidRPr="00AA29C1">
        <w:tab/>
        <w:t>poziva na temeljitu završnu evaluaciju provedenih mjera, uključujući jasne informacije o tome kako su sredstva iskorištena i jesu li potrošena u skladu s odobrenim planovima; naglašava da bi se takve evaluacije trebale temeljiti na jasno definiranim ciljevima i mjerljivim rezultatima, čime bi se omogućila procjena ishoda ostvarenih za dotične radnike; naglašava važnost osiguravanja bržih i učinkovitijih intervencija i u tom kontekstu podsjeća da je u sklopu sljedećeg višegodišnjeg financijskog okvira za razdoblje 2028. – 2034. potrebno istražiti načine za osiguravanje održivosti EGF-a ili njegova programa sljednika;</w:t>
      </w:r>
    </w:p>
    <w:p w14:paraId="26575259" w14:textId="77777777" w:rsidR="00F509D9" w:rsidRPr="00AA29C1" w:rsidRDefault="00F509D9" w:rsidP="00F509D9">
      <w:pPr>
        <w:pStyle w:val="NormalHanging12a"/>
        <w:rPr>
          <w:noProof/>
        </w:rPr>
      </w:pPr>
      <w:r w:rsidRPr="00AA29C1">
        <w:t>12.</w:t>
      </w:r>
      <w:r w:rsidRPr="00AA29C1">
        <w:tab/>
        <w:t>prima na znanje da je Belgija ciljanim korisnicima počela pružati personalizirane usluge 17. veljače 2025. i da će stoga razdoblje prihvatljivosti za financijski doprinos iz EGF-a trajati od tog datuma do datuma koji nastupi 24 mjeseca nakon stupanja na snagu odluke o financiranju;</w:t>
      </w:r>
    </w:p>
    <w:p w14:paraId="7EFEF0E0" w14:textId="77777777" w:rsidR="00F509D9" w:rsidRPr="00AA29C1" w:rsidRDefault="00F509D9" w:rsidP="00F509D9">
      <w:pPr>
        <w:pStyle w:val="NormalHanging12a"/>
        <w:rPr>
          <w:noProof/>
        </w:rPr>
      </w:pPr>
      <w:r w:rsidRPr="00AA29C1">
        <w:t>13.</w:t>
      </w:r>
      <w:r w:rsidRPr="00AA29C1">
        <w:tab/>
        <w:t>napominje da Belgija od 17. veljače 2025. snosi administrativne izdatke provedbe EGF-a te da ti izdaci stoga ispunjavaju uvjete za financijski doprinos iz EGF-a od tog datuma do datuma koji nastupi 31 mjesec nakon stupanja na snagu odluke o financiranju;</w:t>
      </w:r>
    </w:p>
    <w:p w14:paraId="156BCBB2" w14:textId="77777777" w:rsidR="00F509D9" w:rsidRPr="00AA29C1" w:rsidRDefault="00F509D9" w:rsidP="00F509D9">
      <w:pPr>
        <w:pStyle w:val="NormalHanging12a"/>
        <w:rPr>
          <w:noProof/>
        </w:rPr>
      </w:pPr>
      <w:r w:rsidRPr="00AA29C1">
        <w:t>14.</w:t>
      </w:r>
      <w:r w:rsidRPr="00AA29C1">
        <w:tab/>
        <w:t>napominje da su belgijske vlasti pružile jamstvo da će se u pristupu predloženim mjerama i u njihovoj provedbi poštovati načela jednakog postupanja i nediskriminacije te da će se spriječiti svako dvostruko financiranje;</w:t>
      </w:r>
    </w:p>
    <w:p w14:paraId="63722B20" w14:textId="77777777" w:rsidR="00F509D9" w:rsidRPr="00AA29C1" w:rsidRDefault="00F509D9" w:rsidP="00F509D9">
      <w:pPr>
        <w:pStyle w:val="NormalHanging12a"/>
        <w:rPr>
          <w:noProof/>
        </w:rPr>
      </w:pPr>
      <w:r w:rsidRPr="00AA29C1">
        <w:t>15.</w:t>
      </w:r>
      <w:r w:rsidRPr="00AA29C1">
        <w:tab/>
        <w:t>ponovno ističe da pomoć iz EGF-a ne smije zamijeniti mjere za koje su prema nacionalnom pravu ili kolektivnim ugovorima odgovorna poduzeća;</w:t>
      </w:r>
    </w:p>
    <w:p w14:paraId="2DED650F" w14:textId="77777777" w:rsidR="00F509D9" w:rsidRPr="00AA29C1" w:rsidRDefault="00F509D9" w:rsidP="00F509D9">
      <w:pPr>
        <w:pStyle w:val="NormalHanging12a"/>
        <w:rPr>
          <w:noProof/>
        </w:rPr>
      </w:pPr>
      <w:r w:rsidRPr="00AA29C1">
        <w:t>16.</w:t>
      </w:r>
      <w:r w:rsidRPr="00AA29C1">
        <w:tab/>
        <w:t>odobrava Odluku priloženu ovoj Rezoluciji;</w:t>
      </w:r>
    </w:p>
    <w:p w14:paraId="074AC2A6" w14:textId="77777777" w:rsidR="00F509D9" w:rsidRPr="00AA29C1" w:rsidRDefault="00F509D9" w:rsidP="00F509D9">
      <w:pPr>
        <w:pStyle w:val="NormalHanging12a"/>
        <w:rPr>
          <w:noProof/>
        </w:rPr>
      </w:pPr>
      <w:r w:rsidRPr="00AA29C1">
        <w:t>17.</w:t>
      </w:r>
      <w:r w:rsidRPr="00AA29C1">
        <w:tab/>
        <w:t xml:space="preserve">nalaže svojoj predsjednici da potpiše ovu Odluku zajedno s predsjednikom Vijeća te da je da na objavu u </w:t>
      </w:r>
      <w:r w:rsidRPr="00AA29C1">
        <w:rPr>
          <w:i/>
        </w:rPr>
        <w:t>Službenom listu Europske unije</w:t>
      </w:r>
      <w:r w:rsidRPr="00AA29C1">
        <w:t>;</w:t>
      </w:r>
    </w:p>
    <w:p w14:paraId="5A1A17BF" w14:textId="77777777" w:rsidR="00F509D9" w:rsidRPr="00AA29C1" w:rsidRDefault="00F509D9" w:rsidP="00F509D9">
      <w:pPr>
        <w:pStyle w:val="NormalHanging12a"/>
        <w:rPr>
          <w:noProof/>
        </w:rPr>
      </w:pPr>
      <w:r w:rsidRPr="00AA29C1">
        <w:t>18.</w:t>
      </w:r>
      <w:r w:rsidRPr="00AA29C1">
        <w:tab/>
        <w:t>nalaže svojoj predsjednici da ovu Rezoluciju, zajedno s njezinim Prilogom, proslijedi Vijeću i Komisiji.</w:t>
      </w:r>
    </w:p>
    <w:p w14:paraId="360DD221" w14:textId="77777777" w:rsidR="00F509D9" w:rsidRPr="00AA29C1" w:rsidRDefault="00F509D9" w:rsidP="00F509D9">
      <w:pPr>
        <w:rPr>
          <w:noProof/>
        </w:rPr>
      </w:pPr>
    </w:p>
    <w:p w14:paraId="4B430A5D" w14:textId="77777777" w:rsidR="00F509D9" w:rsidRPr="00AA29C1" w:rsidRDefault="00F509D9" w:rsidP="00F509D9">
      <w:pPr>
        <w:pStyle w:val="PageHeading"/>
        <w:rPr>
          <w:noProof/>
        </w:rPr>
        <w:sectPr w:rsidR="00F509D9" w:rsidRPr="00AA29C1" w:rsidSect="00CE236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640665" w14:textId="40563E03" w:rsidR="00352EAB" w:rsidRPr="00352EAB" w:rsidRDefault="00F509D9" w:rsidP="00352EAB">
      <w:pPr>
        <w:pStyle w:val="PageHeading"/>
        <w:spacing w:after="240"/>
        <w:rPr>
          <w:rFonts w:ascii="Times New Roman" w:hAnsi="Times New Roman" w:cs="Times New Roman"/>
        </w:rPr>
      </w:pPr>
      <w:bookmarkStart w:id="7" w:name="_Toc223427944"/>
      <w:r w:rsidRPr="00352EAB">
        <w:rPr>
          <w:rFonts w:ascii="Times New Roman" w:hAnsi="Times New Roman" w:cs="Times New Roman"/>
        </w:rPr>
        <w:lastRenderedPageBreak/>
        <w:t>PRILOG</w:t>
      </w:r>
    </w:p>
    <w:p w14:paraId="65F16B79" w14:textId="0826825E" w:rsidR="00F509D9" w:rsidRPr="00352EAB" w:rsidRDefault="00F509D9" w:rsidP="00352EAB">
      <w:pPr>
        <w:pStyle w:val="PageHeading"/>
        <w:spacing w:after="240"/>
        <w:rPr>
          <w:rFonts w:ascii="Times New Roman" w:hAnsi="Times New Roman" w:cs="Times New Roman"/>
          <w:noProof/>
        </w:rPr>
      </w:pPr>
      <w:r w:rsidRPr="00352EAB">
        <w:rPr>
          <w:rFonts w:ascii="Times New Roman" w:hAnsi="Times New Roman" w:cs="Times New Roman"/>
        </w:rPr>
        <w:t>ODLUKA EUROPSKOG PARLAMENTA I VIJEĆA</w:t>
      </w:r>
      <w:bookmarkEnd w:id="7"/>
    </w:p>
    <w:p w14:paraId="79B4EB0D" w14:textId="77777777" w:rsidR="00F509D9" w:rsidRDefault="00F509D9" w:rsidP="00352EAB">
      <w:pPr>
        <w:pStyle w:val="Institutionquiagit"/>
        <w:spacing w:before="120"/>
        <w:jc w:val="center"/>
        <w:rPr>
          <w:b/>
        </w:rPr>
      </w:pPr>
      <w:r w:rsidRPr="00AA29C1">
        <w:rPr>
          <w:b/>
        </w:rPr>
        <w:t>o mobilizaciji Europskog fonda za prilagodbu globalizaciji za radnike koji su proglašeni viškom na temelju zahtjeva Belgije – EGF/2025/004 BE/</w:t>
      </w:r>
      <w:proofErr w:type="spellStart"/>
      <w:r w:rsidRPr="00AA29C1">
        <w:rPr>
          <w:b/>
        </w:rPr>
        <w:t>Tupperware</w:t>
      </w:r>
      <w:proofErr w:type="spellEnd"/>
    </w:p>
    <w:p w14:paraId="32A17366" w14:textId="049923EF" w:rsidR="00352EAB" w:rsidRPr="00352EAB" w:rsidRDefault="00352EAB" w:rsidP="00352EAB">
      <w:pPr>
        <w:widowControl/>
        <w:spacing w:before="240"/>
        <w:rPr>
          <w:lang w:eastAsia="en-US"/>
        </w:rPr>
      </w:pPr>
      <w:r w:rsidRPr="00352EAB">
        <w:rPr>
          <w:rFonts w:eastAsia="Calibri"/>
          <w:i/>
          <w:szCs w:val="24"/>
          <w:lang w:eastAsia="en-US"/>
        </w:rPr>
        <w:t xml:space="preserve">(Tekst ovog priloga nije naveden ovdje budući da odgovara konačnom aktu, Odluci </w:t>
      </w:r>
      <w:r>
        <w:rPr>
          <w:rFonts w:eastAsia="Calibri"/>
          <w:i/>
          <w:szCs w:val="24"/>
          <w:lang w:eastAsia="en-US"/>
        </w:rPr>
        <w:t>(EU) 2026/723</w:t>
      </w:r>
      <w:r w:rsidRPr="00352EAB">
        <w:rPr>
          <w:rFonts w:eastAsia="Calibri"/>
          <w:i/>
          <w:szCs w:val="24"/>
          <w:lang w:eastAsia="en-US"/>
        </w:rPr>
        <w:t>.)</w:t>
      </w:r>
    </w:p>
    <w:sectPr w:rsidR="00352EAB" w:rsidRPr="00352EAB" w:rsidSect="00CE236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D8C1E" w14:textId="77777777" w:rsidR="00CE4819" w:rsidRPr="00CE2364" w:rsidRDefault="00CE4819">
      <w:r w:rsidRPr="00CE2364">
        <w:separator/>
      </w:r>
    </w:p>
  </w:endnote>
  <w:endnote w:type="continuationSeparator" w:id="0">
    <w:p w14:paraId="44AB0423" w14:textId="77777777" w:rsidR="00CE4819" w:rsidRPr="00CE2364" w:rsidRDefault="00CE4819">
      <w:r w:rsidRPr="00CE23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FF95" w14:textId="77777777" w:rsidR="00F509D9" w:rsidRPr="00CE2364" w:rsidRDefault="00F509D9" w:rsidP="00416F7E">
    <w:pPr>
      <w:pStyle w:val="EPFooter"/>
    </w:pPr>
    <w:r w:rsidRPr="00CE2364">
      <w:t>PE</w:t>
    </w:r>
    <w:r w:rsidRPr="00CE2364">
      <w:rPr>
        <w:rStyle w:val="HideTWBExt"/>
      </w:rPr>
      <w:t>&lt;</w:t>
    </w:r>
    <w:proofErr w:type="spellStart"/>
    <w:r w:rsidRPr="00CE2364">
      <w:rPr>
        <w:rStyle w:val="HideTWBExt"/>
      </w:rPr>
      <w:t>NoPE</w:t>
    </w:r>
    <w:proofErr w:type="spellEnd"/>
    <w:r w:rsidRPr="00CE2364">
      <w:rPr>
        <w:rStyle w:val="HideTWBExt"/>
      </w:rPr>
      <w:t>&gt;</w:t>
    </w:r>
    <w:r w:rsidRPr="00CE2364">
      <w:t>782.416</w:t>
    </w:r>
    <w:r w:rsidRPr="00CE2364">
      <w:rPr>
        <w:rStyle w:val="HideTWBExt"/>
      </w:rPr>
      <w:t>&lt;/</w:t>
    </w:r>
    <w:proofErr w:type="spellStart"/>
    <w:r w:rsidRPr="00CE2364">
      <w:rPr>
        <w:rStyle w:val="HideTWBExt"/>
      </w:rPr>
      <w:t>NoPE</w:t>
    </w:r>
    <w:proofErr w:type="spellEnd"/>
    <w:r w:rsidRPr="00CE2364">
      <w:rPr>
        <w:rStyle w:val="HideTWBExt"/>
      </w:rPr>
      <w:t>&gt;&lt;Version&gt;</w:t>
    </w:r>
    <w:r w:rsidRPr="00CE2364">
      <w:t>v02-00</w:t>
    </w:r>
    <w:r w:rsidRPr="00CE2364">
      <w:rPr>
        <w:rStyle w:val="HideTWBExt"/>
      </w:rPr>
      <w:t>&lt;/</w:t>
    </w:r>
    <w:proofErr w:type="spellStart"/>
    <w:r w:rsidRPr="00CE2364">
      <w:rPr>
        <w:rStyle w:val="HideTWBExt"/>
      </w:rPr>
      <w:t>Version</w:t>
    </w:r>
    <w:proofErr w:type="spellEnd"/>
    <w:r w:rsidRPr="00CE2364">
      <w:rPr>
        <w:rStyle w:val="HideTWBExt"/>
      </w:rPr>
      <w:t>&gt;</w:t>
    </w:r>
    <w:r w:rsidRPr="00CE2364">
      <w:tab/>
    </w:r>
    <w:r w:rsidRPr="00CE2364">
      <w:fldChar w:fldCharType="begin"/>
    </w:r>
    <w:r w:rsidRPr="00CE2364">
      <w:instrText xml:space="preserve"> PAGE  \* MERGEFORMAT </w:instrText>
    </w:r>
    <w:r w:rsidRPr="00CE2364">
      <w:fldChar w:fldCharType="separate"/>
    </w:r>
    <w:r w:rsidRPr="00CE2364">
      <w:rPr>
        <w:noProof/>
      </w:rPr>
      <w:t>18</w:t>
    </w:r>
    <w:r w:rsidRPr="00CE2364">
      <w:fldChar w:fldCharType="end"/>
    </w:r>
    <w:r w:rsidRPr="00CE2364">
      <w:t>/</w:t>
    </w:r>
    <w:fldSimple w:instr=" NUMPAGES  \* MERGEFORMAT ">
      <w:r w:rsidRPr="00CE2364">
        <w:rPr>
          <w:noProof/>
        </w:rPr>
        <w:t>18</w:t>
      </w:r>
    </w:fldSimple>
    <w:r w:rsidRPr="00CE2364">
      <w:tab/>
    </w:r>
    <w:r w:rsidRPr="00CE2364">
      <w:rPr>
        <w:rStyle w:val="HideTWBExt"/>
      </w:rPr>
      <w:t>&lt;PathFdR&gt;</w:t>
    </w:r>
    <w:r w:rsidRPr="00CE2364">
      <w:t>RR\1338392HR.docx</w:t>
    </w:r>
    <w:r w:rsidRPr="00CE2364">
      <w:rPr>
        <w:rStyle w:val="HideTWBExt"/>
      </w:rPr>
      <w:t>&lt;/</w:t>
    </w:r>
    <w:proofErr w:type="spellStart"/>
    <w:r w:rsidRPr="00CE2364">
      <w:rPr>
        <w:rStyle w:val="HideTWBExt"/>
      </w:rPr>
      <w:t>PathFdR</w:t>
    </w:r>
    <w:proofErr w:type="spellEnd"/>
    <w:r w:rsidRPr="00CE2364">
      <w:rPr>
        <w:rStyle w:val="HideTWBExt"/>
      </w:rPr>
      <w:t>&gt;</w:t>
    </w:r>
  </w:p>
  <w:p w14:paraId="4536DF5B" w14:textId="77777777" w:rsidR="00F509D9" w:rsidRPr="00CE2364" w:rsidRDefault="00F509D9" w:rsidP="00416F7E">
    <w:pPr>
      <w:pStyle w:val="EPFooter2"/>
    </w:pPr>
    <w:r w:rsidRPr="00CE2364">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4B23" w14:textId="77777777" w:rsidR="00F509D9" w:rsidRPr="00CE2364" w:rsidRDefault="00F509D9" w:rsidP="00416F7E">
    <w:pPr>
      <w:pStyle w:val="EPFooter"/>
    </w:pPr>
    <w:r w:rsidRPr="00CE2364">
      <w:rPr>
        <w:rStyle w:val="HideTWBExt"/>
      </w:rPr>
      <w:t>&lt;PathFdR&gt;</w:t>
    </w:r>
    <w:r w:rsidRPr="00CE2364">
      <w:t>RR\1338392HR.docx</w:t>
    </w:r>
    <w:r w:rsidRPr="00CE2364">
      <w:rPr>
        <w:rStyle w:val="HideTWBExt"/>
      </w:rPr>
      <w:t>&lt;/</w:t>
    </w:r>
    <w:proofErr w:type="spellStart"/>
    <w:r w:rsidRPr="00CE2364">
      <w:rPr>
        <w:rStyle w:val="HideTWBExt"/>
      </w:rPr>
      <w:t>PathFdR</w:t>
    </w:r>
    <w:proofErr w:type="spellEnd"/>
    <w:r w:rsidRPr="00CE2364">
      <w:rPr>
        <w:rStyle w:val="HideTWBExt"/>
      </w:rPr>
      <w:t>&gt;</w:t>
    </w:r>
    <w:r w:rsidRPr="00CE2364">
      <w:tab/>
    </w:r>
    <w:r w:rsidRPr="00CE2364">
      <w:tab/>
      <w:t>PE</w:t>
    </w:r>
    <w:r w:rsidRPr="00CE2364">
      <w:rPr>
        <w:rStyle w:val="HideTWBExt"/>
      </w:rPr>
      <w:t>&lt;</w:t>
    </w:r>
    <w:proofErr w:type="spellStart"/>
    <w:r w:rsidRPr="00CE2364">
      <w:rPr>
        <w:rStyle w:val="HideTWBExt"/>
      </w:rPr>
      <w:t>NoPE</w:t>
    </w:r>
    <w:proofErr w:type="spellEnd"/>
    <w:r w:rsidRPr="00CE2364">
      <w:rPr>
        <w:rStyle w:val="HideTWBExt"/>
      </w:rPr>
      <w:t>&gt;</w:t>
    </w:r>
    <w:r w:rsidRPr="00CE2364">
      <w:t>782.416</w:t>
    </w:r>
    <w:r w:rsidRPr="00CE2364">
      <w:rPr>
        <w:rStyle w:val="HideTWBExt"/>
      </w:rPr>
      <w:t>&lt;/</w:t>
    </w:r>
    <w:proofErr w:type="spellStart"/>
    <w:r w:rsidRPr="00CE2364">
      <w:rPr>
        <w:rStyle w:val="HideTWBExt"/>
      </w:rPr>
      <w:t>NoPE</w:t>
    </w:r>
    <w:proofErr w:type="spellEnd"/>
    <w:r w:rsidRPr="00CE2364">
      <w:rPr>
        <w:rStyle w:val="HideTWBExt"/>
      </w:rPr>
      <w:t>&gt;&lt;Version&gt;</w:t>
    </w:r>
    <w:r w:rsidRPr="00CE2364">
      <w:t>v02-00</w:t>
    </w:r>
    <w:r w:rsidRPr="00CE2364">
      <w:rPr>
        <w:rStyle w:val="HideTWBExt"/>
      </w:rPr>
      <w:t>&lt;/</w:t>
    </w:r>
    <w:proofErr w:type="spellStart"/>
    <w:r w:rsidRPr="00CE2364">
      <w:rPr>
        <w:rStyle w:val="HideTWBExt"/>
      </w:rPr>
      <w:t>Version</w:t>
    </w:r>
    <w:proofErr w:type="spellEnd"/>
    <w:r w:rsidRPr="00CE2364">
      <w:rPr>
        <w:rStyle w:val="HideTWBExt"/>
      </w:rPr>
      <w:t>&gt;</w:t>
    </w:r>
  </w:p>
  <w:p w14:paraId="74C9767F" w14:textId="77777777" w:rsidR="00F509D9" w:rsidRPr="00CE2364" w:rsidRDefault="00F509D9" w:rsidP="00416F7E">
    <w:pPr>
      <w:pStyle w:val="EPFooter2"/>
    </w:pPr>
    <w:r w:rsidRPr="00CE2364">
      <w:t>HR</w:t>
    </w:r>
    <w:r w:rsidRPr="00CE2364">
      <w:tab/>
    </w:r>
    <w:r w:rsidRPr="00CE2364">
      <w:rPr>
        <w:b w:val="0"/>
        <w:i/>
        <w:color w:val="C0C0C0"/>
        <w:sz w:val="22"/>
      </w:rPr>
      <w:t>Ujedinjena u raznolikosti</w:t>
    </w:r>
    <w:r w:rsidRPr="00CE2364">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E9A5" w14:textId="77777777" w:rsidR="00064002" w:rsidRPr="00CE236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D5A7" w14:textId="77777777" w:rsidR="00064002" w:rsidRPr="00CE236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6D09" w14:textId="77777777" w:rsidR="00064002" w:rsidRPr="00CE23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56ABA" w14:textId="77777777" w:rsidR="00CE4819" w:rsidRPr="00CE2364" w:rsidRDefault="00CE4819">
      <w:r w:rsidRPr="00CE2364">
        <w:separator/>
      </w:r>
    </w:p>
  </w:footnote>
  <w:footnote w:type="continuationSeparator" w:id="0">
    <w:p w14:paraId="16C4A498" w14:textId="77777777" w:rsidR="00CE4819" w:rsidRPr="00CE2364" w:rsidRDefault="00CE4819">
      <w:r w:rsidRPr="00CE2364">
        <w:continuationSeparator/>
      </w:r>
    </w:p>
  </w:footnote>
  <w:footnote w:id="1">
    <w:p w14:paraId="3128A71D" w14:textId="3971EE28"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lang w:val="hr-HR"/>
        </w:rPr>
        <w:t xml:space="preserve"> </w:t>
      </w:r>
      <w:r w:rsidR="00CE2364" w:rsidRPr="00CE2364">
        <w:rPr>
          <w:sz w:val="24"/>
          <w:lang w:val="hr-HR"/>
        </w:rPr>
        <w:tab/>
      </w:r>
      <w:r w:rsidRPr="00CE2364">
        <w:rPr>
          <w:sz w:val="24"/>
          <w:lang w:val="hr-HR"/>
        </w:rPr>
        <w:t xml:space="preserve">SL L 153, 3.5.2021., str. 48., ELI: </w:t>
      </w:r>
      <w:hyperlink r:id="rId1" w:history="1">
        <w:r w:rsidRPr="00CE2364">
          <w:rPr>
            <w:rStyle w:val="Hyperlink"/>
            <w:sz w:val="24"/>
            <w:lang w:val="hr-HR"/>
          </w:rPr>
          <w:t>http://data.europa.eu/eli/reg/2021/691/oj</w:t>
        </w:r>
      </w:hyperlink>
      <w:r w:rsidRPr="00CE2364">
        <w:rPr>
          <w:sz w:val="24"/>
          <w:lang w:val="hr-HR"/>
        </w:rPr>
        <w:t>.</w:t>
      </w:r>
    </w:p>
  </w:footnote>
  <w:footnote w:id="2">
    <w:p w14:paraId="7F9FD7E7" w14:textId="05E592E2"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lang w:val="hr-HR"/>
        </w:rPr>
        <w:t xml:space="preserve"> </w:t>
      </w:r>
      <w:r w:rsidR="00CE2364" w:rsidRPr="00CE2364">
        <w:rPr>
          <w:sz w:val="24"/>
          <w:lang w:val="hr-HR"/>
        </w:rPr>
        <w:tab/>
      </w:r>
      <w:r w:rsidRPr="00CE2364">
        <w:rPr>
          <w:sz w:val="24"/>
          <w:lang w:val="hr-HR"/>
        </w:rPr>
        <w:t xml:space="preserve">SL L 433 I, 22.12.2020., str. </w:t>
      </w:r>
      <w:r w:rsidRPr="00CE2364">
        <w:rPr>
          <w:sz w:val="24"/>
          <w:lang w:val="hr-HR"/>
        </w:rPr>
        <w:t xml:space="preserve">11., ELI: </w:t>
      </w:r>
      <w:hyperlink r:id="rId2" w:history="1">
        <w:r w:rsidRPr="00CE2364">
          <w:rPr>
            <w:rStyle w:val="Hyperlink"/>
            <w:sz w:val="24"/>
            <w:lang w:val="hr-HR"/>
          </w:rPr>
          <w:t>http://data.europa.eu/eli/reg/2020/2093/oj</w:t>
        </w:r>
      </w:hyperlink>
      <w:r w:rsidRPr="00CE2364">
        <w:rPr>
          <w:sz w:val="24"/>
          <w:lang w:val="hr-HR"/>
        </w:rPr>
        <w:t>.</w:t>
      </w:r>
    </w:p>
  </w:footnote>
  <w:footnote w:id="3">
    <w:p w14:paraId="322AA6FD" w14:textId="73496FA8"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shd w:val="clear" w:color="auto" w:fill="FFFFFF"/>
          <w:lang w:val="hr-HR"/>
        </w:rPr>
        <w:t xml:space="preserve"> </w:t>
      </w:r>
      <w:r w:rsidR="00CE2364" w:rsidRPr="00CE2364">
        <w:rPr>
          <w:sz w:val="24"/>
          <w:shd w:val="clear" w:color="auto" w:fill="FFFFFF"/>
          <w:lang w:val="hr-HR"/>
        </w:rPr>
        <w:tab/>
      </w:r>
      <w:r w:rsidRPr="00CE2364">
        <w:rPr>
          <w:sz w:val="24"/>
          <w:shd w:val="clear" w:color="auto" w:fill="FFFFFF"/>
          <w:lang w:val="hr-HR"/>
        </w:rPr>
        <w:t xml:space="preserve">Uredba Vijeća (EU, Euratom) 2024/765 od 29. veljače 2024. o izmjeni Uredbe (EU, Euratom) 2020/2093 kojom se utvrđuje višegodišnji financijski okvir za razdoblje 2021. – 2027. </w:t>
      </w:r>
      <w:r w:rsidRPr="00CE2364">
        <w:rPr>
          <w:sz w:val="24"/>
          <w:shd w:val="clear" w:color="auto" w:fill="FFFFFF"/>
          <w:lang w:val="hr-HR"/>
        </w:rPr>
        <w:t>(SL L, 2024/765, 29.2.2024., ELI:</w:t>
      </w:r>
      <w:r w:rsidRPr="00CE2364">
        <w:rPr>
          <w:color w:val="333333"/>
          <w:sz w:val="24"/>
          <w:shd w:val="clear" w:color="auto" w:fill="FFFFFF"/>
          <w:lang w:val="hr-HR"/>
        </w:rPr>
        <w:t xml:space="preserve"> </w:t>
      </w:r>
      <w:hyperlink r:id="rId3" w:history="1">
        <w:r w:rsidRPr="00CE2364">
          <w:rPr>
            <w:rStyle w:val="Hyperlink"/>
            <w:sz w:val="24"/>
            <w:shd w:val="clear" w:color="auto" w:fill="FFFFFF"/>
            <w:lang w:val="hr-HR"/>
          </w:rPr>
          <w:t>http://data.europa.eu/eli/reg/2024/765/oj</w:t>
        </w:r>
      </w:hyperlink>
      <w:r w:rsidRPr="00CE2364">
        <w:rPr>
          <w:i/>
          <w:color w:val="333333"/>
          <w:sz w:val="24"/>
          <w:shd w:val="clear" w:color="auto" w:fill="FFFFFF"/>
          <w:lang w:val="hr-HR"/>
        </w:rPr>
        <w:t>).</w:t>
      </w:r>
    </w:p>
  </w:footnote>
  <w:footnote w:id="4">
    <w:p w14:paraId="29550B4F" w14:textId="2BEA75D3"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lang w:val="hr-HR"/>
        </w:rPr>
        <w:t xml:space="preserve"> </w:t>
      </w:r>
      <w:r w:rsidR="00CE2364" w:rsidRPr="00CE2364">
        <w:rPr>
          <w:sz w:val="24"/>
          <w:lang w:val="hr-HR"/>
        </w:rPr>
        <w:tab/>
      </w:r>
      <w:r w:rsidRPr="00CE2364">
        <w:rPr>
          <w:sz w:val="24"/>
          <w:lang w:val="hr-HR"/>
        </w:rPr>
        <w:t xml:space="preserve">SL L 433 I, 22.12.2020., str. </w:t>
      </w:r>
      <w:r w:rsidRPr="00CE2364">
        <w:rPr>
          <w:sz w:val="24"/>
          <w:lang w:val="hr-HR"/>
        </w:rPr>
        <w:t xml:space="preserve">28., ELI: </w:t>
      </w:r>
      <w:hyperlink r:id="rId4" w:history="1">
        <w:r w:rsidRPr="00CE2364">
          <w:rPr>
            <w:rStyle w:val="Hyperlink"/>
            <w:sz w:val="24"/>
            <w:lang w:val="hr-HR"/>
          </w:rPr>
          <w:t>http://data.europa.eu/eli/agree_interinstit/2020/1222/oj</w:t>
        </w:r>
      </w:hyperlink>
      <w:r w:rsidRPr="00CE2364">
        <w:rPr>
          <w:sz w:val="24"/>
          <w:lang w:val="hr-HR"/>
        </w:rPr>
        <w:t>.</w:t>
      </w:r>
    </w:p>
  </w:footnote>
  <w:footnote w:id="5">
    <w:p w14:paraId="3E9F8F8B" w14:textId="725D4AA4"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lang w:val="hr-HR"/>
        </w:rPr>
        <w:t xml:space="preserve"> </w:t>
      </w:r>
      <w:r w:rsidR="00CE2364" w:rsidRPr="00CE2364">
        <w:rPr>
          <w:sz w:val="24"/>
          <w:lang w:val="hr-HR"/>
        </w:rPr>
        <w:tab/>
      </w:r>
      <w:r w:rsidRPr="00CE2364">
        <w:rPr>
          <w:sz w:val="24"/>
          <w:lang w:val="hr-HR"/>
        </w:rPr>
        <w:t>U smislu članka 3. Uredbe o EGF-u.</w:t>
      </w:r>
    </w:p>
  </w:footnote>
  <w:footnote w:id="6">
    <w:p w14:paraId="0A52AA08" w14:textId="6B73379D" w:rsidR="00F509D9" w:rsidRPr="00CE2364" w:rsidRDefault="00F509D9" w:rsidP="00CE2364">
      <w:pPr>
        <w:pStyle w:val="FootnoteText"/>
        <w:ind w:left="567" w:hanging="567"/>
        <w:rPr>
          <w:sz w:val="24"/>
          <w:lang w:val="hr-HR"/>
        </w:rPr>
      </w:pPr>
      <w:r w:rsidRPr="00CE2364">
        <w:rPr>
          <w:rStyle w:val="FootnoteReference"/>
          <w:sz w:val="24"/>
          <w:lang w:val="hr-HR"/>
        </w:rPr>
        <w:footnoteRef/>
      </w:r>
      <w:r w:rsidR="00CE2364" w:rsidRPr="00CE2364">
        <w:rPr>
          <w:sz w:val="24"/>
          <w:lang w:val="hr-HR"/>
        </w:rPr>
        <w:t xml:space="preserve"> </w:t>
      </w:r>
      <w:r w:rsidR="00CE2364" w:rsidRPr="00CE2364">
        <w:rPr>
          <w:sz w:val="24"/>
          <w:lang w:val="hr-HR"/>
        </w:rPr>
        <w:tab/>
      </w:r>
      <w:r w:rsidRPr="00CE2364">
        <w:rPr>
          <w:sz w:val="24"/>
          <w:lang w:val="hr-HR"/>
        </w:rPr>
        <w:t>Članak 8. Uredbe o VFO-u.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8FB2" w14:textId="77777777" w:rsidR="00064002" w:rsidRPr="00CE23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42F6" w14:textId="77777777" w:rsidR="00064002" w:rsidRPr="00CE23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E4B73" w14:textId="77777777" w:rsidR="00064002" w:rsidRPr="00CE23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88805">
    <w:abstractNumId w:val="9"/>
  </w:num>
  <w:num w:numId="2" w16cid:durableId="1664120147">
    <w:abstractNumId w:val="9"/>
  </w:num>
  <w:num w:numId="3" w16cid:durableId="2098163245">
    <w:abstractNumId w:val="7"/>
  </w:num>
  <w:num w:numId="4" w16cid:durableId="1857159973">
    <w:abstractNumId w:val="7"/>
  </w:num>
  <w:num w:numId="5" w16cid:durableId="1605264395">
    <w:abstractNumId w:val="6"/>
  </w:num>
  <w:num w:numId="6" w16cid:durableId="157117237">
    <w:abstractNumId w:val="6"/>
  </w:num>
  <w:num w:numId="7" w16cid:durableId="43523380">
    <w:abstractNumId w:val="5"/>
  </w:num>
  <w:num w:numId="8" w16cid:durableId="151944329">
    <w:abstractNumId w:val="5"/>
  </w:num>
  <w:num w:numId="9" w16cid:durableId="1023897656">
    <w:abstractNumId w:val="4"/>
  </w:num>
  <w:num w:numId="10" w16cid:durableId="364214971">
    <w:abstractNumId w:val="4"/>
  </w:num>
  <w:num w:numId="11" w16cid:durableId="1578859697">
    <w:abstractNumId w:val="8"/>
  </w:num>
  <w:num w:numId="12" w16cid:durableId="2085830234">
    <w:abstractNumId w:val="8"/>
  </w:num>
  <w:num w:numId="13" w16cid:durableId="1973559362">
    <w:abstractNumId w:val="3"/>
  </w:num>
  <w:num w:numId="14" w16cid:durableId="1545212506">
    <w:abstractNumId w:val="3"/>
  </w:num>
  <w:num w:numId="15" w16cid:durableId="1838304732">
    <w:abstractNumId w:val="2"/>
  </w:num>
  <w:num w:numId="16" w16cid:durableId="2127774571">
    <w:abstractNumId w:val="2"/>
  </w:num>
  <w:num w:numId="17" w16cid:durableId="1102072931">
    <w:abstractNumId w:val="1"/>
  </w:num>
  <w:num w:numId="18" w16cid:durableId="1127165180">
    <w:abstractNumId w:val="1"/>
  </w:num>
  <w:num w:numId="19" w16cid:durableId="1403723723">
    <w:abstractNumId w:val="0"/>
  </w:num>
  <w:num w:numId="20" w16cid:durableId="319774609">
    <w:abstractNumId w:val="0"/>
  </w:num>
  <w:num w:numId="21" w16cid:durableId="109059427">
    <w:abstractNumId w:val="9"/>
  </w:num>
  <w:num w:numId="22" w16cid:durableId="1857117645">
    <w:abstractNumId w:val="7"/>
  </w:num>
  <w:num w:numId="23" w16cid:durableId="354624052">
    <w:abstractNumId w:val="6"/>
  </w:num>
  <w:num w:numId="24" w16cid:durableId="709456129">
    <w:abstractNumId w:val="5"/>
  </w:num>
  <w:num w:numId="25" w16cid:durableId="1479568029">
    <w:abstractNumId w:val="4"/>
  </w:num>
  <w:num w:numId="26" w16cid:durableId="32079783">
    <w:abstractNumId w:val="8"/>
  </w:num>
  <w:num w:numId="27" w16cid:durableId="586572878">
    <w:abstractNumId w:val="3"/>
  </w:num>
  <w:num w:numId="28" w16cid:durableId="568150805">
    <w:abstractNumId w:val="2"/>
  </w:num>
  <w:num w:numId="29" w16cid:durableId="322390707">
    <w:abstractNumId w:val="1"/>
  </w:num>
  <w:num w:numId="30" w16cid:durableId="393508350">
    <w:abstractNumId w:val="0"/>
  </w:num>
  <w:num w:numId="31" w16cid:durableId="624624935">
    <w:abstractNumId w:val="9"/>
  </w:num>
  <w:num w:numId="32" w16cid:durableId="653681196">
    <w:abstractNumId w:val="7"/>
  </w:num>
  <w:num w:numId="33" w16cid:durableId="1335185812">
    <w:abstractNumId w:val="6"/>
  </w:num>
  <w:num w:numId="34" w16cid:durableId="701326892">
    <w:abstractNumId w:val="5"/>
  </w:num>
  <w:num w:numId="35" w16cid:durableId="886450787">
    <w:abstractNumId w:val="4"/>
  </w:num>
  <w:num w:numId="36" w16cid:durableId="1194225545">
    <w:abstractNumId w:val="8"/>
  </w:num>
  <w:num w:numId="37" w16cid:durableId="514878389">
    <w:abstractNumId w:val="3"/>
  </w:num>
  <w:num w:numId="38" w16cid:durableId="850334599">
    <w:abstractNumId w:val="2"/>
  </w:num>
  <w:num w:numId="39" w16cid:durableId="1820800983">
    <w:abstractNumId w:val="1"/>
  </w:num>
  <w:num w:numId="40" w16cid:durableId="1124423482">
    <w:abstractNumId w:val="0"/>
  </w:num>
  <w:num w:numId="41" w16cid:durableId="1817141825">
    <w:abstractNumId w:val="10"/>
  </w:num>
  <w:num w:numId="42" w16cid:durableId="233315526">
    <w:abstractNumId w:val="10"/>
  </w:num>
  <w:num w:numId="43" w16cid:durableId="322585803">
    <w:abstractNumId w:val="10"/>
  </w:num>
  <w:num w:numId="44" w16cid:durableId="1944872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HR"/>
    <w:docVar w:name="dvnumam" w:val="0"/>
    <w:docVar w:name="dvpe" w:val="782.416"/>
    <w:docVar w:name="dvrapporteur" w:val="Izvjestitelj: "/>
    <w:docVar w:name="dvtitre" w:val="Rezolucija Europskog parlamenta od .... 2026. o Prijedlogu odluke Europskog parlamenta i Vijeća o mobilizaciji Europskog fonda za prilagodbu globalizaciji za radnike koji su proglašeni viškom na temelju zahtjeva Belgije – EGF/2025/004 BE/Tupperware (COM(2026)0001 – C10-0012/2026 – 2026/0004(BUD))"/>
  </w:docVars>
  <w:rsids>
    <w:rsidRoot w:val="00CE4819"/>
    <w:rsid w:val="00002272"/>
    <w:rsid w:val="00064002"/>
    <w:rsid w:val="000677B9"/>
    <w:rsid w:val="000831BA"/>
    <w:rsid w:val="000A42CC"/>
    <w:rsid w:val="000E7DD9"/>
    <w:rsid w:val="0010095E"/>
    <w:rsid w:val="00125B37"/>
    <w:rsid w:val="00187494"/>
    <w:rsid w:val="001F32AE"/>
    <w:rsid w:val="002767FF"/>
    <w:rsid w:val="002B18FE"/>
    <w:rsid w:val="002B5493"/>
    <w:rsid w:val="0033584C"/>
    <w:rsid w:val="00343214"/>
    <w:rsid w:val="00352EAB"/>
    <w:rsid w:val="00361C00"/>
    <w:rsid w:val="00384DA1"/>
    <w:rsid w:val="00392384"/>
    <w:rsid w:val="00395FA1"/>
    <w:rsid w:val="003E15D4"/>
    <w:rsid w:val="00411CCE"/>
    <w:rsid w:val="0041666E"/>
    <w:rsid w:val="00421060"/>
    <w:rsid w:val="0045422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2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68A"/>
    <w:rsid w:val="00A1687D"/>
    <w:rsid w:val="00A41E21"/>
    <w:rsid w:val="00A43E52"/>
    <w:rsid w:val="00A4678D"/>
    <w:rsid w:val="00A778C7"/>
    <w:rsid w:val="00AA29C1"/>
    <w:rsid w:val="00AB441E"/>
    <w:rsid w:val="00AB6293"/>
    <w:rsid w:val="00AE0928"/>
    <w:rsid w:val="00AF3B82"/>
    <w:rsid w:val="00B0418A"/>
    <w:rsid w:val="00B12E95"/>
    <w:rsid w:val="00B22876"/>
    <w:rsid w:val="00B558F0"/>
    <w:rsid w:val="00BD48FE"/>
    <w:rsid w:val="00BD52DF"/>
    <w:rsid w:val="00BD7BD8"/>
    <w:rsid w:val="00BE6ADC"/>
    <w:rsid w:val="00C05BFE"/>
    <w:rsid w:val="00C23CD4"/>
    <w:rsid w:val="00C61C0C"/>
    <w:rsid w:val="00C81E40"/>
    <w:rsid w:val="00C828B6"/>
    <w:rsid w:val="00C941CB"/>
    <w:rsid w:val="00CB74B6"/>
    <w:rsid w:val="00CC2357"/>
    <w:rsid w:val="00CE2364"/>
    <w:rsid w:val="00CE4819"/>
    <w:rsid w:val="00CF071A"/>
    <w:rsid w:val="00D058B8"/>
    <w:rsid w:val="00D56C11"/>
    <w:rsid w:val="00D834A0"/>
    <w:rsid w:val="00D872DF"/>
    <w:rsid w:val="00D91E21"/>
    <w:rsid w:val="00DA7FCD"/>
    <w:rsid w:val="00E365E1"/>
    <w:rsid w:val="00E45B19"/>
    <w:rsid w:val="00E820A4"/>
    <w:rsid w:val="00E917D6"/>
    <w:rsid w:val="00EB006A"/>
    <w:rsid w:val="00EB4772"/>
    <w:rsid w:val="00ED169E"/>
    <w:rsid w:val="00ED4235"/>
    <w:rsid w:val="00F04346"/>
    <w:rsid w:val="00F075DC"/>
    <w:rsid w:val="00F149E9"/>
    <w:rsid w:val="00F509D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4C07D"/>
  <w15:chartTrackingRefBased/>
  <w15:docId w15:val="{B759913F-2E47-4121-AED1-6A4A594F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09D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509D9"/>
    <w:pPr>
      <w:keepNext/>
      <w:spacing w:after="480"/>
      <w:jc w:val="center"/>
    </w:pPr>
    <w:rPr>
      <w:rFonts w:ascii="Arial" w:hAnsi="Arial" w:cs="Arial"/>
      <w:b/>
    </w:rPr>
  </w:style>
  <w:style w:type="paragraph" w:customStyle="1" w:styleId="NormalHanging12a">
    <w:name w:val="NormalHanging12a"/>
    <w:basedOn w:val="Normal"/>
    <w:link w:val="NormalHanging12aChar"/>
    <w:rsid w:val="00F509D9"/>
    <w:pPr>
      <w:spacing w:after="240"/>
      <w:ind w:left="567" w:hanging="567"/>
    </w:pPr>
  </w:style>
  <w:style w:type="paragraph" w:styleId="Header">
    <w:name w:val="header"/>
    <w:basedOn w:val="Normal"/>
    <w:link w:val="HeaderChar"/>
    <w:rsid w:val="00F509D9"/>
    <w:pPr>
      <w:tabs>
        <w:tab w:val="center" w:pos="4513"/>
        <w:tab w:val="right" w:pos="9026"/>
      </w:tabs>
    </w:pPr>
  </w:style>
  <w:style w:type="character" w:customStyle="1" w:styleId="HeaderChar">
    <w:name w:val="Header Char"/>
    <w:basedOn w:val="DefaultParagraphFont"/>
    <w:link w:val="Header"/>
    <w:rsid w:val="00F509D9"/>
    <w:rPr>
      <w:sz w:val="24"/>
      <w:lang w:val="hr-HR"/>
    </w:rPr>
  </w:style>
  <w:style w:type="paragraph" w:customStyle="1" w:styleId="EPFooter">
    <w:name w:val="EPFooter"/>
    <w:basedOn w:val="Normal"/>
    <w:rsid w:val="00F509D9"/>
    <w:pPr>
      <w:tabs>
        <w:tab w:val="center" w:pos="4535"/>
        <w:tab w:val="right" w:pos="9071"/>
      </w:tabs>
      <w:spacing w:before="240" w:after="240"/>
    </w:pPr>
    <w:rPr>
      <w:color w:val="010000"/>
      <w:sz w:val="22"/>
    </w:rPr>
  </w:style>
  <w:style w:type="paragraph" w:customStyle="1" w:styleId="EPComma">
    <w:name w:val="EPComma"/>
    <w:basedOn w:val="Normal"/>
    <w:rsid w:val="00F509D9"/>
    <w:pPr>
      <w:spacing w:before="480" w:after="240"/>
    </w:pPr>
  </w:style>
  <w:style w:type="character" w:styleId="Hyperlink">
    <w:name w:val="Hyperlink"/>
    <w:basedOn w:val="DefaultParagraphFont"/>
    <w:uiPriority w:val="99"/>
    <w:rsid w:val="00F509D9"/>
    <w:rPr>
      <w:color w:val="0563C1" w:themeColor="hyperlink"/>
      <w:u w:val="single"/>
    </w:rPr>
  </w:style>
  <w:style w:type="character" w:customStyle="1" w:styleId="NormalHanging12aChar">
    <w:name w:val="NormalHanging12a Char"/>
    <w:basedOn w:val="DefaultParagraphFont"/>
    <w:link w:val="NormalHanging12a"/>
    <w:locked/>
    <w:rsid w:val="00F509D9"/>
    <w:rPr>
      <w:sz w:val="24"/>
      <w:lang w:val="hr-HR"/>
    </w:rPr>
  </w:style>
  <w:style w:type="paragraph" w:customStyle="1" w:styleId="Institutionquiagit">
    <w:name w:val="Institution qui agit"/>
    <w:basedOn w:val="Normal"/>
    <w:next w:val="Normal"/>
    <w:rsid w:val="00F509D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509D9"/>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F509D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509D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509D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509D9"/>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F509D9"/>
    <w:rPr>
      <w:rFonts w:ascii="Arial" w:hAnsi="Arial" w:cs="Arial"/>
      <w:b/>
      <w:sz w:val="24"/>
      <w:lang w:val="hr-HR"/>
    </w:rPr>
  </w:style>
  <w:style w:type="paragraph" w:customStyle="1" w:styleId="Personnequisigne">
    <w:name w:val="Personne qui signe"/>
    <w:basedOn w:val="Normal"/>
    <w:next w:val="Institutionquisigne"/>
    <w:rsid w:val="00F509D9"/>
    <w:pPr>
      <w:widowControl/>
      <w:tabs>
        <w:tab w:val="left" w:pos="4252"/>
      </w:tabs>
    </w:pPr>
    <w:rPr>
      <w:rFonts w:eastAsiaTheme="minorHAnsi"/>
      <w:i/>
      <w:szCs w:val="22"/>
      <w:lang w:eastAsia="en-US"/>
    </w:rPr>
  </w:style>
  <w:style w:type="paragraph" w:styleId="Footer">
    <w:name w:val="footer"/>
    <w:basedOn w:val="Normal"/>
    <w:link w:val="FooterChar"/>
    <w:rsid w:val="00AA29C1"/>
    <w:pPr>
      <w:tabs>
        <w:tab w:val="center" w:pos="4513"/>
        <w:tab w:val="right" w:pos="9026"/>
      </w:tabs>
    </w:pPr>
  </w:style>
  <w:style w:type="character" w:customStyle="1" w:styleId="FooterChar">
    <w:name w:val="Footer Char"/>
    <w:basedOn w:val="DefaultParagraphFont"/>
    <w:link w:val="Footer"/>
    <w:rsid w:val="00AA29C1"/>
    <w:rPr>
      <w:sz w:val="24"/>
      <w:lang w:val="hr-HR"/>
    </w:rPr>
  </w:style>
  <w:style w:type="character" w:styleId="UnresolvedMention">
    <w:name w:val="Unresolved Mention"/>
    <w:basedOn w:val="DefaultParagraphFont"/>
    <w:uiPriority w:val="99"/>
    <w:semiHidden/>
    <w:unhideWhenUsed/>
    <w:rsid w:val="00AA29C1"/>
    <w:rPr>
      <w:color w:val="605E5C"/>
      <w:shd w:val="clear" w:color="auto" w:fill="E1DFDD"/>
    </w:rPr>
  </w:style>
  <w:style w:type="paragraph" w:styleId="Revision">
    <w:name w:val="Revision"/>
    <w:hidden/>
    <w:uiPriority w:val="99"/>
    <w:semiHidden/>
    <w:rsid w:val="0033584C"/>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1434</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2026-05-12T13:25:00Z</dcterms:created>
  <dcterms:modified xsi:type="dcterms:W3CDTF">2026-05-12T13:25:00Z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P10_TA(2026)0073_</vt:lpwstr>
  </property>
  <property fmtid="{D5CDD505-2E9C-101B-9397-08002B2CF9AE}" pid="4" name="&lt;Type&gt;">
    <vt:lpwstr>RR</vt:lpwstr>
  </property>
</Properties>
</file>