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50C2" w14:paraId="3273C952" w14:textId="77777777" w:rsidTr="0010095E">
        <w:trPr>
          <w:trHeight w:hRule="exact" w:val="1418"/>
        </w:trPr>
        <w:tc>
          <w:tcPr>
            <w:tcW w:w="6804" w:type="dxa"/>
            <w:shd w:val="clear" w:color="auto" w:fill="auto"/>
            <w:vAlign w:val="center"/>
          </w:tcPr>
          <w:p w14:paraId="6AD20360" w14:textId="77777777" w:rsidR="00751A4A" w:rsidRPr="009850C2" w:rsidRDefault="00750429" w:rsidP="0010095E">
            <w:pPr>
              <w:pStyle w:val="EPName"/>
            </w:pPr>
            <w:r w:rsidRPr="009850C2">
              <w:t>Europos Parlamentas</w:t>
            </w:r>
          </w:p>
          <w:p w14:paraId="15D86FE4" w14:textId="77777777" w:rsidR="00751A4A" w:rsidRPr="009850C2" w:rsidRDefault="005F1B17" w:rsidP="005F1B17">
            <w:pPr>
              <w:pStyle w:val="EPTerm"/>
              <w:rPr>
                <w:rStyle w:val="HideTWBExt"/>
                <w:noProof w:val="0"/>
                <w:vanish w:val="0"/>
                <w:color w:val="auto"/>
              </w:rPr>
            </w:pPr>
            <w:r w:rsidRPr="009850C2">
              <w:t>2024</w:t>
            </w:r>
            <w:r w:rsidR="00817416" w:rsidRPr="009850C2">
              <w:t>-202</w:t>
            </w:r>
            <w:r w:rsidRPr="009850C2">
              <w:t>9</w:t>
            </w:r>
          </w:p>
        </w:tc>
        <w:tc>
          <w:tcPr>
            <w:tcW w:w="2268" w:type="dxa"/>
            <w:shd w:val="clear" w:color="auto" w:fill="auto"/>
          </w:tcPr>
          <w:p w14:paraId="2B49349A" w14:textId="77777777" w:rsidR="00751A4A" w:rsidRPr="009850C2" w:rsidRDefault="00187494" w:rsidP="0010095E">
            <w:pPr>
              <w:pStyle w:val="EPLogo"/>
            </w:pPr>
            <w:r w:rsidRPr="009850C2">
              <w:rPr>
                <w:noProof/>
                <w:lang w:eastAsia="ja-JP"/>
              </w:rPr>
              <w:drawing>
                <wp:inline distT="0" distB="0" distL="0" distR="0" wp14:anchorId="37E47826" wp14:editId="52E220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FF0C4F" w14:textId="77777777" w:rsidR="00D058B8" w:rsidRPr="009850C2" w:rsidRDefault="00D058B8" w:rsidP="004C5D52">
      <w:pPr>
        <w:pStyle w:val="LineTop"/>
      </w:pPr>
    </w:p>
    <w:p w14:paraId="3987EB0C" w14:textId="77777777" w:rsidR="00680577" w:rsidRPr="009850C2" w:rsidRDefault="00750429" w:rsidP="00680577">
      <w:pPr>
        <w:pStyle w:val="EPBodyTA1"/>
      </w:pPr>
      <w:r w:rsidRPr="009850C2">
        <w:t>PRIIMTI TEKSTAI</w:t>
      </w:r>
    </w:p>
    <w:p w14:paraId="2E50F59D" w14:textId="77777777" w:rsidR="00D058B8" w:rsidRPr="009850C2" w:rsidRDefault="00D058B8" w:rsidP="00D058B8">
      <w:pPr>
        <w:pStyle w:val="LineBottom"/>
      </w:pPr>
    </w:p>
    <w:p w14:paraId="72EB6219" w14:textId="2FAB3AF5" w:rsidR="00750429" w:rsidRPr="009850C2" w:rsidRDefault="00750429" w:rsidP="00750429">
      <w:pPr>
        <w:pStyle w:val="ATHeading1"/>
      </w:pPr>
      <w:bookmarkStart w:id="0" w:name="TANumber"/>
      <w:r w:rsidRPr="009850C2">
        <w:t>P10_TA(2026)00</w:t>
      </w:r>
      <w:r w:rsidR="00F11DD1">
        <w:t>7</w:t>
      </w:r>
      <w:r w:rsidR="0036205C">
        <w:t>3</w:t>
      </w:r>
      <w:bookmarkEnd w:id="0"/>
    </w:p>
    <w:p w14:paraId="4B1F3FA9" w14:textId="03C2845D" w:rsidR="00750429" w:rsidRPr="009850C2" w:rsidRDefault="00750429" w:rsidP="00750429">
      <w:pPr>
        <w:pStyle w:val="ATHeading2"/>
      </w:pPr>
      <w:bookmarkStart w:id="1" w:name="title"/>
      <w:r w:rsidRPr="009850C2">
        <w:t>Europos prisitaikymo prie globalizacijos padarinių fondo atleistiems darbuotojams lėšų mobilizavimas</w:t>
      </w:r>
      <w:r w:rsidR="0091113C">
        <w:t>:</w:t>
      </w:r>
      <w:r w:rsidRPr="009850C2">
        <w:t xml:space="preserve"> Belgijos paraišk</w:t>
      </w:r>
      <w:r w:rsidR="0091113C">
        <w:t>a</w:t>
      </w:r>
      <w:r w:rsidRPr="009850C2">
        <w:t xml:space="preserve"> EGF/2025/004 BE/</w:t>
      </w:r>
      <w:proofErr w:type="spellStart"/>
      <w:r w:rsidRPr="009850C2">
        <w:t>Tupperware</w:t>
      </w:r>
      <w:bookmarkEnd w:id="1"/>
      <w:proofErr w:type="spellEnd"/>
    </w:p>
    <w:p w14:paraId="08DA0380" w14:textId="77777777" w:rsidR="00750429" w:rsidRPr="009850C2" w:rsidRDefault="00750429" w:rsidP="00750429">
      <w:pPr>
        <w:rPr>
          <w:i/>
          <w:vanish/>
        </w:rPr>
      </w:pPr>
      <w:r w:rsidRPr="009850C2">
        <w:rPr>
          <w:i/>
        </w:rPr>
        <w:fldChar w:fldCharType="begin"/>
      </w:r>
      <w:r w:rsidRPr="009850C2">
        <w:rPr>
          <w:i/>
        </w:rPr>
        <w:instrText xml:space="preserve"> TC"(</w:instrText>
      </w:r>
      <w:bookmarkStart w:id="2" w:name="DocNumber"/>
      <w:r w:rsidRPr="009850C2">
        <w:rPr>
          <w:i/>
        </w:rPr>
        <w:instrText>A10-0030/2026</w:instrText>
      </w:r>
      <w:bookmarkEnd w:id="2"/>
      <w:r w:rsidRPr="009850C2">
        <w:rPr>
          <w:i/>
        </w:rPr>
        <w:instrText xml:space="preserve"> - Pranešėjas: </w:instrText>
      </w:r>
      <w:proofErr w:type="spellStart"/>
      <w:r w:rsidRPr="009850C2">
        <w:rPr>
          <w:i/>
        </w:rPr>
        <w:instrText>Jean-Marc</w:instrText>
      </w:r>
      <w:proofErr w:type="spellEnd"/>
      <w:r w:rsidRPr="009850C2">
        <w:rPr>
          <w:i/>
        </w:rPr>
        <w:instrText xml:space="preserve"> </w:instrText>
      </w:r>
      <w:proofErr w:type="spellStart"/>
      <w:r w:rsidRPr="009850C2">
        <w:rPr>
          <w:i/>
        </w:rPr>
        <w:instrText>Germain</w:instrText>
      </w:r>
      <w:proofErr w:type="spellEnd"/>
      <w:r w:rsidRPr="009850C2">
        <w:rPr>
          <w:i/>
        </w:rPr>
        <w:instrText xml:space="preserve">)"\l3 \n&gt; \* MERGEFORMAT </w:instrText>
      </w:r>
      <w:r w:rsidRPr="009850C2">
        <w:rPr>
          <w:i/>
        </w:rPr>
        <w:fldChar w:fldCharType="end"/>
      </w:r>
    </w:p>
    <w:p w14:paraId="2EC4F575" w14:textId="77777777" w:rsidR="00750429" w:rsidRPr="009850C2" w:rsidRDefault="00750429" w:rsidP="00750429">
      <w:pPr>
        <w:rPr>
          <w:vanish/>
        </w:rPr>
      </w:pPr>
      <w:bookmarkStart w:id="3" w:name="Commission"/>
      <w:r w:rsidRPr="009850C2">
        <w:rPr>
          <w:vanish/>
        </w:rPr>
        <w:t>Biudžeto komitetas</w:t>
      </w:r>
      <w:bookmarkEnd w:id="3"/>
    </w:p>
    <w:p w14:paraId="55094692" w14:textId="77777777" w:rsidR="00750429" w:rsidRPr="009850C2" w:rsidRDefault="00750429" w:rsidP="00750429">
      <w:pPr>
        <w:rPr>
          <w:vanish/>
        </w:rPr>
      </w:pPr>
      <w:bookmarkStart w:id="4" w:name="PE"/>
      <w:r w:rsidRPr="009850C2">
        <w:rPr>
          <w:vanish/>
        </w:rPr>
        <w:t>PE782.416</w:t>
      </w:r>
      <w:bookmarkEnd w:id="4"/>
    </w:p>
    <w:p w14:paraId="5FE52A4D" w14:textId="18823F8F" w:rsidR="00750429" w:rsidRPr="009850C2" w:rsidRDefault="00750429" w:rsidP="00750429">
      <w:pPr>
        <w:pStyle w:val="ATHeading3"/>
      </w:pPr>
      <w:bookmarkStart w:id="5" w:name="Sujet"/>
      <w:r w:rsidRPr="009850C2">
        <w:t xml:space="preserve">2026 m. </w:t>
      </w:r>
      <w:r w:rsidR="0091113C">
        <w:t>kovo</w:t>
      </w:r>
      <w:r w:rsidR="0091113C" w:rsidRPr="009850C2">
        <w:t xml:space="preserve"> </w:t>
      </w:r>
      <w:r w:rsidR="0091113C">
        <w:t>11</w:t>
      </w:r>
      <w:r w:rsidR="0091113C" w:rsidRPr="009850C2">
        <w:t xml:space="preserve"> </w:t>
      </w:r>
      <w:r w:rsidRPr="009850C2">
        <w:t>d. Europos Parlamento rezoliucija dėl pasiūlymo dėl Europos Parlamento ir Tarybos sprendimo dėl Europos prisitaikymo prie globalizacijos padarinių fondo atleistiems darbuotojams lėšų mobilizavimo pagal Belgijos paraišką „EGF/2025/004 BE/Tupperware“</w:t>
      </w:r>
      <w:bookmarkEnd w:id="5"/>
      <w:r w:rsidRPr="009850C2">
        <w:t xml:space="preserve"> </w:t>
      </w:r>
      <w:bookmarkStart w:id="6" w:name="References"/>
      <w:r w:rsidRPr="009850C2">
        <w:t>(COM(2026)0001 – C10-0012/2026 – 2026/0004(BUD))</w:t>
      </w:r>
      <w:bookmarkEnd w:id="6"/>
    </w:p>
    <w:p w14:paraId="0F5C98CA" w14:textId="77777777" w:rsidR="0025743F" w:rsidRPr="009850C2" w:rsidRDefault="0025743F" w:rsidP="0025743F">
      <w:pPr>
        <w:pStyle w:val="EPComma"/>
        <w:rPr>
          <w:noProof/>
        </w:rPr>
      </w:pPr>
      <w:r w:rsidRPr="009850C2">
        <w:rPr>
          <w:i/>
        </w:rPr>
        <w:t>Europos Parlamentas</w:t>
      </w:r>
      <w:r w:rsidRPr="009850C2">
        <w:t>,</w:t>
      </w:r>
    </w:p>
    <w:p w14:paraId="6E5E2E89" w14:textId="77777777" w:rsidR="0025743F" w:rsidRPr="009850C2" w:rsidRDefault="0025743F" w:rsidP="0025743F">
      <w:pPr>
        <w:pStyle w:val="NormalHanging12a"/>
        <w:rPr>
          <w:noProof/>
        </w:rPr>
      </w:pPr>
      <w:r w:rsidRPr="009850C2">
        <w:t>–</w:t>
      </w:r>
      <w:r w:rsidRPr="009850C2">
        <w:tab/>
        <w:t>atsižvelgdamas į Komisijos pasiūlymą Europos Parlamentui ir Tarybai (COM(2026)0001 – C10</w:t>
      </w:r>
      <w:r w:rsidRPr="009850C2">
        <w:noBreakHyphen/>
        <w:t>0012/2026),</w:t>
      </w:r>
    </w:p>
    <w:p w14:paraId="2E2C1D9B" w14:textId="77777777" w:rsidR="0025743F" w:rsidRPr="009850C2" w:rsidRDefault="0025743F" w:rsidP="0025743F">
      <w:pPr>
        <w:pStyle w:val="NormalHanging12a"/>
      </w:pPr>
      <w:r w:rsidRPr="009850C2">
        <w:t>–</w:t>
      </w:r>
      <w:r w:rsidRPr="009850C2">
        <w:tab/>
        <w:t>atsižvelgdamas į 2021 m. balandžio 28 d. Europos Parlamento ir Tarybos reglamentą (ES) 2021/691 dėl Europos prisitaikymo prie globalizacijos padarinių fondo atleistiems darbuotojams (EGF), kuriuo panaikinamas Reglamentas (ES) Nr. 1309/2013</w:t>
      </w:r>
      <w:r w:rsidRPr="009850C2">
        <w:rPr>
          <w:vertAlign w:val="superscript"/>
        </w:rPr>
        <w:footnoteReference w:id="1"/>
      </w:r>
      <w:r w:rsidRPr="009850C2">
        <w:t xml:space="preserve"> (toliau – EGF reglamentas), </w:t>
      </w:r>
    </w:p>
    <w:p w14:paraId="6D788312" w14:textId="77777777" w:rsidR="0025743F" w:rsidRPr="009850C2" w:rsidRDefault="0025743F" w:rsidP="0025743F">
      <w:pPr>
        <w:pStyle w:val="NormalHanging12a"/>
        <w:rPr>
          <w:noProof/>
        </w:rPr>
      </w:pPr>
      <w:r w:rsidRPr="009850C2">
        <w:t>–</w:t>
      </w:r>
      <w:r w:rsidRPr="009850C2">
        <w:tab/>
        <w:t>atsižvelgdamas į 2020 m. gruodžio 17 d. Tarybos reglamentą (ES, Euratomas) 2020/2093, kuriuo nustatoma 2021–2027 m. daugiametė finansinė programa</w:t>
      </w:r>
      <w:r w:rsidRPr="009850C2">
        <w:rPr>
          <w:noProof/>
          <w:vertAlign w:val="superscript"/>
        </w:rPr>
        <w:footnoteReference w:id="2"/>
      </w:r>
      <w:r w:rsidRPr="009850C2">
        <w:t>, su pakeitimais, padarytais Reglamentu (ES, Euratomas) 2024/765</w:t>
      </w:r>
      <w:r w:rsidRPr="009850C2">
        <w:rPr>
          <w:noProof/>
          <w:vertAlign w:val="superscript"/>
        </w:rPr>
        <w:footnoteReference w:id="3"/>
      </w:r>
      <w:r w:rsidRPr="009850C2">
        <w:t xml:space="preserve"> (toliau –DFP reglamentas), ypač į jo 8 straipsnį, </w:t>
      </w:r>
    </w:p>
    <w:p w14:paraId="4349397B" w14:textId="77777777" w:rsidR="0025743F" w:rsidRPr="009850C2" w:rsidRDefault="0025743F" w:rsidP="0025743F">
      <w:pPr>
        <w:pStyle w:val="NormalHanging12a"/>
        <w:rPr>
          <w:noProof/>
        </w:rPr>
      </w:pPr>
      <w:r w:rsidRPr="009850C2">
        <w:t>–</w:t>
      </w:r>
      <w:r w:rsidRPr="009850C2">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9850C2">
        <w:rPr>
          <w:rStyle w:val="FootnoteReference"/>
          <w:noProof/>
        </w:rPr>
        <w:footnoteReference w:id="4"/>
      </w:r>
      <w:r w:rsidRPr="009850C2">
        <w:t xml:space="preserve">, ypač į </w:t>
      </w:r>
      <w:r w:rsidRPr="009850C2">
        <w:lastRenderedPageBreak/>
        <w:t>jo 9 punktą,</w:t>
      </w:r>
    </w:p>
    <w:p w14:paraId="6B2F0BE8" w14:textId="77777777" w:rsidR="0025743F" w:rsidRPr="009850C2" w:rsidRDefault="0025743F" w:rsidP="0025743F">
      <w:pPr>
        <w:pStyle w:val="NormalHanging12a"/>
        <w:rPr>
          <w:noProof/>
        </w:rPr>
      </w:pPr>
      <w:r w:rsidRPr="009850C2">
        <w:t>–</w:t>
      </w:r>
      <w:r w:rsidRPr="009850C2">
        <w:tab/>
        <w:t>atsižvelgdamas į Europos socialinių teisių ramstį,</w:t>
      </w:r>
    </w:p>
    <w:p w14:paraId="06E8B686" w14:textId="77777777" w:rsidR="0025743F" w:rsidRPr="009850C2" w:rsidRDefault="0025743F" w:rsidP="0025743F">
      <w:pPr>
        <w:pStyle w:val="NormalHanging12a"/>
        <w:rPr>
          <w:noProof/>
        </w:rPr>
      </w:pPr>
      <w:r w:rsidRPr="009850C2">
        <w:t>–</w:t>
      </w:r>
      <w:r w:rsidRPr="009850C2">
        <w:tab/>
        <w:t>atsižvelgdamas į Užimtumo ir socialinių reikalų komiteto nuomonę,</w:t>
      </w:r>
    </w:p>
    <w:p w14:paraId="28AEF43E" w14:textId="77777777" w:rsidR="0025743F" w:rsidRPr="009850C2" w:rsidRDefault="0025743F" w:rsidP="0025743F">
      <w:pPr>
        <w:pStyle w:val="NormalHanging12a"/>
      </w:pPr>
      <w:r w:rsidRPr="009850C2">
        <w:t>–</w:t>
      </w:r>
      <w:r w:rsidRPr="009850C2">
        <w:tab/>
        <w:t>atsižvelgdamas į Biudžeto komiteto pranešimą (A10-0030/2026),</w:t>
      </w:r>
    </w:p>
    <w:p w14:paraId="5ADCC5E3" w14:textId="77777777" w:rsidR="0025743F" w:rsidRPr="009850C2" w:rsidRDefault="0025743F" w:rsidP="0025743F">
      <w:pPr>
        <w:pStyle w:val="NormalHanging12a"/>
        <w:rPr>
          <w:noProof/>
        </w:rPr>
      </w:pPr>
      <w:r w:rsidRPr="009850C2">
        <w:t>A.</w:t>
      </w:r>
      <w:r w:rsidRPr="009850C2">
        <w:tab/>
        <w:t>kadangi Sąjunga, siekdama teikti papildomą paramą darbuotojams, nukentėjusiems dėl esminių struktūrinių pasaulio prekybos sistemos įvykių ir pokyčių, ir padėti jiems vėl integruotis į darbo rinką, nustatė teisėkūros ir biudžetines priemones; kadangi šią pagalbą sudaro darbuotojams teikiama finansinė parama;</w:t>
      </w:r>
    </w:p>
    <w:p w14:paraId="62A08DB9" w14:textId="6614E5C8" w:rsidR="0025743F" w:rsidRPr="009850C2" w:rsidRDefault="0025743F" w:rsidP="0025743F">
      <w:pPr>
        <w:pStyle w:val="NormalHanging12a"/>
        <w:rPr>
          <w:noProof/>
        </w:rPr>
      </w:pPr>
      <w:r w:rsidRPr="009850C2">
        <w:t>B.</w:t>
      </w:r>
      <w:r w:rsidRPr="009850C2">
        <w:tab/>
        <w:t xml:space="preserve">kadangi Belgija pateikė paraišką „EGF/2025/004 BE/Tupperware“ dėl finansinės paramos iš </w:t>
      </w:r>
      <w:r w:rsidR="0091113C" w:rsidRPr="0091113C">
        <w:t>Europos prisitaikymo prie globalizacijos padarinių fond</w:t>
      </w:r>
      <w:r w:rsidR="0091113C">
        <w:t>o (</w:t>
      </w:r>
      <w:r w:rsidRPr="009850C2">
        <w:t>EGF</w:t>
      </w:r>
      <w:r w:rsidR="0091113C">
        <w:t>)</w:t>
      </w:r>
      <w:r w:rsidRPr="009850C2">
        <w:t xml:space="preserve"> po to, kai per ataskaitinį laikotarpį nuo 2025 m. vasario 17 d. iki 2025 m. birželio 17 d. iš įmonės „Tupperware General Services NV“ (toliau – įmonė „Tupperware“) buvo atleisti 267 darbuotojai</w:t>
      </w:r>
      <w:r w:rsidRPr="009850C2">
        <w:rPr>
          <w:noProof/>
          <w:vertAlign w:val="superscript"/>
        </w:rPr>
        <w:footnoteReference w:id="5"/>
      </w:r>
      <w:r w:rsidRPr="009850C2">
        <w:t xml:space="preserve"> ekonomikos sektoriuje, kuris priskiriamas NACE 2 red. 22 skyriui (Guminių ir plastikinių gaminių gamyba), Rytų Flandrijos provincijoje (BE23); </w:t>
      </w:r>
    </w:p>
    <w:p w14:paraId="4469E080" w14:textId="77777777" w:rsidR="0025743F" w:rsidRPr="009850C2" w:rsidRDefault="0025743F" w:rsidP="0025743F">
      <w:pPr>
        <w:pStyle w:val="NormalHanging12a"/>
        <w:rPr>
          <w:noProof/>
        </w:rPr>
      </w:pPr>
      <w:r w:rsidRPr="009850C2">
        <w:t>C.</w:t>
      </w:r>
      <w:r w:rsidRPr="009850C2">
        <w:tab/>
        <w:t xml:space="preserve">kadangi paraiška grindžiama EGF reglamento 4 straipsnio 2 dalies a punkte nustatytais intervencijos kriterijais. Šiame punkte reikalaujama, kad per ataskaitinį keturių mėnesių laikotarpį valstybės narės įmonėje būtų sustabdyta ne mažiau kaip 200 atleistų darbuotojų arba savarankiškai dirbančių asmenų veikla; </w:t>
      </w:r>
    </w:p>
    <w:p w14:paraId="2CD676BA" w14:textId="77777777" w:rsidR="0025743F" w:rsidRPr="009850C2" w:rsidRDefault="0025743F" w:rsidP="0025743F">
      <w:pPr>
        <w:pStyle w:val="NormalHanging12a"/>
        <w:rPr>
          <w:noProof/>
        </w:rPr>
      </w:pPr>
      <w:r w:rsidRPr="009850C2">
        <w:t>D.</w:t>
      </w:r>
      <w:r w:rsidRPr="009850C2">
        <w:tab/>
        <w:t>kadangi 2025 m. vasario 17 d. įmonė „Tupperware“ paskelbė bankrotą; kadangi Belgijoje nuo 2022 m. bankrotų daugėja;</w:t>
      </w:r>
    </w:p>
    <w:p w14:paraId="3A958A73" w14:textId="77777777" w:rsidR="0025743F" w:rsidRPr="009850C2" w:rsidRDefault="0025743F" w:rsidP="0025743F">
      <w:pPr>
        <w:pStyle w:val="NormalHanging12a"/>
        <w:rPr>
          <w:noProof/>
        </w:rPr>
      </w:pPr>
      <w:r w:rsidRPr="009850C2">
        <w:t>E.</w:t>
      </w:r>
      <w:r w:rsidRPr="009850C2">
        <w:tab/>
        <w:t>kadangi Belgija nurodė, kad VDAB teikia nacionalinį išankstinį ir bendrą priemonių finansavimą;</w:t>
      </w:r>
    </w:p>
    <w:p w14:paraId="15ED1F31" w14:textId="77777777" w:rsidR="0025743F" w:rsidRPr="009850C2" w:rsidRDefault="0025743F" w:rsidP="0025743F">
      <w:pPr>
        <w:pStyle w:val="NormalHanging12a"/>
        <w:rPr>
          <w:noProof/>
        </w:rPr>
      </w:pPr>
      <w:r w:rsidRPr="009850C2">
        <w:t>F.</w:t>
      </w:r>
      <w:r w:rsidRPr="009850C2">
        <w:tab/>
        <w:t>kadangi buvo laikomasi Sąjungos ir nacionalinės teisės aktuose nustatytų su kolektyviniu atleidimu iš darbo susijusių reikalavimų;</w:t>
      </w:r>
    </w:p>
    <w:p w14:paraId="44D2643B" w14:textId="77777777" w:rsidR="0025743F" w:rsidRPr="009850C2" w:rsidRDefault="0025743F" w:rsidP="0025743F">
      <w:pPr>
        <w:pStyle w:val="NormalHanging12a"/>
        <w:rPr>
          <w:noProof/>
        </w:rPr>
      </w:pPr>
      <w:r w:rsidRPr="009850C2">
        <w:t>G.</w:t>
      </w:r>
      <w:r w:rsidRPr="009850C2">
        <w:tab/>
        <w:t>kadangi EGF finansinė parama pirmiausia turėtų būti skiriama aktyvios darbo rinkos politikos priemonėms ir prie individualių poreikių pritaikytoms paslaugoms, kuriomis siekiama greitai reintegruoti paramos gavėjus į darbo rinką padedant jiems gauti deramas ir tvarias darbo vietas, kartu rengiant juos žalesnei ir labiau skaitmeninei Europos ekonomikai;</w:t>
      </w:r>
    </w:p>
    <w:p w14:paraId="565C0592" w14:textId="77777777" w:rsidR="0025743F" w:rsidRPr="009850C2" w:rsidRDefault="0025743F" w:rsidP="0025743F">
      <w:pPr>
        <w:pStyle w:val="NormalHanging12a"/>
        <w:rPr>
          <w:noProof/>
        </w:rPr>
      </w:pPr>
      <w:r w:rsidRPr="009850C2">
        <w:t>H.</w:t>
      </w:r>
      <w:r w:rsidRPr="009850C2">
        <w:tab/>
        <w:t>kadangi EGF didžiausia metinė suma neviršija 30 mln. EUR (2018 m. kainomis)</w:t>
      </w:r>
      <w:r w:rsidRPr="009850C2">
        <w:rPr>
          <w:noProof/>
          <w:vertAlign w:val="superscript"/>
        </w:rPr>
        <w:footnoteReference w:id="6"/>
      </w:r>
      <w:r w:rsidRPr="009850C2">
        <w:t xml:space="preserve">; </w:t>
      </w:r>
    </w:p>
    <w:p w14:paraId="234E9F96" w14:textId="77777777" w:rsidR="0025743F" w:rsidRPr="009850C2" w:rsidRDefault="0025743F" w:rsidP="0025743F">
      <w:pPr>
        <w:pStyle w:val="NormalHanging12a"/>
        <w:rPr>
          <w:noProof/>
        </w:rPr>
      </w:pPr>
      <w:r w:rsidRPr="009850C2">
        <w:t>1.</w:t>
      </w:r>
      <w:r w:rsidRPr="009850C2">
        <w:tab/>
        <w:t>pritaria Komisijai, kad EGF reglamento ir ypač jo 4 straipsnio 2 dalies a punkte nustatytos sąlygos yra tenkinamos ir kad Belgija turi teisę pagal šį reglamentą gauti 1 622 650 EUR finansinę paramą, kuri sudaro 85 proc. visų išlaidų, siekiančių 1 909 000 EUR ir apimančių prie individualių poreikių pritaikytų paslaugų išlaidas (1 843 500 EUR) ir parengiamosios, valdymo, informavimo ir viešinimo, kontrolės ir ataskaitų teikimo veiklos išlaidas (65 500 EUR);</w:t>
      </w:r>
    </w:p>
    <w:p w14:paraId="1A4D0666" w14:textId="77777777" w:rsidR="0025743F" w:rsidRPr="009850C2" w:rsidRDefault="0025743F" w:rsidP="0025743F">
      <w:pPr>
        <w:pStyle w:val="NormalHanging12a"/>
        <w:rPr>
          <w:noProof/>
        </w:rPr>
      </w:pPr>
      <w:r w:rsidRPr="009850C2">
        <w:t>2.</w:t>
      </w:r>
      <w:r w:rsidRPr="009850C2">
        <w:tab/>
        <w:t xml:space="preserve">pažymi, kad Belgijos valdžios institucijos paraišką pateikė 2025 m. rugpjūčio 28 d. ir </w:t>
      </w:r>
      <w:r w:rsidRPr="009850C2">
        <w:lastRenderedPageBreak/>
        <w:t>kad, gavusi iš Belgijos papildomą informaciją, Komisija 2026 m. sausio 20 d. – po beveik penkių mėnesių – baigė savo vertinimą ir tą pačią dieną informavo Parlamentą; pabrėžia, kad svarbu sutrumpinti laikotarpį nuo paraiškos EGF paramai gauti pateikimo iki sprendimo dėl finansavimo priėmimo, kartu visapusiškai išlaikant Europos Parlamento, kaip vienos iš biudžeto valdymo institucijų, teises;</w:t>
      </w:r>
    </w:p>
    <w:p w14:paraId="17FB46C8" w14:textId="77777777" w:rsidR="0025743F" w:rsidRPr="009850C2" w:rsidRDefault="0025743F" w:rsidP="0025743F">
      <w:pPr>
        <w:pStyle w:val="NormalHanging12a"/>
        <w:rPr>
          <w:noProof/>
        </w:rPr>
      </w:pPr>
      <w:r w:rsidRPr="009850C2">
        <w:t>3.</w:t>
      </w:r>
      <w:r w:rsidRPr="009850C2">
        <w:tab/>
        <w:t>pažymi, kad paraiška yra susijusi su 267 tiksliniais paramos gavėjais – darbuotojais, kurie buvo atleisti iš įmonės „Tupperware“;</w:t>
      </w:r>
    </w:p>
    <w:p w14:paraId="1DD72453" w14:textId="77777777" w:rsidR="0025743F" w:rsidRPr="009850C2" w:rsidRDefault="0025743F" w:rsidP="0025743F">
      <w:pPr>
        <w:pStyle w:val="NormalHanging12a"/>
        <w:rPr>
          <w:noProof/>
        </w:rPr>
      </w:pPr>
      <w:r w:rsidRPr="009850C2">
        <w:t>4.</w:t>
      </w:r>
      <w:r w:rsidRPr="009850C2">
        <w:tab/>
        <w:t>pažymi, kad įmonė „Tupperware“ buvo įsikūrusi Alste, Rytų Flandrijos provincijoje, kur dar prieš „Tupperware“ bankrotą darbą turėjo tik vienas iš dviejų žmonių, palyginti su vidutiniškai dviem iš trijų asmenų visame Flandrijos regione; apgailestauja, kad dėl šių atleidimų padėtis dar labiau pablogės; pabrėžia, kad reikia imtis skubių veiksmų siekiant užkirsti kelią struktūriniam regionų nuosmukiui;</w:t>
      </w:r>
    </w:p>
    <w:p w14:paraId="61994A6F" w14:textId="77777777" w:rsidR="0025743F" w:rsidRPr="009850C2" w:rsidRDefault="0025743F" w:rsidP="0025743F">
      <w:pPr>
        <w:pStyle w:val="NormalHanging12a"/>
        <w:rPr>
          <w:noProof/>
        </w:rPr>
      </w:pPr>
      <w:r w:rsidRPr="009850C2">
        <w:t>5.</w:t>
      </w:r>
      <w:r w:rsidRPr="009850C2">
        <w:tab/>
        <w:t xml:space="preserve">apgailestauja dėl to, kad 2024 m. spalio mėn. kreditoriai perėmė JAV patronuojančiąją bendrovę „Tupperware Brands“ ir kad vykdant didelio masto restruktūrizavimą buvo sustabdyta bendrovės „Tupperware General Services NV“ gamyba ir atšauktos licencijos, todėl Belgijos patronuojamoji įmonė tapo finansiškai nemoki ir 2025 m. vasario 17 d. paskelbė bankrotą; </w:t>
      </w:r>
    </w:p>
    <w:p w14:paraId="50C96CB3" w14:textId="77777777" w:rsidR="0025743F" w:rsidRPr="009850C2" w:rsidRDefault="0025743F" w:rsidP="0025743F">
      <w:pPr>
        <w:pStyle w:val="NormalHanging12a"/>
        <w:rPr>
          <w:noProof/>
        </w:rPr>
      </w:pPr>
      <w:r w:rsidRPr="009850C2">
        <w:t>6.</w:t>
      </w:r>
      <w:r w:rsidRPr="009850C2">
        <w:tab/>
        <w:t>palankiai vertina Europos verslininkų grupės iniciatyvą, kuria siekiama atgaivinti šį prekės ženklą Vokietijoje, Prancūzijoje, Belgijoje, Italijoje ir Lenkijoje;</w:t>
      </w:r>
    </w:p>
    <w:p w14:paraId="5A5BE9D7" w14:textId="77777777" w:rsidR="0025743F" w:rsidRPr="009850C2" w:rsidRDefault="0025743F" w:rsidP="0025743F">
      <w:pPr>
        <w:pStyle w:val="NormalHanging12a"/>
        <w:rPr>
          <w:noProof/>
        </w:rPr>
      </w:pPr>
      <w:r w:rsidRPr="009850C2">
        <w:t>7.</w:t>
      </w:r>
      <w:r w:rsidRPr="009850C2">
        <w:tab/>
        <w:t>pabrėžia, kad Flandrijoje žemą išsilavinimą turintiems asmenims kyla didesnė nei dvigubai nedarbo rizika; pažymi, kad trečdalis atleistų darbuotojų turi ne aukštesnį kaip pagrindinį išsilavinimą; ragina Belgijos valdžios institucijas teikti specialią paramą, kuri būtų pritaikyta prie šių profilių, siekiant padėti darbuotojams įveikti sunkumus ir susirasti naują darbą, taip pat imtis priemonių bankrotų skaičiui mažinti ir socialinei nelygybei, dėl kurios darbuotojai atskiriami nuo darbo rinkos, panaikinti;</w:t>
      </w:r>
    </w:p>
    <w:p w14:paraId="1326BCA4" w14:textId="77777777" w:rsidR="0025743F" w:rsidRPr="009850C2" w:rsidRDefault="0025743F" w:rsidP="0025743F">
      <w:pPr>
        <w:pStyle w:val="NormalHanging12a"/>
        <w:rPr>
          <w:noProof/>
        </w:rPr>
      </w:pPr>
      <w:r w:rsidRPr="009850C2">
        <w:t>8.</w:t>
      </w:r>
      <w:r w:rsidRPr="009850C2">
        <w:tab/>
        <w:t>primena, kad pagal susitarimą su profesinėmis sąjungomis, ekspertais ir socialiniais partneriais prie individualių poreikių pritaikytas paslaugas, kurios turi būti teikiamos darbuotojams, sudaro šios priemonės: informaciniai susitikimai, skirti reintegracijai į darbo rinką, perdarbinimo paslaugos, įskaitant IRT mokymą; pagalba ieškant darbo teikiant konsultacijas ir pagalba darbo paieškos, mokymo ir perkvalifikavimo, darbo mugių, darbo paieškos bei darbo pasiūlos ir paklausos derinimo srityse; pabrėžia, kad svarbu skatinti aukštos kokybės, į ateitį orientuotas darbo vietas, kad būtų užtikrintas ilgalaikis ekonominis ir socialinis atsparumas; ragina Belgijos valdžios institucijas užmegzti dialogą su naujais Europos „Tupperware“ atstovais, kad būtų išnagrinėtos galimybės atleistiems darbuotojams reintegruotis į jų ekonominę veiklą;</w:t>
      </w:r>
    </w:p>
    <w:p w14:paraId="501FA9C2" w14:textId="77777777" w:rsidR="0025743F" w:rsidRPr="009850C2" w:rsidRDefault="0025743F" w:rsidP="0025743F">
      <w:pPr>
        <w:pStyle w:val="NormalHanging12a"/>
        <w:rPr>
          <w:noProof/>
        </w:rPr>
      </w:pPr>
      <w:r w:rsidRPr="009850C2">
        <w:t>9.</w:t>
      </w:r>
      <w:r w:rsidRPr="009850C2">
        <w:tab/>
        <w:t>pabrėžia, kad atleistų darbuotojų kvalifikacija ir įgūdžiai tebėra labai svarbūs perspektyviai Europos ekonomikai; todėl mano, kad EGF lėšų mobilizavimas turi būti įtrauktas į platesnio masto politinį atsaką visais politiniais lygmenimis, siekiant užtikrinti, kad nukentėję darbuotojai turėtų tinkamas galimybes, atitinkančias jų kvalifikaciją ir įgūdžius; taip pat primena, kad EGF yra solidarumo ir teisingos pertvarkos priemonė ir kad pagrindinė Sąjungos užduotis turi būti visų pirma užkirsti kelią tokiam įmonių uždarymui; mano, kad, nors EGF teikia būtiną paramą nukentėjusiems darbuotojams, galingesnė pramonės politika, tvirtesnė, tvaresnė ir atsparesnė ekonomika ir strateginės priklausomybės mažinimas yra labai svarbūs siekiant apsaugoti Europos pramonės užimtumo bazę;</w:t>
      </w:r>
    </w:p>
    <w:p w14:paraId="69C04A92" w14:textId="77777777" w:rsidR="0025743F" w:rsidRPr="009850C2" w:rsidRDefault="0025743F" w:rsidP="0025743F">
      <w:pPr>
        <w:pStyle w:val="NormalHanging12a"/>
        <w:rPr>
          <w:bCs/>
          <w:iCs/>
          <w:noProof/>
        </w:rPr>
      </w:pPr>
      <w:r w:rsidRPr="009850C2">
        <w:lastRenderedPageBreak/>
        <w:t>10.</w:t>
      </w:r>
      <w:r w:rsidRPr="009850C2">
        <w:tab/>
        <w:t>pabrėžia, kad Belgijos valdžios institucijos užtikrina Sąjungos finansavimo matomumą ir pabrėžia jo pridėtinę vertę teikdamos veiksmingą ir tikslinę informaciją paramos gavėjams, regioninėms ir vietos valdžios institucijoms, socialiniams partneriams ir plačiajai visuomenei;</w:t>
      </w:r>
    </w:p>
    <w:p w14:paraId="10F9ADBD" w14:textId="77777777" w:rsidR="0025743F" w:rsidRPr="009850C2" w:rsidRDefault="0025743F" w:rsidP="0025743F">
      <w:pPr>
        <w:pStyle w:val="NormalHanging12a"/>
        <w:rPr>
          <w:noProof/>
        </w:rPr>
      </w:pPr>
      <w:r w:rsidRPr="009850C2">
        <w:t>11.</w:t>
      </w:r>
      <w:r w:rsidRPr="009850C2">
        <w:tab/>
        <w:t>ragina atlikti išsamius galutinius įgyvendintų priemonių vertinimus, įskaitant aiškią informaciją apie tai, kaip lėšos buvo panaudotos ir ar jos buvo panaudotos pagal patvirtintus planus; pabrėžia, kad tokie vertinimai turėtų būti grindžiami aiškiai apibrėžtais tikslais ir išmatuojamais rezultatais, kad būtų galima įvertinti atitinkamų darbuotojų požiūriu pasiektus rezultatus; pabrėžia, kad svarbu užtikrinti spartesnes ir veiksmingesnes intervencines priemones, ir atsižvelgdamas į tai primena, kad reikia išnagrinėti būdus, kaip užtikrinti EGF arba jį pakeisiančios programos tvarumą pagal kitą 2028–2034 m. daugiametę finansinę programą;</w:t>
      </w:r>
    </w:p>
    <w:p w14:paraId="558AF850" w14:textId="77777777" w:rsidR="0025743F" w:rsidRPr="009850C2" w:rsidRDefault="0025743F" w:rsidP="0025743F">
      <w:pPr>
        <w:pStyle w:val="NormalHanging12a"/>
        <w:rPr>
          <w:noProof/>
        </w:rPr>
      </w:pPr>
      <w:r w:rsidRPr="009850C2">
        <w:t>12.</w:t>
      </w:r>
      <w:r w:rsidRPr="009850C2">
        <w:tab/>
        <w:t>pažymi, kad Belgija tiksliniams paramos gavėjams prie individualių poreikių pritaikytas paslaugas pradėjo teikti 2025 m. vasario 17 d. ir todėl joms skirtos išlaidos bus laikomos tinkamomis finansuoti iš EGF finansinės paramos nuo tos dienos iki tada, kai sueis 24 mėnesiai nuo finansavimo sprendimo įsigaliojimo dienos;</w:t>
      </w:r>
    </w:p>
    <w:p w14:paraId="4F64E7EF" w14:textId="77777777" w:rsidR="0025743F" w:rsidRPr="009850C2" w:rsidRDefault="0025743F" w:rsidP="0025743F">
      <w:pPr>
        <w:pStyle w:val="NormalHanging12a"/>
        <w:rPr>
          <w:noProof/>
        </w:rPr>
      </w:pPr>
      <w:r w:rsidRPr="009850C2">
        <w:t>13.</w:t>
      </w:r>
      <w:r w:rsidRPr="009850C2">
        <w:tab/>
        <w:t>pažymi, kad pirmąsias administracines išlaidas, susijusias su EGF paramos įgyvendinimu, Belgija patyrė 2025 m. vasario 17 d. ir todėl šios išlaidos bus laikomos tinkamomis finansuoti iš EGF finansinės paramos nuo tos dienos iki tada, kai sueis 31 mėnuo nuo finansavimo sprendimo įsigaliojimo dienos;</w:t>
      </w:r>
    </w:p>
    <w:p w14:paraId="6D22919D" w14:textId="77777777" w:rsidR="0025743F" w:rsidRPr="009850C2" w:rsidRDefault="0025743F" w:rsidP="0025743F">
      <w:pPr>
        <w:pStyle w:val="NormalHanging12a"/>
        <w:rPr>
          <w:noProof/>
        </w:rPr>
      </w:pPr>
      <w:r w:rsidRPr="009850C2">
        <w:t>14.</w:t>
      </w:r>
      <w:r w:rsidRPr="009850C2">
        <w:tab/>
        <w:t>atkreipia dėmesį į tai, kad Belgijos valdžios institucijos patvirtino, jog suteikiant galimybę naudotis siūlomais veiksmais ir juos įgyvendinant bus laikomasi vienodo požiūrio ir nediskriminavimo principų ir kad bus išvengta bet kokio dvigubo finansavimo;</w:t>
      </w:r>
    </w:p>
    <w:p w14:paraId="62393369" w14:textId="77777777" w:rsidR="0025743F" w:rsidRPr="009850C2" w:rsidRDefault="0025743F" w:rsidP="0025743F">
      <w:pPr>
        <w:pStyle w:val="NormalHanging12a"/>
        <w:rPr>
          <w:noProof/>
        </w:rPr>
      </w:pPr>
      <w:r w:rsidRPr="009850C2">
        <w:t>15.</w:t>
      </w:r>
      <w:r w:rsidRPr="009850C2">
        <w:tab/>
        <w:t>pakartoja, kad EGF parama neturi pakeisti veiksmų, už kuriuos bendrovės atsakingos pagal nacionalinę teisę ar kolektyvines sutartis;</w:t>
      </w:r>
    </w:p>
    <w:p w14:paraId="47763B41" w14:textId="77777777" w:rsidR="0025743F" w:rsidRPr="009850C2" w:rsidRDefault="0025743F" w:rsidP="0025743F">
      <w:pPr>
        <w:pStyle w:val="NormalHanging12a"/>
        <w:rPr>
          <w:noProof/>
        </w:rPr>
      </w:pPr>
      <w:r w:rsidRPr="009850C2">
        <w:t>16.</w:t>
      </w:r>
      <w:r w:rsidRPr="009850C2">
        <w:tab/>
        <w:t>pritaria prie šios rezoliucijos pridedamam sprendimui;</w:t>
      </w:r>
    </w:p>
    <w:p w14:paraId="1DCC0CF9" w14:textId="77777777" w:rsidR="0025743F" w:rsidRPr="009850C2" w:rsidRDefault="0025743F" w:rsidP="0025743F">
      <w:pPr>
        <w:pStyle w:val="NormalHanging12a"/>
        <w:rPr>
          <w:noProof/>
        </w:rPr>
      </w:pPr>
      <w:r w:rsidRPr="009850C2">
        <w:t>17.</w:t>
      </w:r>
      <w:r w:rsidRPr="009850C2">
        <w:tab/>
        <w:t xml:space="preserve">paveda Pirmininkei pasirašyti šį sprendimą su Tarybos pirmininku ir užtikrinti, kad jis būtų paskelbtas </w:t>
      </w:r>
      <w:r w:rsidRPr="009850C2">
        <w:rPr>
          <w:i/>
        </w:rPr>
        <w:t>Europos Sąjungos oficialiajame leidinyje</w:t>
      </w:r>
      <w:r w:rsidRPr="009850C2">
        <w:t>;</w:t>
      </w:r>
    </w:p>
    <w:p w14:paraId="381A7690" w14:textId="77777777" w:rsidR="0025743F" w:rsidRPr="009850C2" w:rsidRDefault="0025743F" w:rsidP="0025743F">
      <w:pPr>
        <w:pStyle w:val="NormalHanging12a"/>
        <w:rPr>
          <w:noProof/>
        </w:rPr>
      </w:pPr>
      <w:r w:rsidRPr="009850C2">
        <w:t>18.</w:t>
      </w:r>
      <w:r w:rsidRPr="009850C2">
        <w:tab/>
        <w:t>paveda Pirmininkei perduoti šią rezoliuciją ir jos priedą Tarybai ir Komisijai.</w:t>
      </w:r>
    </w:p>
    <w:p w14:paraId="30BF3D82" w14:textId="77777777" w:rsidR="0025743F" w:rsidRPr="009850C2" w:rsidRDefault="0025743F" w:rsidP="0025743F">
      <w:pPr>
        <w:rPr>
          <w:noProof/>
        </w:rPr>
      </w:pPr>
    </w:p>
    <w:p w14:paraId="33A77081" w14:textId="77777777" w:rsidR="0025743F" w:rsidRPr="009850C2" w:rsidRDefault="0025743F" w:rsidP="0025743F">
      <w:pPr>
        <w:pStyle w:val="PageHeading"/>
        <w:rPr>
          <w:noProof/>
        </w:rPr>
        <w:sectPr w:rsidR="0025743F" w:rsidRPr="009850C2" w:rsidSect="009850C2">
          <w:footerReference w:type="even" r:id="rId9"/>
          <w:footerReference w:type="default" r:id="rId10"/>
          <w:footerReference w:type="first" r:id="rId11"/>
          <w:endnotePr>
            <w:numFmt w:val="decimal"/>
          </w:endnotePr>
          <w:pgSz w:w="11906" w:h="16838" w:code="9"/>
          <w:pgMar w:top="1134" w:right="1418" w:bottom="1418" w:left="1418" w:header="1134" w:footer="567" w:gutter="0"/>
          <w:cols w:space="720"/>
          <w:noEndnote/>
          <w:docGrid w:linePitch="326"/>
        </w:sectPr>
      </w:pPr>
    </w:p>
    <w:p w14:paraId="45B023C1" w14:textId="77777777" w:rsidR="00E5276B" w:rsidRDefault="0025743F" w:rsidP="0025743F">
      <w:pPr>
        <w:pStyle w:val="PageHeading"/>
      </w:pPr>
      <w:bookmarkStart w:id="7" w:name="_Toc220331772"/>
      <w:bookmarkStart w:id="8" w:name="_Toc223512589"/>
      <w:r w:rsidRPr="009850C2">
        <w:lastRenderedPageBreak/>
        <w:t>PRIEDAS</w:t>
      </w:r>
    </w:p>
    <w:p w14:paraId="3993DB42" w14:textId="086E48F5" w:rsidR="0025743F" w:rsidRPr="009850C2" w:rsidRDefault="0025743F" w:rsidP="0025743F">
      <w:pPr>
        <w:pStyle w:val="PageHeading"/>
        <w:rPr>
          <w:noProof/>
        </w:rPr>
      </w:pPr>
      <w:r w:rsidRPr="009850C2">
        <w:t>EUROPOS PARLAMENTO IR TARYBOS SPRENDIMAS</w:t>
      </w:r>
      <w:bookmarkEnd w:id="7"/>
      <w:bookmarkEnd w:id="8"/>
    </w:p>
    <w:p w14:paraId="784F3702" w14:textId="77777777" w:rsidR="0025743F" w:rsidRPr="009850C2" w:rsidRDefault="0025743F" w:rsidP="0025743F">
      <w:pPr>
        <w:pStyle w:val="Institutionquiagit"/>
        <w:rPr>
          <w:b/>
          <w:bCs/>
        </w:rPr>
      </w:pPr>
      <w:r w:rsidRPr="009850C2">
        <w:rPr>
          <w:b/>
        </w:rPr>
        <w:t>dėl Europos prisitaikymo prie globalizacijos padarinių fondo atleistiems darbuotojams lėšų mobilizavimo pagal Belgijos paraišką „EGF/2025/004 BE/Tupperware“</w:t>
      </w:r>
    </w:p>
    <w:p w14:paraId="3E2D3F9C" w14:textId="0295DF05" w:rsidR="00535A40" w:rsidRPr="00535A40" w:rsidRDefault="00535A40" w:rsidP="00535A40">
      <w:pPr>
        <w:pStyle w:val="Institutionquiagit"/>
        <w:jc w:val="left"/>
        <w:rPr>
          <w:i/>
          <w:szCs w:val="24"/>
          <w:lang w:eastAsia="de-DE"/>
        </w:rPr>
      </w:pPr>
      <w:r w:rsidRPr="00535A40">
        <w:rPr>
          <w:i/>
          <w:szCs w:val="24"/>
          <w:lang w:eastAsia="de-DE"/>
        </w:rPr>
        <w:t xml:space="preserve">(Šio priedo tekstas čia nepateikiamas, nes jis atitinka galutinį aktą – Sprendimą </w:t>
      </w:r>
      <w:r w:rsidRPr="00E5276B">
        <w:rPr>
          <w:i/>
          <w:iCs/>
          <w:szCs w:val="24"/>
          <w:lang w:eastAsia="de-DE"/>
        </w:rPr>
        <w:t>(ES) 2026/723</w:t>
      </w:r>
      <w:r w:rsidRPr="00535A40">
        <w:rPr>
          <w:i/>
          <w:szCs w:val="24"/>
          <w:lang w:eastAsia="de-DE"/>
        </w:rPr>
        <w:t>.)</w:t>
      </w:r>
    </w:p>
    <w:p w14:paraId="0068590F" w14:textId="77777777" w:rsidR="00535A40" w:rsidRPr="00535A40" w:rsidRDefault="00535A40" w:rsidP="00535A40">
      <w:pPr>
        <w:rPr>
          <w:lang w:eastAsia="en-US"/>
        </w:rPr>
      </w:pPr>
    </w:p>
    <w:sectPr w:rsidR="00535A40" w:rsidRPr="00535A40" w:rsidSect="009850C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4CD1A" w14:textId="77777777" w:rsidR="00750429" w:rsidRPr="009850C2" w:rsidRDefault="00750429">
      <w:r w:rsidRPr="009850C2">
        <w:separator/>
      </w:r>
    </w:p>
  </w:endnote>
  <w:endnote w:type="continuationSeparator" w:id="0">
    <w:p w14:paraId="43190360" w14:textId="77777777" w:rsidR="00750429" w:rsidRPr="009850C2" w:rsidRDefault="00750429">
      <w:r w:rsidRPr="009850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74FD" w14:textId="77777777" w:rsidR="0025743F" w:rsidRPr="009850C2" w:rsidRDefault="0025743F" w:rsidP="008418F1">
    <w:pPr>
      <w:pStyle w:val="EPFooter"/>
    </w:pPr>
    <w:r w:rsidRPr="009850C2">
      <w:t>PE</w:t>
    </w:r>
    <w:r w:rsidRPr="009850C2">
      <w:rPr>
        <w:rStyle w:val="HideTWBExt"/>
      </w:rPr>
      <w:t>&lt;NoPE&gt;</w:t>
    </w:r>
    <w:r w:rsidRPr="009850C2">
      <w:t>782.416</w:t>
    </w:r>
    <w:r w:rsidRPr="009850C2">
      <w:rPr>
        <w:rStyle w:val="HideTWBExt"/>
      </w:rPr>
      <w:t>&lt;/NoPE&gt;&lt;Version&gt;</w:t>
    </w:r>
    <w:r w:rsidRPr="009850C2">
      <w:t>v02-00</w:t>
    </w:r>
    <w:r w:rsidRPr="009850C2">
      <w:rPr>
        <w:rStyle w:val="HideTWBExt"/>
      </w:rPr>
      <w:t>&lt;/Version&gt;</w:t>
    </w:r>
    <w:r w:rsidRPr="009850C2">
      <w:tab/>
    </w:r>
    <w:r w:rsidRPr="009850C2">
      <w:fldChar w:fldCharType="begin"/>
    </w:r>
    <w:r w:rsidRPr="009850C2">
      <w:instrText xml:space="preserve"> PAGE  \* MERGEFORMAT </w:instrText>
    </w:r>
    <w:r w:rsidRPr="009850C2">
      <w:fldChar w:fldCharType="separate"/>
    </w:r>
    <w:r w:rsidRPr="009850C2">
      <w:rPr>
        <w:noProof/>
      </w:rPr>
      <w:t>4</w:t>
    </w:r>
    <w:r w:rsidRPr="009850C2">
      <w:fldChar w:fldCharType="end"/>
    </w:r>
    <w:r w:rsidRPr="009850C2">
      <w:t>/</w:t>
    </w:r>
    <w:fldSimple w:instr=" NUMPAGES  \* MERGEFORMAT ">
      <w:r w:rsidRPr="009850C2">
        <w:rPr>
          <w:noProof/>
        </w:rPr>
        <w:t>5</w:t>
      </w:r>
    </w:fldSimple>
    <w:r w:rsidRPr="009850C2">
      <w:tab/>
    </w:r>
    <w:r w:rsidRPr="009850C2">
      <w:rPr>
        <w:rStyle w:val="HideTWBExt"/>
      </w:rPr>
      <w:t>&lt;PathFdR&gt;</w:t>
    </w:r>
    <w:r w:rsidRPr="009850C2">
      <w:t>RR\1338392LT.docx</w:t>
    </w:r>
    <w:r w:rsidRPr="009850C2">
      <w:rPr>
        <w:rStyle w:val="HideTWBExt"/>
      </w:rPr>
      <w:t>&lt;/PathFdR&gt;</w:t>
    </w:r>
  </w:p>
  <w:p w14:paraId="5E38CB33" w14:textId="77777777" w:rsidR="0025743F" w:rsidRPr="009850C2" w:rsidRDefault="0025743F" w:rsidP="008418F1">
    <w:pPr>
      <w:pStyle w:val="EPFooter2"/>
    </w:pPr>
    <w:r w:rsidRPr="009850C2">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46519" w14:textId="7B77437A" w:rsidR="0025743F" w:rsidRPr="0091113C" w:rsidRDefault="0025743F" w:rsidP="00C4311A">
    <w:pPr>
      <w:pStyle w:val="Personnequisig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DF454" w14:textId="77777777" w:rsidR="0025743F" w:rsidRPr="009850C2" w:rsidRDefault="0025743F" w:rsidP="008418F1">
    <w:pPr>
      <w:pStyle w:val="EPFooter"/>
    </w:pPr>
    <w:r w:rsidRPr="009850C2">
      <w:rPr>
        <w:rStyle w:val="HideTWBExt"/>
      </w:rPr>
      <w:t>&lt;PathFdR&gt;</w:t>
    </w:r>
    <w:r w:rsidRPr="009850C2">
      <w:t>RR\1338392LT.docx</w:t>
    </w:r>
    <w:r w:rsidRPr="009850C2">
      <w:rPr>
        <w:rStyle w:val="HideTWBExt"/>
      </w:rPr>
      <w:t>&lt;/PathFdR&gt;</w:t>
    </w:r>
    <w:r w:rsidRPr="009850C2">
      <w:tab/>
    </w:r>
    <w:r w:rsidRPr="009850C2">
      <w:tab/>
      <w:t>PE</w:t>
    </w:r>
    <w:r w:rsidRPr="009850C2">
      <w:rPr>
        <w:rStyle w:val="HideTWBExt"/>
      </w:rPr>
      <w:t>&lt;NoPE&gt;</w:t>
    </w:r>
    <w:r w:rsidRPr="009850C2">
      <w:t>782.416</w:t>
    </w:r>
    <w:r w:rsidRPr="009850C2">
      <w:rPr>
        <w:rStyle w:val="HideTWBExt"/>
      </w:rPr>
      <w:t>&lt;/NoPE&gt;&lt;Version&gt;</w:t>
    </w:r>
    <w:r w:rsidRPr="009850C2">
      <w:t>v02-00</w:t>
    </w:r>
    <w:r w:rsidRPr="009850C2">
      <w:rPr>
        <w:rStyle w:val="HideTWBExt"/>
      </w:rPr>
      <w:t>&lt;/Version&gt;</w:t>
    </w:r>
  </w:p>
  <w:p w14:paraId="3122ED18" w14:textId="77777777" w:rsidR="0025743F" w:rsidRPr="009850C2" w:rsidRDefault="0025743F" w:rsidP="008418F1">
    <w:pPr>
      <w:pStyle w:val="EPFooter2"/>
    </w:pPr>
    <w:r w:rsidRPr="009850C2">
      <w:t>LT</w:t>
    </w:r>
    <w:r w:rsidRPr="009850C2">
      <w:tab/>
    </w:r>
    <w:r w:rsidRPr="009850C2">
      <w:rPr>
        <w:b w:val="0"/>
        <w:i/>
        <w:color w:val="C0C0C0"/>
        <w:sz w:val="22"/>
      </w:rPr>
      <w:t>Suvienijusi įvairovę</w:t>
    </w:r>
    <w:r w:rsidRPr="009850C2">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B5D00" w14:textId="77777777" w:rsidR="00064002" w:rsidRPr="009850C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465A" w14:textId="77777777" w:rsidR="00064002" w:rsidRPr="009850C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A9E8E" w14:textId="77777777" w:rsidR="00064002" w:rsidRPr="009850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764E9" w14:textId="77777777" w:rsidR="00750429" w:rsidRPr="009850C2" w:rsidRDefault="00750429">
      <w:r w:rsidRPr="009850C2">
        <w:separator/>
      </w:r>
    </w:p>
  </w:footnote>
  <w:footnote w:type="continuationSeparator" w:id="0">
    <w:p w14:paraId="76A84D46" w14:textId="77777777" w:rsidR="00750429" w:rsidRPr="009850C2" w:rsidRDefault="00750429">
      <w:r w:rsidRPr="009850C2">
        <w:continuationSeparator/>
      </w:r>
    </w:p>
  </w:footnote>
  <w:footnote w:id="1">
    <w:p w14:paraId="7A6A0F91" w14:textId="155C9D04" w:rsidR="0025743F" w:rsidRPr="009850C2" w:rsidRDefault="0025743F" w:rsidP="009850C2">
      <w:pPr>
        <w:pStyle w:val="FootnoteText"/>
        <w:ind w:left="567" w:hanging="567"/>
        <w:rPr>
          <w:sz w:val="24"/>
          <w:lang w:val="lt-LT"/>
        </w:rPr>
      </w:pPr>
      <w:r w:rsidRPr="009850C2">
        <w:rPr>
          <w:rStyle w:val="FootnoteReference"/>
          <w:sz w:val="24"/>
          <w:lang w:val="lt-LT"/>
        </w:rPr>
        <w:footnoteRef/>
      </w:r>
      <w:r w:rsidR="009850C2" w:rsidRPr="009850C2">
        <w:rPr>
          <w:sz w:val="24"/>
          <w:lang w:val="lt-LT"/>
        </w:rPr>
        <w:t xml:space="preserve"> </w:t>
      </w:r>
      <w:r w:rsidR="009850C2" w:rsidRPr="009850C2">
        <w:rPr>
          <w:sz w:val="24"/>
          <w:lang w:val="lt-LT"/>
        </w:rPr>
        <w:tab/>
      </w:r>
      <w:r w:rsidRPr="009850C2">
        <w:rPr>
          <w:sz w:val="24"/>
          <w:lang w:val="lt-LT"/>
        </w:rPr>
        <w:t xml:space="preserve">OL L 153, 2021 5 3, p. 48, ELI: </w:t>
      </w:r>
      <w:hyperlink r:id="rId1" w:history="1">
        <w:r w:rsidRPr="009850C2">
          <w:rPr>
            <w:rStyle w:val="Hyperlink"/>
            <w:sz w:val="24"/>
            <w:lang w:val="lt-LT"/>
          </w:rPr>
          <w:t>http://data.europa.eu/eli/reg/2021/691/oj</w:t>
        </w:r>
      </w:hyperlink>
      <w:r w:rsidRPr="009850C2">
        <w:rPr>
          <w:sz w:val="24"/>
          <w:lang w:val="lt-LT"/>
        </w:rPr>
        <w:t>.</w:t>
      </w:r>
    </w:p>
  </w:footnote>
  <w:footnote w:id="2">
    <w:p w14:paraId="51E4288F" w14:textId="301B8693" w:rsidR="0025743F" w:rsidRPr="009850C2" w:rsidRDefault="0025743F" w:rsidP="009850C2">
      <w:pPr>
        <w:pStyle w:val="FootnoteText"/>
        <w:ind w:left="567" w:hanging="567"/>
        <w:rPr>
          <w:sz w:val="24"/>
          <w:lang w:val="lt-LT"/>
        </w:rPr>
      </w:pPr>
      <w:r w:rsidRPr="009850C2">
        <w:rPr>
          <w:rStyle w:val="FootnoteReference"/>
          <w:sz w:val="24"/>
          <w:lang w:val="lt-LT"/>
        </w:rPr>
        <w:footnoteRef/>
      </w:r>
      <w:r w:rsidR="009850C2" w:rsidRPr="009850C2">
        <w:rPr>
          <w:sz w:val="24"/>
          <w:lang w:val="lt-LT"/>
        </w:rPr>
        <w:t xml:space="preserve"> </w:t>
      </w:r>
      <w:r w:rsidR="009850C2" w:rsidRPr="009850C2">
        <w:rPr>
          <w:sz w:val="24"/>
          <w:lang w:val="lt-LT"/>
        </w:rPr>
        <w:tab/>
      </w:r>
      <w:r w:rsidRPr="009850C2">
        <w:rPr>
          <w:sz w:val="24"/>
          <w:lang w:val="lt-LT"/>
        </w:rPr>
        <w:t xml:space="preserve">OL L 433 I, 2020 12 22, p. 11, ELI: </w:t>
      </w:r>
      <w:r>
        <w:fldChar w:fldCharType="begin"/>
      </w:r>
      <w:r w:rsidRPr="00E5276B">
        <w:rPr>
          <w:lang w:val="fi-FI"/>
        </w:rPr>
        <w:instrText>HYPERLINK "http://data.europa.eu/eli/reg/2020/2093/oj"</w:instrText>
      </w:r>
      <w:r>
        <w:fldChar w:fldCharType="separate"/>
      </w:r>
      <w:r w:rsidRPr="009850C2">
        <w:rPr>
          <w:rStyle w:val="Hyperlink"/>
          <w:sz w:val="24"/>
          <w:lang w:val="lt-LT"/>
        </w:rPr>
        <w:t>http://data.europa.eu/eli/reg/2020/2093/oj</w:t>
      </w:r>
      <w:r>
        <w:fldChar w:fldCharType="end"/>
      </w:r>
      <w:r w:rsidRPr="009850C2">
        <w:rPr>
          <w:sz w:val="24"/>
          <w:lang w:val="lt-LT"/>
        </w:rPr>
        <w:t>.</w:t>
      </w:r>
    </w:p>
  </w:footnote>
  <w:footnote w:id="3">
    <w:p w14:paraId="38F4CB98" w14:textId="34B7FA73" w:rsidR="0025743F" w:rsidRPr="009850C2" w:rsidRDefault="0025743F" w:rsidP="009850C2">
      <w:pPr>
        <w:pStyle w:val="FootnoteText"/>
        <w:ind w:left="567" w:hanging="567"/>
        <w:rPr>
          <w:sz w:val="24"/>
          <w:lang w:val="lt-LT"/>
        </w:rPr>
      </w:pPr>
      <w:r w:rsidRPr="009850C2">
        <w:rPr>
          <w:rStyle w:val="FootnoteReference"/>
          <w:sz w:val="24"/>
          <w:lang w:val="lt-LT"/>
        </w:rPr>
        <w:footnoteRef/>
      </w:r>
      <w:r w:rsidR="009850C2" w:rsidRPr="009850C2">
        <w:rPr>
          <w:sz w:val="24"/>
          <w:shd w:val="clear" w:color="auto" w:fill="FFFFFF"/>
          <w:lang w:val="lt-LT"/>
        </w:rPr>
        <w:t xml:space="preserve"> </w:t>
      </w:r>
      <w:r w:rsidR="009850C2" w:rsidRPr="009850C2">
        <w:rPr>
          <w:sz w:val="24"/>
          <w:shd w:val="clear" w:color="auto" w:fill="FFFFFF"/>
          <w:lang w:val="lt-LT"/>
        </w:rPr>
        <w:tab/>
      </w:r>
      <w:r w:rsidRPr="009850C2">
        <w:rPr>
          <w:sz w:val="24"/>
          <w:shd w:val="clear" w:color="auto" w:fill="FFFFFF"/>
          <w:lang w:val="lt-LT"/>
        </w:rPr>
        <w:t>2024 m. vasario 29 d. Tarybos reglamentas (ES, Euratomas) 2024/765, kuriuo iš dalies keičiamas Reglamentas (ES, Euratomas) 2020/2093, kuriuo nustatoma 2021–2027 m. daugiametė finansinė programa (OL L, 2024/765, 2024 2 29, ELI:</w:t>
      </w:r>
      <w:r w:rsidRPr="009850C2">
        <w:rPr>
          <w:color w:val="333333"/>
          <w:sz w:val="24"/>
          <w:shd w:val="clear" w:color="auto" w:fill="FFFFFF"/>
          <w:lang w:val="lt-LT"/>
        </w:rPr>
        <w:t xml:space="preserve"> </w:t>
      </w:r>
      <w:r>
        <w:fldChar w:fldCharType="begin"/>
      </w:r>
      <w:r w:rsidRPr="00E5276B">
        <w:rPr>
          <w:lang w:val="lt-LT"/>
        </w:rPr>
        <w:instrText>HYPERLINK "http://data.europa.eu/eli/reg/2024/765/oj"</w:instrText>
      </w:r>
      <w:r>
        <w:fldChar w:fldCharType="separate"/>
      </w:r>
      <w:r w:rsidRPr="009850C2">
        <w:rPr>
          <w:rStyle w:val="Hyperlink"/>
          <w:sz w:val="24"/>
          <w:shd w:val="clear" w:color="auto" w:fill="FFFFFF"/>
          <w:lang w:val="lt-LT"/>
        </w:rPr>
        <w:t>http://data.europa.eu/eli/reg/2024/765/oj</w:t>
      </w:r>
      <w:r>
        <w:fldChar w:fldCharType="end"/>
      </w:r>
      <w:r w:rsidRPr="009850C2">
        <w:rPr>
          <w:i/>
          <w:color w:val="333333"/>
          <w:sz w:val="24"/>
          <w:shd w:val="clear" w:color="auto" w:fill="FFFFFF"/>
          <w:lang w:val="lt-LT"/>
        </w:rPr>
        <w:t>).</w:t>
      </w:r>
    </w:p>
  </w:footnote>
  <w:footnote w:id="4">
    <w:p w14:paraId="2233514D" w14:textId="2661362C" w:rsidR="0025743F" w:rsidRPr="009850C2" w:rsidRDefault="0025743F" w:rsidP="009850C2">
      <w:pPr>
        <w:pStyle w:val="FootnoteText"/>
        <w:ind w:left="567" w:hanging="567"/>
        <w:rPr>
          <w:sz w:val="24"/>
          <w:lang w:val="lt-LT"/>
        </w:rPr>
      </w:pPr>
      <w:r w:rsidRPr="009850C2">
        <w:rPr>
          <w:rStyle w:val="FootnoteReference"/>
          <w:sz w:val="24"/>
          <w:lang w:val="lt-LT"/>
        </w:rPr>
        <w:footnoteRef/>
      </w:r>
      <w:r w:rsidR="009850C2" w:rsidRPr="009850C2">
        <w:rPr>
          <w:sz w:val="24"/>
          <w:lang w:val="lt-LT"/>
        </w:rPr>
        <w:t xml:space="preserve"> </w:t>
      </w:r>
      <w:r w:rsidR="009850C2" w:rsidRPr="009850C2">
        <w:rPr>
          <w:sz w:val="24"/>
          <w:lang w:val="lt-LT"/>
        </w:rPr>
        <w:tab/>
      </w:r>
      <w:r w:rsidRPr="009850C2">
        <w:rPr>
          <w:sz w:val="24"/>
          <w:lang w:val="lt-LT"/>
        </w:rPr>
        <w:t xml:space="preserve">OL L 433 I, 2020 12 22, p. 28, ELI: </w:t>
      </w:r>
      <w:r>
        <w:fldChar w:fldCharType="begin"/>
      </w:r>
      <w:r w:rsidRPr="00E5276B">
        <w:rPr>
          <w:lang w:val="fi-FI"/>
        </w:rPr>
        <w:instrText>HYPERLINK "http://data.europa.eu/eli/agree_interinstit/2020/1222/oj"</w:instrText>
      </w:r>
      <w:r>
        <w:fldChar w:fldCharType="separate"/>
      </w:r>
      <w:r w:rsidRPr="009850C2">
        <w:rPr>
          <w:rStyle w:val="Hyperlink"/>
          <w:sz w:val="24"/>
          <w:lang w:val="lt-LT"/>
        </w:rPr>
        <w:t>http://data.europa.eu/eli/agree_interinstit/2020/1222/oj</w:t>
      </w:r>
      <w:r>
        <w:fldChar w:fldCharType="end"/>
      </w:r>
      <w:r w:rsidRPr="009850C2">
        <w:rPr>
          <w:sz w:val="24"/>
          <w:lang w:val="lt-LT"/>
        </w:rPr>
        <w:t>.</w:t>
      </w:r>
    </w:p>
  </w:footnote>
  <w:footnote w:id="5">
    <w:p w14:paraId="25C2AA9A" w14:textId="03035C8C" w:rsidR="0025743F" w:rsidRPr="009850C2" w:rsidRDefault="0025743F" w:rsidP="009850C2">
      <w:pPr>
        <w:pStyle w:val="FootnoteText"/>
        <w:ind w:left="567" w:hanging="567"/>
        <w:rPr>
          <w:sz w:val="24"/>
          <w:lang w:val="lt-LT"/>
        </w:rPr>
      </w:pPr>
      <w:r w:rsidRPr="009850C2">
        <w:rPr>
          <w:rStyle w:val="FootnoteReference"/>
          <w:sz w:val="24"/>
          <w:lang w:val="lt-LT"/>
        </w:rPr>
        <w:footnoteRef/>
      </w:r>
      <w:r w:rsidR="009850C2" w:rsidRPr="009850C2">
        <w:rPr>
          <w:sz w:val="24"/>
          <w:lang w:val="lt-LT"/>
        </w:rPr>
        <w:t xml:space="preserve"> </w:t>
      </w:r>
      <w:r w:rsidR="009850C2" w:rsidRPr="009850C2">
        <w:rPr>
          <w:sz w:val="24"/>
          <w:lang w:val="lt-LT"/>
        </w:rPr>
        <w:tab/>
      </w:r>
      <w:r w:rsidRPr="009850C2">
        <w:rPr>
          <w:sz w:val="24"/>
          <w:lang w:val="lt-LT"/>
        </w:rPr>
        <w:t>Pagal EGF reglamento 3 straipsnį.</w:t>
      </w:r>
    </w:p>
  </w:footnote>
  <w:footnote w:id="6">
    <w:p w14:paraId="38178F31" w14:textId="725D2B0D" w:rsidR="0025743F" w:rsidRPr="009850C2" w:rsidRDefault="0025743F" w:rsidP="009850C2">
      <w:pPr>
        <w:pStyle w:val="FootnoteText"/>
        <w:ind w:left="567" w:hanging="567"/>
        <w:rPr>
          <w:sz w:val="24"/>
          <w:lang w:val="lt-LT"/>
        </w:rPr>
      </w:pPr>
      <w:r w:rsidRPr="009850C2">
        <w:rPr>
          <w:rStyle w:val="FootnoteReference"/>
          <w:sz w:val="24"/>
          <w:lang w:val="lt-LT"/>
        </w:rPr>
        <w:footnoteRef/>
      </w:r>
      <w:r w:rsidR="009850C2" w:rsidRPr="009850C2">
        <w:rPr>
          <w:sz w:val="24"/>
          <w:lang w:val="lt-LT"/>
        </w:rPr>
        <w:t xml:space="preserve"> </w:t>
      </w:r>
      <w:r w:rsidR="009850C2" w:rsidRPr="009850C2">
        <w:rPr>
          <w:sz w:val="24"/>
          <w:lang w:val="lt-LT"/>
        </w:rPr>
        <w:tab/>
      </w:r>
      <w:r w:rsidRPr="009850C2">
        <w:rPr>
          <w:sz w:val="24"/>
          <w:lang w:val="lt-LT"/>
        </w:rPr>
        <w:t>DFP reglamento 8 straipsnis.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1EA1" w14:textId="77777777" w:rsidR="00064002" w:rsidRPr="009850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1E3A" w14:textId="77777777" w:rsidR="00064002" w:rsidRPr="009850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321C" w14:textId="77777777" w:rsidR="00064002" w:rsidRPr="009850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1577297">
    <w:abstractNumId w:val="9"/>
  </w:num>
  <w:num w:numId="2" w16cid:durableId="823281352">
    <w:abstractNumId w:val="9"/>
  </w:num>
  <w:num w:numId="3" w16cid:durableId="1597398014">
    <w:abstractNumId w:val="7"/>
  </w:num>
  <w:num w:numId="4" w16cid:durableId="1325860680">
    <w:abstractNumId w:val="7"/>
  </w:num>
  <w:num w:numId="5" w16cid:durableId="681318147">
    <w:abstractNumId w:val="6"/>
  </w:num>
  <w:num w:numId="6" w16cid:durableId="1152327517">
    <w:abstractNumId w:val="6"/>
  </w:num>
  <w:num w:numId="7" w16cid:durableId="1810590817">
    <w:abstractNumId w:val="5"/>
  </w:num>
  <w:num w:numId="8" w16cid:durableId="454326118">
    <w:abstractNumId w:val="5"/>
  </w:num>
  <w:num w:numId="9" w16cid:durableId="1653635729">
    <w:abstractNumId w:val="4"/>
  </w:num>
  <w:num w:numId="10" w16cid:durableId="117065606">
    <w:abstractNumId w:val="4"/>
  </w:num>
  <w:num w:numId="11" w16cid:durableId="1469666699">
    <w:abstractNumId w:val="8"/>
  </w:num>
  <w:num w:numId="12" w16cid:durableId="1307509573">
    <w:abstractNumId w:val="8"/>
  </w:num>
  <w:num w:numId="13" w16cid:durableId="1526670600">
    <w:abstractNumId w:val="3"/>
  </w:num>
  <w:num w:numId="14" w16cid:durableId="1209337638">
    <w:abstractNumId w:val="3"/>
  </w:num>
  <w:num w:numId="15" w16cid:durableId="1021474233">
    <w:abstractNumId w:val="2"/>
  </w:num>
  <w:num w:numId="16" w16cid:durableId="484855081">
    <w:abstractNumId w:val="2"/>
  </w:num>
  <w:num w:numId="17" w16cid:durableId="671881381">
    <w:abstractNumId w:val="1"/>
  </w:num>
  <w:num w:numId="18" w16cid:durableId="2000497045">
    <w:abstractNumId w:val="1"/>
  </w:num>
  <w:num w:numId="19" w16cid:durableId="819007068">
    <w:abstractNumId w:val="0"/>
  </w:num>
  <w:num w:numId="20" w16cid:durableId="1780830863">
    <w:abstractNumId w:val="0"/>
  </w:num>
  <w:num w:numId="21" w16cid:durableId="599145130">
    <w:abstractNumId w:val="9"/>
  </w:num>
  <w:num w:numId="22" w16cid:durableId="742489719">
    <w:abstractNumId w:val="7"/>
  </w:num>
  <w:num w:numId="23" w16cid:durableId="937642052">
    <w:abstractNumId w:val="6"/>
  </w:num>
  <w:num w:numId="24" w16cid:durableId="773283819">
    <w:abstractNumId w:val="5"/>
  </w:num>
  <w:num w:numId="25" w16cid:durableId="1433361700">
    <w:abstractNumId w:val="4"/>
  </w:num>
  <w:num w:numId="26" w16cid:durableId="1379622637">
    <w:abstractNumId w:val="8"/>
  </w:num>
  <w:num w:numId="27" w16cid:durableId="1935046879">
    <w:abstractNumId w:val="3"/>
  </w:num>
  <w:num w:numId="28" w16cid:durableId="968323497">
    <w:abstractNumId w:val="2"/>
  </w:num>
  <w:num w:numId="29" w16cid:durableId="123696588">
    <w:abstractNumId w:val="1"/>
  </w:num>
  <w:num w:numId="30" w16cid:durableId="62915404">
    <w:abstractNumId w:val="0"/>
  </w:num>
  <w:num w:numId="31" w16cid:durableId="1330979789">
    <w:abstractNumId w:val="9"/>
  </w:num>
  <w:num w:numId="32" w16cid:durableId="347488845">
    <w:abstractNumId w:val="7"/>
  </w:num>
  <w:num w:numId="33" w16cid:durableId="1730617569">
    <w:abstractNumId w:val="6"/>
  </w:num>
  <w:num w:numId="34" w16cid:durableId="92170507">
    <w:abstractNumId w:val="5"/>
  </w:num>
  <w:num w:numId="35" w16cid:durableId="1637562348">
    <w:abstractNumId w:val="4"/>
  </w:num>
  <w:num w:numId="36" w16cid:durableId="1339120784">
    <w:abstractNumId w:val="8"/>
  </w:num>
  <w:num w:numId="37" w16cid:durableId="147091987">
    <w:abstractNumId w:val="3"/>
  </w:num>
  <w:num w:numId="38" w16cid:durableId="1986812864">
    <w:abstractNumId w:val="2"/>
  </w:num>
  <w:num w:numId="39" w16cid:durableId="1206403161">
    <w:abstractNumId w:val="1"/>
  </w:num>
  <w:num w:numId="40" w16cid:durableId="517305793">
    <w:abstractNumId w:val="0"/>
  </w:num>
  <w:num w:numId="41" w16cid:durableId="586379234">
    <w:abstractNumId w:val="10"/>
  </w:num>
  <w:num w:numId="42" w16cid:durableId="1656882093">
    <w:abstractNumId w:val="10"/>
  </w:num>
  <w:num w:numId="43" w16cid:durableId="1504204865">
    <w:abstractNumId w:val="10"/>
  </w:num>
  <w:num w:numId="44" w16cid:durableId="3971680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LT"/>
    <w:docVar w:name="dvnumam" w:val="0"/>
    <w:docVar w:name="dvpe" w:val="782.416"/>
    <w:docVar w:name="dvrapporteur" w:val="Pranešėjas: "/>
    <w:docVar w:name="dvtitre" w:val="2026 m. ... ... d. Europos Parlamento rezoliucija dėl pasiūlymo dėl Europos Parlamento ir Tarybos sprendimo dėl Europos prisitaikymo prie globalizacijos padarinių fondo atleistiems darbuotojams lėšų mobilizavimo pagal Belgijos paraišką „EGF/2025/004 BE/Tupperware“(COM(2026)0001 – C10-0012/2026 – 2026/0004(BUD))"/>
  </w:docVars>
  <w:rsids>
    <w:rsidRoot w:val="00750429"/>
    <w:rsid w:val="00002272"/>
    <w:rsid w:val="00006695"/>
    <w:rsid w:val="00064002"/>
    <w:rsid w:val="000677B9"/>
    <w:rsid w:val="000831BA"/>
    <w:rsid w:val="000A42CC"/>
    <w:rsid w:val="000E7DD9"/>
    <w:rsid w:val="0010095E"/>
    <w:rsid w:val="00125B37"/>
    <w:rsid w:val="00187494"/>
    <w:rsid w:val="001F32AE"/>
    <w:rsid w:val="0025743F"/>
    <w:rsid w:val="002767FF"/>
    <w:rsid w:val="002B18FE"/>
    <w:rsid w:val="002B5493"/>
    <w:rsid w:val="002F678B"/>
    <w:rsid w:val="00343214"/>
    <w:rsid w:val="00361C00"/>
    <w:rsid w:val="0036205C"/>
    <w:rsid w:val="00395FA1"/>
    <w:rsid w:val="003E15D4"/>
    <w:rsid w:val="00411CCE"/>
    <w:rsid w:val="0041666E"/>
    <w:rsid w:val="00421060"/>
    <w:rsid w:val="00471C19"/>
    <w:rsid w:val="004867E3"/>
    <w:rsid w:val="00494A28"/>
    <w:rsid w:val="004C0004"/>
    <w:rsid w:val="004C5D52"/>
    <w:rsid w:val="0050519A"/>
    <w:rsid w:val="005072A1"/>
    <w:rsid w:val="00514517"/>
    <w:rsid w:val="00535A40"/>
    <w:rsid w:val="00545827"/>
    <w:rsid w:val="00560270"/>
    <w:rsid w:val="005C2568"/>
    <w:rsid w:val="005F1B17"/>
    <w:rsid w:val="006037C0"/>
    <w:rsid w:val="00607E6C"/>
    <w:rsid w:val="006631B6"/>
    <w:rsid w:val="00680577"/>
    <w:rsid w:val="006F49B8"/>
    <w:rsid w:val="006F74FA"/>
    <w:rsid w:val="00731ADD"/>
    <w:rsid w:val="00734777"/>
    <w:rsid w:val="00747932"/>
    <w:rsid w:val="00750429"/>
    <w:rsid w:val="00751A4A"/>
    <w:rsid w:val="00756632"/>
    <w:rsid w:val="00762C74"/>
    <w:rsid w:val="00786EC0"/>
    <w:rsid w:val="00795349"/>
    <w:rsid w:val="007D1690"/>
    <w:rsid w:val="007E22AD"/>
    <w:rsid w:val="008169C3"/>
    <w:rsid w:val="00817416"/>
    <w:rsid w:val="00842779"/>
    <w:rsid w:val="0085270B"/>
    <w:rsid w:val="00865F67"/>
    <w:rsid w:val="00881A7B"/>
    <w:rsid w:val="008840E5"/>
    <w:rsid w:val="00887B3E"/>
    <w:rsid w:val="008C2AC6"/>
    <w:rsid w:val="0091113C"/>
    <w:rsid w:val="00930C23"/>
    <w:rsid w:val="0093193B"/>
    <w:rsid w:val="009509D8"/>
    <w:rsid w:val="00950B64"/>
    <w:rsid w:val="00981893"/>
    <w:rsid w:val="009850C2"/>
    <w:rsid w:val="00A1687D"/>
    <w:rsid w:val="00A43E52"/>
    <w:rsid w:val="00A4678D"/>
    <w:rsid w:val="00A661E2"/>
    <w:rsid w:val="00A778C7"/>
    <w:rsid w:val="00AB441E"/>
    <w:rsid w:val="00AB6293"/>
    <w:rsid w:val="00AE0928"/>
    <w:rsid w:val="00AF3B82"/>
    <w:rsid w:val="00B12E95"/>
    <w:rsid w:val="00B22876"/>
    <w:rsid w:val="00B558F0"/>
    <w:rsid w:val="00BD48FE"/>
    <w:rsid w:val="00BD7BD8"/>
    <w:rsid w:val="00BE6ADC"/>
    <w:rsid w:val="00C05BFE"/>
    <w:rsid w:val="00C22417"/>
    <w:rsid w:val="00C23CD4"/>
    <w:rsid w:val="00C4311A"/>
    <w:rsid w:val="00C61C0C"/>
    <w:rsid w:val="00C73920"/>
    <w:rsid w:val="00C941CB"/>
    <w:rsid w:val="00CC2357"/>
    <w:rsid w:val="00CF071A"/>
    <w:rsid w:val="00D058B8"/>
    <w:rsid w:val="00D56C11"/>
    <w:rsid w:val="00D834A0"/>
    <w:rsid w:val="00D872DF"/>
    <w:rsid w:val="00D91E21"/>
    <w:rsid w:val="00DA7FCD"/>
    <w:rsid w:val="00E365E1"/>
    <w:rsid w:val="00E5276B"/>
    <w:rsid w:val="00E820A4"/>
    <w:rsid w:val="00EB006A"/>
    <w:rsid w:val="00EB4772"/>
    <w:rsid w:val="00ED169E"/>
    <w:rsid w:val="00ED4235"/>
    <w:rsid w:val="00F04346"/>
    <w:rsid w:val="00F075DC"/>
    <w:rsid w:val="00F11DD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452FF"/>
  <w15:chartTrackingRefBased/>
  <w15:docId w15:val="{CBEC233A-80B8-420B-80FD-87E745C1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5743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5743F"/>
    <w:pPr>
      <w:keepNext/>
      <w:spacing w:after="480"/>
      <w:jc w:val="center"/>
    </w:pPr>
    <w:rPr>
      <w:rFonts w:ascii="Arial" w:hAnsi="Arial" w:cs="Arial"/>
      <w:b/>
    </w:rPr>
  </w:style>
  <w:style w:type="paragraph" w:customStyle="1" w:styleId="NormalHanging12a">
    <w:name w:val="NormalHanging12a"/>
    <w:basedOn w:val="Normal"/>
    <w:link w:val="NormalHanging12aChar"/>
    <w:rsid w:val="0025743F"/>
    <w:pPr>
      <w:spacing w:after="240"/>
      <w:ind w:left="567" w:hanging="567"/>
    </w:pPr>
  </w:style>
  <w:style w:type="paragraph" w:styleId="Header">
    <w:name w:val="header"/>
    <w:basedOn w:val="Normal"/>
    <w:link w:val="HeaderChar"/>
    <w:rsid w:val="0025743F"/>
    <w:pPr>
      <w:tabs>
        <w:tab w:val="center" w:pos="4513"/>
        <w:tab w:val="right" w:pos="9026"/>
      </w:tabs>
    </w:pPr>
  </w:style>
  <w:style w:type="character" w:customStyle="1" w:styleId="HeaderChar">
    <w:name w:val="Header Char"/>
    <w:basedOn w:val="DefaultParagraphFont"/>
    <w:link w:val="Header"/>
    <w:rsid w:val="0025743F"/>
    <w:rPr>
      <w:sz w:val="24"/>
      <w:lang w:val="lt-LT"/>
    </w:rPr>
  </w:style>
  <w:style w:type="paragraph" w:customStyle="1" w:styleId="EPFooter">
    <w:name w:val="EPFooter"/>
    <w:basedOn w:val="Normal"/>
    <w:rsid w:val="0025743F"/>
    <w:pPr>
      <w:tabs>
        <w:tab w:val="center" w:pos="4535"/>
        <w:tab w:val="right" w:pos="9071"/>
      </w:tabs>
      <w:spacing w:before="240" w:after="240"/>
    </w:pPr>
    <w:rPr>
      <w:color w:val="010000"/>
      <w:sz w:val="22"/>
    </w:rPr>
  </w:style>
  <w:style w:type="paragraph" w:customStyle="1" w:styleId="EPComma">
    <w:name w:val="EPComma"/>
    <w:basedOn w:val="Normal"/>
    <w:rsid w:val="0025743F"/>
    <w:pPr>
      <w:spacing w:before="480" w:after="240"/>
    </w:pPr>
  </w:style>
  <w:style w:type="character" w:styleId="Hyperlink">
    <w:name w:val="Hyperlink"/>
    <w:basedOn w:val="DefaultParagraphFont"/>
    <w:uiPriority w:val="99"/>
    <w:rsid w:val="0025743F"/>
    <w:rPr>
      <w:color w:val="0563C1" w:themeColor="hyperlink"/>
      <w:u w:val="single"/>
    </w:rPr>
  </w:style>
  <w:style w:type="paragraph" w:customStyle="1" w:styleId="Institutionquiagit">
    <w:name w:val="Institution qui agit"/>
    <w:basedOn w:val="Normal"/>
    <w:next w:val="Normal"/>
    <w:rsid w:val="0025743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5743F"/>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25743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5743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5743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5743F"/>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25743F"/>
    <w:rPr>
      <w:rFonts w:ascii="Arial" w:hAnsi="Arial" w:cs="Arial"/>
      <w:b/>
      <w:sz w:val="24"/>
      <w:lang w:val="lt-LT"/>
    </w:rPr>
  </w:style>
  <w:style w:type="character" w:customStyle="1" w:styleId="NormalHanging12aChar">
    <w:name w:val="NormalHanging12a Char"/>
    <w:basedOn w:val="DefaultParagraphFont"/>
    <w:link w:val="NormalHanging12a"/>
    <w:locked/>
    <w:rsid w:val="0025743F"/>
    <w:rPr>
      <w:sz w:val="24"/>
      <w:lang w:val="lt-LT"/>
    </w:rPr>
  </w:style>
  <w:style w:type="paragraph" w:customStyle="1" w:styleId="Personnequisigne">
    <w:name w:val="Personne qui signe"/>
    <w:basedOn w:val="Normal"/>
    <w:next w:val="Institutionquisigne"/>
    <w:rsid w:val="0025743F"/>
    <w:pPr>
      <w:widowControl/>
      <w:tabs>
        <w:tab w:val="left" w:pos="4252"/>
      </w:tabs>
    </w:pPr>
    <w:rPr>
      <w:rFonts w:eastAsiaTheme="minorHAnsi"/>
      <w:i/>
      <w:szCs w:val="22"/>
      <w:lang w:eastAsia="en-US"/>
    </w:rPr>
  </w:style>
  <w:style w:type="paragraph" w:styleId="Revision">
    <w:name w:val="Revision"/>
    <w:hidden/>
    <w:uiPriority w:val="99"/>
    <w:semiHidden/>
    <w:rsid w:val="0091113C"/>
    <w:rPr>
      <w:sz w:val="24"/>
      <w:lang w:val="lt-LT"/>
    </w:rPr>
  </w:style>
  <w:style w:type="paragraph" w:styleId="Footer">
    <w:name w:val="footer"/>
    <w:basedOn w:val="Normal"/>
    <w:link w:val="FooterChar"/>
    <w:rsid w:val="0091113C"/>
    <w:pPr>
      <w:tabs>
        <w:tab w:val="center" w:pos="4513"/>
        <w:tab w:val="right" w:pos="9026"/>
      </w:tabs>
    </w:pPr>
  </w:style>
  <w:style w:type="character" w:customStyle="1" w:styleId="FooterChar">
    <w:name w:val="Footer Char"/>
    <w:basedOn w:val="DefaultParagraphFont"/>
    <w:link w:val="Footer"/>
    <w:rsid w:val="0091113C"/>
    <w:rPr>
      <w:sz w:val="24"/>
      <w:lang w:val="lt-LT"/>
    </w:rPr>
  </w:style>
  <w:style w:type="character" w:styleId="UnresolvedMention">
    <w:name w:val="Unresolved Mention"/>
    <w:basedOn w:val="DefaultParagraphFont"/>
    <w:uiPriority w:val="99"/>
    <w:semiHidden/>
    <w:unhideWhenUsed/>
    <w:rsid w:val="00911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1328</Words>
  <Characters>9120</Characters>
  <Application>Microsoft Office Word</Application>
  <DocSecurity>4</DocSecurity>
  <Lines>76</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ILLY_D</cp:lastModifiedBy>
  <cp:revision>2</cp:revision>
  <cp:lastPrinted>2004-11-19T15:42:00Z</cp:lastPrinted>
  <dcterms:created xsi:type="dcterms:W3CDTF">2026-06-08T16:57:00Z</dcterms:created>
  <dcterms:modified xsi:type="dcterms:W3CDTF">2026-06-08T16:57:00Z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P10_TA(2026)0073_</vt:lpwstr>
  </property>
  <property fmtid="{D5CDD505-2E9C-101B-9397-08002B2CF9AE}" pid="4" name="&lt;Type&gt;">
    <vt:lpwstr>RR</vt:lpwstr>
  </property>
</Properties>
</file>