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37DA" w14:paraId="36BCF0DB" w14:textId="77777777" w:rsidTr="0010095E">
        <w:trPr>
          <w:trHeight w:hRule="exact" w:val="1418"/>
        </w:trPr>
        <w:tc>
          <w:tcPr>
            <w:tcW w:w="6804" w:type="dxa"/>
            <w:shd w:val="clear" w:color="auto" w:fill="auto"/>
            <w:vAlign w:val="center"/>
          </w:tcPr>
          <w:p w14:paraId="5DE2A7AD" w14:textId="6AB4BD9C" w:rsidR="00751A4A" w:rsidRPr="00D437DA" w:rsidRDefault="00752EE6" w:rsidP="0010095E">
            <w:pPr>
              <w:pStyle w:val="EPName"/>
            </w:pPr>
            <w:r w:rsidRPr="00D437DA">
              <w:t>Eiropas Parlaments</w:t>
            </w:r>
          </w:p>
          <w:p w14:paraId="5B4789D0" w14:textId="77777777" w:rsidR="00751A4A" w:rsidRPr="00D437DA" w:rsidRDefault="005F1B17" w:rsidP="005F1B17">
            <w:pPr>
              <w:pStyle w:val="EPTerm"/>
              <w:rPr>
                <w:rStyle w:val="HideTWBExt"/>
                <w:noProof w:val="0"/>
                <w:vanish w:val="0"/>
                <w:color w:val="auto"/>
              </w:rPr>
            </w:pPr>
            <w:r w:rsidRPr="00D437DA">
              <w:t>2024</w:t>
            </w:r>
            <w:r w:rsidR="00817416" w:rsidRPr="00D437DA">
              <w:t>-202</w:t>
            </w:r>
            <w:r w:rsidRPr="00D437DA">
              <w:t>9</w:t>
            </w:r>
          </w:p>
        </w:tc>
        <w:tc>
          <w:tcPr>
            <w:tcW w:w="2268" w:type="dxa"/>
            <w:shd w:val="clear" w:color="auto" w:fill="auto"/>
          </w:tcPr>
          <w:p w14:paraId="627ED4F7" w14:textId="77777777" w:rsidR="00751A4A" w:rsidRPr="00D437DA" w:rsidRDefault="00187494" w:rsidP="0010095E">
            <w:pPr>
              <w:pStyle w:val="EPLogo"/>
            </w:pPr>
            <w:r w:rsidRPr="00D437DA">
              <w:rPr>
                <w:noProof/>
                <w:lang w:eastAsia="ja-JP"/>
              </w:rPr>
              <w:drawing>
                <wp:inline distT="0" distB="0" distL="0" distR="0" wp14:anchorId="377E631A" wp14:editId="06ACA0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70D555" w14:textId="77777777" w:rsidR="00D058B8" w:rsidRPr="00D437DA" w:rsidRDefault="00D058B8" w:rsidP="004C5D52">
      <w:pPr>
        <w:pStyle w:val="LineTop"/>
      </w:pPr>
    </w:p>
    <w:p w14:paraId="48B4D434" w14:textId="17A96CF7" w:rsidR="00680577" w:rsidRPr="00D437DA" w:rsidRDefault="00752EE6" w:rsidP="00680577">
      <w:pPr>
        <w:pStyle w:val="EPBodyTA1"/>
      </w:pPr>
      <w:r w:rsidRPr="00D437DA">
        <w:t>PIEŅEMTIE TEKSTI</w:t>
      </w:r>
    </w:p>
    <w:p w14:paraId="5C3D9CD1" w14:textId="77777777" w:rsidR="00D058B8" w:rsidRPr="00D437DA" w:rsidRDefault="00D058B8" w:rsidP="00D058B8">
      <w:pPr>
        <w:pStyle w:val="LineBottom"/>
      </w:pPr>
    </w:p>
    <w:p w14:paraId="44DBC968" w14:textId="1920C032" w:rsidR="00752EE6" w:rsidRPr="00D437DA" w:rsidRDefault="00752EE6" w:rsidP="00752EE6">
      <w:pPr>
        <w:pStyle w:val="ATHeading1"/>
      </w:pPr>
      <w:bookmarkStart w:id="0" w:name="TANumber"/>
      <w:r w:rsidRPr="00D437DA">
        <w:t>P10_TA(2026)00</w:t>
      </w:r>
      <w:r w:rsidR="00D437DA" w:rsidRPr="00D437DA">
        <w:t>73</w:t>
      </w:r>
      <w:bookmarkEnd w:id="0"/>
    </w:p>
    <w:p w14:paraId="7D45BADF" w14:textId="3BDCFDBC" w:rsidR="00752EE6" w:rsidRPr="00D437DA" w:rsidRDefault="008A64C7" w:rsidP="008A64C7">
      <w:pPr>
        <w:pStyle w:val="ATHeading2"/>
      </w:pPr>
      <w:bookmarkStart w:id="1" w:name="title"/>
      <w:r w:rsidRPr="00D437DA">
        <w:rPr>
          <w:bCs/>
        </w:rPr>
        <w:t>Eiropas Globalizācijas pielāgošanās fonda darbu zaudējušiem darba ņēmējiem izmantošana: Beļģijas pieteikums EGF/2025/004 BE/</w:t>
      </w:r>
      <w:proofErr w:type="spellStart"/>
      <w:r w:rsidRPr="00D437DA">
        <w:rPr>
          <w:bCs/>
          <w:i/>
          <w:iCs/>
        </w:rPr>
        <w:t>Tupperware</w:t>
      </w:r>
      <w:bookmarkEnd w:id="1"/>
      <w:proofErr w:type="spellEnd"/>
    </w:p>
    <w:p w14:paraId="5B4DE298" w14:textId="77777777" w:rsidR="00752EE6" w:rsidRPr="00D437DA" w:rsidRDefault="00752EE6" w:rsidP="00752EE6">
      <w:pPr>
        <w:rPr>
          <w:i/>
          <w:vanish/>
        </w:rPr>
      </w:pPr>
      <w:r w:rsidRPr="00D437DA">
        <w:rPr>
          <w:i/>
        </w:rPr>
        <w:fldChar w:fldCharType="begin"/>
      </w:r>
      <w:r w:rsidRPr="00D437DA">
        <w:rPr>
          <w:i/>
        </w:rPr>
        <w:instrText xml:space="preserve"> TC"(</w:instrText>
      </w:r>
      <w:bookmarkStart w:id="2" w:name="DocNumber"/>
      <w:r w:rsidRPr="00D437DA">
        <w:rPr>
          <w:i/>
        </w:rPr>
        <w:instrText>A10-0030/2026</w:instrText>
      </w:r>
      <w:bookmarkEnd w:id="2"/>
      <w:r w:rsidRPr="00D437DA">
        <w:rPr>
          <w:i/>
        </w:rPr>
        <w:instrText xml:space="preserve"> - Referents: </w:instrText>
      </w:r>
      <w:proofErr w:type="spellStart"/>
      <w:r w:rsidRPr="00D437DA">
        <w:rPr>
          <w:i/>
        </w:rPr>
        <w:instrText>Jean-Marc</w:instrText>
      </w:r>
      <w:proofErr w:type="spellEnd"/>
      <w:r w:rsidRPr="00D437DA">
        <w:rPr>
          <w:i/>
        </w:rPr>
        <w:instrText xml:space="preserve"> </w:instrText>
      </w:r>
      <w:proofErr w:type="spellStart"/>
      <w:r w:rsidRPr="00D437DA">
        <w:rPr>
          <w:i/>
        </w:rPr>
        <w:instrText>Germain</w:instrText>
      </w:r>
      <w:proofErr w:type="spellEnd"/>
      <w:r w:rsidRPr="00D437DA">
        <w:rPr>
          <w:i/>
        </w:rPr>
        <w:instrText xml:space="preserve">)"\l3 \n&gt; \* MERGEFORMAT </w:instrText>
      </w:r>
      <w:r w:rsidRPr="00D437DA">
        <w:rPr>
          <w:i/>
        </w:rPr>
        <w:fldChar w:fldCharType="end"/>
      </w:r>
    </w:p>
    <w:p w14:paraId="2F7637AB" w14:textId="77777777" w:rsidR="00752EE6" w:rsidRPr="00D437DA" w:rsidRDefault="00752EE6" w:rsidP="00752EE6">
      <w:pPr>
        <w:rPr>
          <w:vanish/>
        </w:rPr>
      </w:pPr>
      <w:bookmarkStart w:id="3" w:name="Commission"/>
      <w:r w:rsidRPr="00D437DA">
        <w:rPr>
          <w:vanish/>
        </w:rPr>
        <w:t>Budžeta komiteja</w:t>
      </w:r>
      <w:bookmarkEnd w:id="3"/>
    </w:p>
    <w:p w14:paraId="16A4800D" w14:textId="77777777" w:rsidR="00752EE6" w:rsidRPr="00D437DA" w:rsidRDefault="00752EE6" w:rsidP="00752EE6">
      <w:pPr>
        <w:rPr>
          <w:vanish/>
        </w:rPr>
      </w:pPr>
      <w:bookmarkStart w:id="4" w:name="PE"/>
      <w:r w:rsidRPr="00D437DA">
        <w:rPr>
          <w:vanish/>
        </w:rPr>
        <w:t>PE782.416</w:t>
      </w:r>
      <w:bookmarkEnd w:id="4"/>
    </w:p>
    <w:p w14:paraId="2B212587" w14:textId="5CDBF1D0" w:rsidR="00752EE6" w:rsidRPr="00D437DA" w:rsidRDefault="00752EE6" w:rsidP="00752EE6">
      <w:pPr>
        <w:pStyle w:val="ATHeading3"/>
      </w:pPr>
      <w:bookmarkStart w:id="5" w:name="Sujet"/>
      <w:r w:rsidRPr="00D437DA">
        <w:t xml:space="preserve">Eiropas Parlamenta 2026. gada </w:t>
      </w:r>
      <w:r w:rsidR="008A64C7" w:rsidRPr="00D437DA">
        <w:t>11. marta</w:t>
      </w:r>
      <w:r w:rsidRPr="00D437DA">
        <w:t xml:space="preserve"> rezolūcija par priekšlikumu Eiropas Parlamenta un Padomes lēmumam par Eiropas Globalizācijas pielāgošanās fonda darbu zaudējušiem darba ņēmējiem izmantošanu saistībā ar Beļģijas iesniegto pieteikumu (EGF/2025/004 BE/Tupperware) </w:t>
      </w:r>
      <w:bookmarkStart w:id="6" w:name="References"/>
      <w:bookmarkEnd w:id="5"/>
      <w:r w:rsidRPr="00D437DA">
        <w:t>(COM(2026)0001 – C10-0012/2026 – 2026/0004(BUD))</w:t>
      </w:r>
      <w:bookmarkEnd w:id="6"/>
    </w:p>
    <w:p w14:paraId="1276F6E3" w14:textId="77777777" w:rsidR="00AA6140" w:rsidRPr="00D437DA" w:rsidRDefault="00AA6140" w:rsidP="00AA6140">
      <w:pPr>
        <w:pStyle w:val="EPComma"/>
        <w:rPr>
          <w:noProof/>
        </w:rPr>
      </w:pPr>
      <w:r w:rsidRPr="00D437DA">
        <w:rPr>
          <w:i/>
        </w:rPr>
        <w:t>Eiropas Parlaments</w:t>
      </w:r>
      <w:r w:rsidRPr="00D437DA">
        <w:t>,</w:t>
      </w:r>
    </w:p>
    <w:p w14:paraId="78EA3003" w14:textId="77777777" w:rsidR="00AA6140" w:rsidRPr="00D437DA" w:rsidRDefault="00AA6140" w:rsidP="00AA6140">
      <w:pPr>
        <w:pStyle w:val="NormalHanging12a"/>
        <w:rPr>
          <w:noProof/>
        </w:rPr>
      </w:pPr>
      <w:r w:rsidRPr="00D437DA">
        <w:t>–</w:t>
      </w:r>
      <w:r w:rsidRPr="00D437DA">
        <w:tab/>
        <w:t>ņemot vērā Komisijas priekšlikumu Eiropas Parlamentam un Padomei ((COM(2026)0001 – C10</w:t>
      </w:r>
      <w:r w:rsidRPr="00D437DA">
        <w:noBreakHyphen/>
        <w:t>0012/2026),</w:t>
      </w:r>
    </w:p>
    <w:p w14:paraId="4B40E338" w14:textId="77777777" w:rsidR="00AA6140" w:rsidRPr="00D437DA" w:rsidRDefault="00AA6140" w:rsidP="00AA6140">
      <w:pPr>
        <w:pStyle w:val="NormalHanging12a"/>
      </w:pPr>
      <w:r w:rsidRPr="00D437DA">
        <w:t>–</w:t>
      </w:r>
      <w:r w:rsidRPr="00D437DA">
        <w:tab/>
        <w:t>ņemot vērā Eiropas Parlamenta un Padomes 2021. gada 28. aprīļa Regulu (ES) 2021/691 par Eiropas Globalizācijas pielāgošanās fondu darbu zaudējušiem darba ņēmējiem (EGF) un ar ko atceļ Regulu (ES) Nr. 1309/2013</w:t>
      </w:r>
      <w:r w:rsidRPr="00D437DA">
        <w:rPr>
          <w:vertAlign w:val="superscript"/>
        </w:rPr>
        <w:footnoteReference w:id="1"/>
      </w:r>
      <w:r w:rsidRPr="00D437DA">
        <w:t xml:space="preserve"> (“EGF regula”), </w:t>
      </w:r>
    </w:p>
    <w:p w14:paraId="1359A633" w14:textId="77777777" w:rsidR="00AA6140" w:rsidRPr="00D437DA" w:rsidRDefault="00AA6140" w:rsidP="00AA6140">
      <w:pPr>
        <w:pStyle w:val="NormalHanging12a"/>
        <w:rPr>
          <w:noProof/>
        </w:rPr>
      </w:pPr>
      <w:r w:rsidRPr="00D437DA">
        <w:t>–</w:t>
      </w:r>
      <w:r w:rsidRPr="00D437DA">
        <w:tab/>
        <w:t xml:space="preserve">ņemot vērā Padomes 2020. gada 17. decembra Regulu (ES, </w:t>
      </w:r>
      <w:r w:rsidRPr="00D437DA">
        <w:rPr>
          <w:i/>
        </w:rPr>
        <w:t>Euratom</w:t>
      </w:r>
      <w:r w:rsidRPr="00D437DA">
        <w:t>) 2020/2093, ar ko nosaka daudzgadu finanšu shēmu 2021.–2027. gadam</w:t>
      </w:r>
      <w:r w:rsidRPr="00D437DA">
        <w:rPr>
          <w:noProof/>
          <w:vertAlign w:val="superscript"/>
        </w:rPr>
        <w:footnoteReference w:id="2"/>
      </w:r>
      <w:r w:rsidRPr="00D437DA">
        <w:t xml:space="preserve">, kurā izdarīti grozījumi ar Regulu (ES, </w:t>
      </w:r>
      <w:r w:rsidRPr="00D437DA">
        <w:rPr>
          <w:i/>
        </w:rPr>
        <w:t>Euratom</w:t>
      </w:r>
      <w:r w:rsidRPr="00D437DA">
        <w:t>) 2024/765</w:t>
      </w:r>
      <w:r w:rsidRPr="00D437DA">
        <w:rPr>
          <w:noProof/>
          <w:vertAlign w:val="superscript"/>
        </w:rPr>
        <w:footnoteReference w:id="3"/>
      </w:r>
      <w:r w:rsidRPr="00D437DA">
        <w:t xml:space="preserve"> (“DFS regula”), un jo īpaši tās 8. pantu, </w:t>
      </w:r>
    </w:p>
    <w:p w14:paraId="7149B79C" w14:textId="77777777" w:rsidR="00AA6140" w:rsidRPr="00D437DA" w:rsidRDefault="00AA6140" w:rsidP="00AA6140">
      <w:pPr>
        <w:pStyle w:val="NormalHanging12a"/>
        <w:rPr>
          <w:noProof/>
        </w:rPr>
      </w:pPr>
      <w:r w:rsidRPr="00D437DA">
        <w:t>–</w:t>
      </w:r>
      <w:r w:rsidRPr="00D437DA">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D437DA">
        <w:rPr>
          <w:rStyle w:val="FootnoteReference"/>
          <w:noProof/>
        </w:rPr>
        <w:footnoteReference w:id="4"/>
      </w:r>
      <w:r w:rsidRPr="00D437DA">
        <w:t>, un jo īpaši tā 9. punktu,</w:t>
      </w:r>
    </w:p>
    <w:p w14:paraId="3415C7A5" w14:textId="77777777" w:rsidR="00AA6140" w:rsidRPr="00D437DA" w:rsidRDefault="00AA6140" w:rsidP="00AA6140">
      <w:pPr>
        <w:pStyle w:val="NormalHanging12a"/>
        <w:rPr>
          <w:noProof/>
        </w:rPr>
      </w:pPr>
      <w:r w:rsidRPr="00D437DA">
        <w:lastRenderedPageBreak/>
        <w:t>–</w:t>
      </w:r>
      <w:r w:rsidRPr="00D437DA">
        <w:tab/>
        <w:t>ņemot vērā Eiropas sociālo tiesību pīlāru,</w:t>
      </w:r>
    </w:p>
    <w:p w14:paraId="4298D50A" w14:textId="77777777" w:rsidR="00AA6140" w:rsidRPr="00D437DA" w:rsidRDefault="00AA6140" w:rsidP="00AA6140">
      <w:pPr>
        <w:pStyle w:val="NormalHanging12a"/>
        <w:rPr>
          <w:noProof/>
        </w:rPr>
      </w:pPr>
      <w:r w:rsidRPr="00D437DA">
        <w:t>–</w:t>
      </w:r>
      <w:r w:rsidRPr="00D437DA">
        <w:tab/>
        <w:t>ņemot vērā Nodarbinātības un sociālo lietu komitejas atzinumu,</w:t>
      </w:r>
    </w:p>
    <w:p w14:paraId="7C31C123" w14:textId="77777777" w:rsidR="00AA6140" w:rsidRPr="00D437DA" w:rsidRDefault="00AA6140" w:rsidP="00AA6140">
      <w:pPr>
        <w:pStyle w:val="NormalHanging12a"/>
      </w:pPr>
      <w:r w:rsidRPr="00D437DA">
        <w:t>–</w:t>
      </w:r>
      <w:r w:rsidRPr="00D437DA">
        <w:tab/>
        <w:t>ņemot vērā Budžeta komitejas ziņojumu (A10-0030/2026),</w:t>
      </w:r>
    </w:p>
    <w:p w14:paraId="1BCB5A1F" w14:textId="77777777" w:rsidR="00AA6140" w:rsidRPr="00D437DA" w:rsidRDefault="00AA6140" w:rsidP="00AA6140">
      <w:pPr>
        <w:pStyle w:val="NormalHanging12a"/>
        <w:rPr>
          <w:noProof/>
        </w:rPr>
      </w:pPr>
      <w:r w:rsidRPr="00D437DA">
        <w:t>A.</w:t>
      </w:r>
      <w:r w:rsidRPr="00D437DA">
        <w:tab/>
        <w:t>tā kā Savienība ir izveidojusi likumdošanas un budžeta instrumentus, lai sniegtu papildu atbalstu darba ņēmējiem, kurus nelabvēlīgi skāruši būtiski strukturāli notikumi un pārmaiņas pasaules tirdzniecības modeļos, un lai palīdzētu viņiem no jauna iekļauties darba tirgū; tā kā šī palīdzība tiek nodrošināta, sniedzot finansiālu atbalstu darba ņēmējiem;</w:t>
      </w:r>
    </w:p>
    <w:p w14:paraId="634D1B38" w14:textId="6EC03D8F" w:rsidR="00AA6140" w:rsidRPr="00D437DA" w:rsidRDefault="00AA6140" w:rsidP="00AA6140">
      <w:pPr>
        <w:pStyle w:val="NormalHanging12a"/>
        <w:rPr>
          <w:noProof/>
        </w:rPr>
      </w:pPr>
      <w:r w:rsidRPr="00D437DA">
        <w:t>B.</w:t>
      </w:r>
      <w:r w:rsidRPr="00D437DA">
        <w:tab/>
        <w:t>tā kā Beļģija ir iesniegusi pieteikumu EGF/2025/004 BE/</w:t>
      </w:r>
      <w:r w:rsidRPr="00D437DA">
        <w:rPr>
          <w:i/>
        </w:rPr>
        <w:t>Tupperware</w:t>
      </w:r>
      <w:r w:rsidRPr="00D437DA">
        <w:t xml:space="preserve">, lai saņemtu finansiālu ieguldījumu no </w:t>
      </w:r>
      <w:r w:rsidR="008A64C7" w:rsidRPr="00D437DA">
        <w:t>Eiropas Globalizācijas pielāgošanās fonda (</w:t>
      </w:r>
      <w:r w:rsidRPr="00D437DA">
        <w:t>EGF</w:t>
      </w:r>
      <w:r w:rsidR="008A64C7" w:rsidRPr="00D437DA">
        <w:t>)</w:t>
      </w:r>
      <w:r w:rsidRPr="00D437DA">
        <w:t xml:space="preserve"> saistībā ar to, ka pārskata periodā no 2025. gada 17. februāra līdz 2025. gada 17. jūnijam uzņēmumā </w:t>
      </w:r>
      <w:r w:rsidRPr="00D437DA">
        <w:rPr>
          <w:i/>
        </w:rPr>
        <w:t>Tupperware General Services NV</w:t>
      </w:r>
      <w:r w:rsidRPr="00D437DA">
        <w:t xml:space="preserve"> (</w:t>
      </w:r>
      <w:r w:rsidRPr="00D437DA">
        <w:rPr>
          <w:i/>
        </w:rPr>
        <w:t>Tupperware</w:t>
      </w:r>
      <w:r w:rsidRPr="00D437DA">
        <w:t xml:space="preserve">), kas darbojas </w:t>
      </w:r>
      <w:r w:rsidRPr="00D437DA">
        <w:rPr>
          <w:i/>
        </w:rPr>
        <w:t>NACE</w:t>
      </w:r>
      <w:r w:rsidRPr="00D437DA">
        <w:t xml:space="preserve"> 2. redakcijas 22. nodaļā klasificētajā saimnieciskās darbības nozarē (Gumijas un plastmasas izstrādājumu ražošana) Austrumflandrijas provincē (BE23), ir atlaisti 267 darbinieki</w:t>
      </w:r>
      <w:r w:rsidRPr="00D437DA">
        <w:rPr>
          <w:noProof/>
          <w:vertAlign w:val="superscript"/>
        </w:rPr>
        <w:footnoteReference w:id="5"/>
      </w:r>
      <w:r w:rsidRPr="00D437DA">
        <w:t xml:space="preserve">; </w:t>
      </w:r>
    </w:p>
    <w:p w14:paraId="201A29E2" w14:textId="77777777" w:rsidR="00AA6140" w:rsidRPr="00D437DA" w:rsidRDefault="00AA6140" w:rsidP="00AA6140">
      <w:pPr>
        <w:pStyle w:val="NormalHanging12a"/>
        <w:rPr>
          <w:noProof/>
        </w:rPr>
      </w:pPr>
      <w:r w:rsidRPr="00D437DA">
        <w:t>C.</w:t>
      </w:r>
      <w:r w:rsidRPr="00D437DA">
        <w:tab/>
        <w:t xml:space="preserve">tā kā pieteikums pamatojas uz intervences kritērijiem, kas izklāstīti EGF regulas 4. panta 2. punkta a) apakšpunktā, kurā paredzēts nosacījums, ka četru mēnešu atsauces periodā darbība beigusies vismaz 200 darbu zaudējušiem darba ņēmējiem vai pašnodarbinātām personām kādā dalībvalsts uzņēmumā; </w:t>
      </w:r>
    </w:p>
    <w:p w14:paraId="26C58437" w14:textId="77777777" w:rsidR="00AA6140" w:rsidRPr="00D437DA" w:rsidRDefault="00AA6140" w:rsidP="00AA6140">
      <w:pPr>
        <w:pStyle w:val="NormalHanging12a"/>
        <w:rPr>
          <w:noProof/>
        </w:rPr>
      </w:pPr>
      <w:r w:rsidRPr="00D437DA">
        <w:t>D.</w:t>
      </w:r>
      <w:r w:rsidRPr="00D437DA">
        <w:tab/>
        <w:t xml:space="preserve">tā kā </w:t>
      </w:r>
      <w:r w:rsidRPr="00D437DA">
        <w:rPr>
          <w:i/>
        </w:rPr>
        <w:t>Tupperware</w:t>
      </w:r>
      <w:r w:rsidRPr="00D437DA">
        <w:t xml:space="preserve"> 2025. gada 17. februārī iesniedza bankrota pieteikumu; tā kā Beļģijā kopš 2022. gada pieaug bankrotu skaits;</w:t>
      </w:r>
    </w:p>
    <w:p w14:paraId="026E05E7" w14:textId="77777777" w:rsidR="00AA6140" w:rsidRPr="00D437DA" w:rsidRDefault="00AA6140" w:rsidP="00AA6140">
      <w:pPr>
        <w:pStyle w:val="NormalHanging12a"/>
        <w:rPr>
          <w:noProof/>
        </w:rPr>
      </w:pPr>
      <w:r w:rsidRPr="00D437DA">
        <w:t>E.</w:t>
      </w:r>
      <w:r w:rsidRPr="00D437DA">
        <w:tab/>
        <w:t xml:space="preserve">tā kā Beļģija ir norādījusi, ka </w:t>
      </w:r>
      <w:r w:rsidRPr="00D437DA">
        <w:rPr>
          <w:i/>
        </w:rPr>
        <w:t>VDAB</w:t>
      </w:r>
      <w:r w:rsidRPr="00D437DA">
        <w:t xml:space="preserve"> nodrošina valsts priekšfinansējumu un līdzfinansējumu pasākumiem;</w:t>
      </w:r>
    </w:p>
    <w:p w14:paraId="51E5332D" w14:textId="77777777" w:rsidR="00AA6140" w:rsidRPr="00D437DA" w:rsidRDefault="00AA6140" w:rsidP="00AA6140">
      <w:pPr>
        <w:pStyle w:val="NormalHanging12a"/>
        <w:rPr>
          <w:noProof/>
        </w:rPr>
      </w:pPr>
      <w:r w:rsidRPr="00D437DA">
        <w:t>F.</w:t>
      </w:r>
      <w:r w:rsidRPr="00D437DA">
        <w:tab/>
        <w:t>tā kā ir ievērotas Savienības un valsts tiesību aktos paredzētās prasības attiecībā uz kolektīvo atlaišanu;</w:t>
      </w:r>
    </w:p>
    <w:p w14:paraId="60E93165" w14:textId="77777777" w:rsidR="00AA6140" w:rsidRPr="00D437DA" w:rsidRDefault="00AA6140" w:rsidP="00AA6140">
      <w:pPr>
        <w:pStyle w:val="NormalHanging12a"/>
        <w:rPr>
          <w:noProof/>
        </w:rPr>
      </w:pPr>
      <w:r w:rsidRPr="00D437DA">
        <w:t>G.</w:t>
      </w:r>
      <w:r w:rsidRPr="00D437DA">
        <w:tab/>
        <w:t>tā kā EGF finanšu palīdzībai galvenokārt vajadzētu būt vērstai uz aktīviem darba tirgus politikas pasākumiem un individualizētiem pakalpojumiem, kuru mērķis ir panākt, lai atbalsta saņēmēji pēc iespējas ātrāk atgrieztos pienācīgās un ilgtspējīgās darbvietās, vienlaikus palīdzot viņiem sagatavoties zaļākai un digitālākai Eiropas ekonomikai;</w:t>
      </w:r>
    </w:p>
    <w:p w14:paraId="6D18DDAF" w14:textId="77777777" w:rsidR="00AA6140" w:rsidRPr="00D437DA" w:rsidRDefault="00AA6140" w:rsidP="00AA6140">
      <w:pPr>
        <w:pStyle w:val="NormalHanging12a"/>
        <w:rPr>
          <w:noProof/>
        </w:rPr>
      </w:pPr>
      <w:r w:rsidRPr="00D437DA">
        <w:t>H.</w:t>
      </w:r>
      <w:r w:rsidRPr="00D437DA">
        <w:tab/>
        <w:t>tā kā EGF ikgadējais apjoms nedrīkst pārsniegt 30 miljonus EUR (2018. gada cenās)</w:t>
      </w:r>
      <w:r w:rsidRPr="00D437DA">
        <w:rPr>
          <w:noProof/>
          <w:vertAlign w:val="superscript"/>
        </w:rPr>
        <w:footnoteReference w:id="6"/>
      </w:r>
      <w:r w:rsidRPr="00D437DA">
        <w:t xml:space="preserve">, </w:t>
      </w:r>
    </w:p>
    <w:p w14:paraId="6DFD7549" w14:textId="77777777" w:rsidR="00AA6140" w:rsidRPr="00D437DA" w:rsidRDefault="00AA6140" w:rsidP="00AA6140">
      <w:pPr>
        <w:pStyle w:val="NormalHanging12a"/>
        <w:rPr>
          <w:noProof/>
        </w:rPr>
      </w:pPr>
      <w:r w:rsidRPr="00D437DA">
        <w:t>1.</w:t>
      </w:r>
      <w:r w:rsidRPr="00D437DA">
        <w:tab/>
        <w:t>piekrīt Komisijai, ka EGF regulā un jo īpaši tās 4. panta 2. punkta a) apakšpunktā paredzētie nosacījumi ir izpildīti un ka Beļģija saskaņā ar minēto regulu ir tiesīga saņemt 1 622 650 EUR lielu finansiālu ieguldījumu, kas atbilst 85 % no kopējām izmaksām 1 909 000 EUR apmērā, kuras ietver izdevumus par individualizētiem pakalpojumiem 1 843 500 EUR apmērā un izdevumus par sagatavošanās, pārvaldības, informācijas un publicitātes, kontroles un ziņošanas darbībām 65 500 EUR apmērā;</w:t>
      </w:r>
    </w:p>
    <w:p w14:paraId="2F897552" w14:textId="77777777" w:rsidR="00AA6140" w:rsidRPr="00D437DA" w:rsidRDefault="00AA6140" w:rsidP="00AA6140">
      <w:pPr>
        <w:pStyle w:val="NormalHanging12a"/>
        <w:rPr>
          <w:noProof/>
        </w:rPr>
      </w:pPr>
      <w:r w:rsidRPr="00D437DA">
        <w:t>2.</w:t>
      </w:r>
      <w:r w:rsidRPr="00D437DA">
        <w:tab/>
        <w:t xml:space="preserve">norāda, ka Beļģijas iestādes pieteikumu iesniedza 2025. gada 28. augustā un ka pēc </w:t>
      </w:r>
      <w:r w:rsidRPr="00D437DA">
        <w:lastRenderedPageBreak/>
        <w:t>papildu informācijas saņemšanas no Beļģijas Komisija pieteikuma novērtēšanu pabeidza 2026. gada 20. janvārī, proti, gandrīz piecus mēnešus vēlāk, un tajā pašā dienā par to informēja Parlamentu; uzsver, ka ir svarīgi saīsināt laiku starp EGF atbalsta pieteikuma iesniegšanu un finansēšanas lēmuma pieņemšanu, vienlaikus pilnībā aizsargājot Eiropas Parlamenta kā vienas no budžeta lēmējinstitūcijas iestādēm tiesības;</w:t>
      </w:r>
    </w:p>
    <w:p w14:paraId="476691BF" w14:textId="77777777" w:rsidR="00AA6140" w:rsidRPr="00D437DA" w:rsidRDefault="00AA6140" w:rsidP="00AA6140">
      <w:pPr>
        <w:pStyle w:val="NormalHanging12a"/>
        <w:rPr>
          <w:noProof/>
        </w:rPr>
      </w:pPr>
      <w:r w:rsidRPr="00D437DA">
        <w:t>3.</w:t>
      </w:r>
      <w:r w:rsidRPr="00D437DA">
        <w:tab/>
        <w:t xml:space="preserve">norāda, ka pieteikums attiecas uz 267 paredzētajiem atbalsta saņēmējiem, kurus atlaida uzņēmumā </w:t>
      </w:r>
      <w:r w:rsidRPr="00D437DA">
        <w:rPr>
          <w:i/>
        </w:rPr>
        <w:t>Tupperware</w:t>
      </w:r>
      <w:r w:rsidRPr="00D437DA">
        <w:t>;</w:t>
      </w:r>
    </w:p>
    <w:p w14:paraId="44F226C0" w14:textId="77777777" w:rsidR="00AA6140" w:rsidRPr="00D437DA" w:rsidRDefault="00AA6140" w:rsidP="00AA6140">
      <w:pPr>
        <w:pStyle w:val="NormalHanging12a"/>
        <w:rPr>
          <w:noProof/>
        </w:rPr>
      </w:pPr>
      <w:r w:rsidRPr="00D437DA">
        <w:t>4.</w:t>
      </w:r>
      <w:r w:rsidRPr="00D437DA">
        <w:tab/>
        <w:t xml:space="preserve">norāda, ka uzņēmums </w:t>
      </w:r>
      <w:r w:rsidRPr="00D437DA">
        <w:rPr>
          <w:i/>
        </w:rPr>
        <w:t>Tupperware</w:t>
      </w:r>
      <w:r w:rsidRPr="00D437DA">
        <w:t xml:space="preserve"> atrodas Ālstā (Austrumflandrijas provincē), kur jau pirms attiecīgā uzņēmuma bankrota nodarbināts bija tikai viens no diviem cilvēkiem salīdzinājumā ar vidēji diviem no trim visā Flandrijas reģionā; pauž nožēlu par to, ka šī darbinieku atlaišana situāciju pasliktinās vēl vairāk; uzsver, ka jārīkojas ātri, lai novērstu strukturālu reģiona panīkumu;</w:t>
      </w:r>
    </w:p>
    <w:p w14:paraId="18C56FD7" w14:textId="77777777" w:rsidR="00AA6140" w:rsidRPr="00D437DA" w:rsidRDefault="00AA6140" w:rsidP="00AA6140">
      <w:pPr>
        <w:pStyle w:val="NormalHanging12a"/>
        <w:rPr>
          <w:noProof/>
        </w:rPr>
      </w:pPr>
      <w:r w:rsidRPr="00D437DA">
        <w:t>5.</w:t>
      </w:r>
      <w:r w:rsidRPr="00D437DA">
        <w:tab/>
        <w:t xml:space="preserve">pauž nožēlu par to, ka 2024. gada oktobrī kreditori pārņēma ASV mātesuzņēmumu </w:t>
      </w:r>
      <w:r w:rsidRPr="00D437DA">
        <w:rPr>
          <w:i/>
        </w:rPr>
        <w:t>Tupperware Brands</w:t>
      </w:r>
      <w:r w:rsidRPr="00D437DA">
        <w:t xml:space="preserve"> un būtiskas pārstrukturēšanas dēļ atsauca uzņēmumam </w:t>
      </w:r>
      <w:r w:rsidRPr="00D437DA">
        <w:rPr>
          <w:i/>
        </w:rPr>
        <w:t>Tupperware General Services</w:t>
      </w:r>
      <w:r w:rsidRPr="00D437DA">
        <w:t xml:space="preserve"> </w:t>
      </w:r>
      <w:r w:rsidRPr="00D437DA">
        <w:rPr>
          <w:i/>
        </w:rPr>
        <w:t>NV</w:t>
      </w:r>
      <w:r w:rsidRPr="00D437DA">
        <w:t xml:space="preserve"> piešķirtās licences, tai skaitā ražošanas licenci, padarot Beļģijas meitasuzņēmumu finansiāli dzīvotnespējīgu un izraisot tā bankrotu 2025. gada 17. februārī; </w:t>
      </w:r>
    </w:p>
    <w:p w14:paraId="696047A5" w14:textId="77777777" w:rsidR="00AA6140" w:rsidRPr="00D437DA" w:rsidRDefault="00AA6140" w:rsidP="00AA6140">
      <w:pPr>
        <w:pStyle w:val="NormalHanging12a"/>
        <w:rPr>
          <w:noProof/>
        </w:rPr>
      </w:pPr>
      <w:r w:rsidRPr="00D437DA">
        <w:t>6.</w:t>
      </w:r>
      <w:r w:rsidRPr="00D437DA">
        <w:tab/>
        <w:t>atzinīgi vērtē grupas Eiropas uzņēmēju iniciatīvu nolūkā atdzīvināt šo zīmolu Vācijā, Francijā, Beļģijā, Itālijā un Polijā;</w:t>
      </w:r>
    </w:p>
    <w:p w14:paraId="2DA97C27" w14:textId="77777777" w:rsidR="00AA6140" w:rsidRPr="00D437DA" w:rsidRDefault="00AA6140" w:rsidP="00AA6140">
      <w:pPr>
        <w:pStyle w:val="NormalHanging12a"/>
        <w:rPr>
          <w:noProof/>
        </w:rPr>
      </w:pPr>
      <w:r w:rsidRPr="00D437DA">
        <w:t>7.</w:t>
      </w:r>
      <w:r w:rsidRPr="00D437DA">
        <w:tab/>
        <w:t>uzsver, ka Flandrijā bezdarba risks ir vairāk nekā divas reizes lielāks cilvēkiem ar zemu izglītības līmeni; norāda, ka trešajai daļai atlaisto darba ņēmēju ir tikai pamatizglītības otrā posma izglītība; aicina Beļģijas iestādes sniegt īpaši šiem profiliem pielāgotu atbalstu, lai palīdzētu darba ņēmējiem pārvarēt viņu trūkumus un atrast jaunu darbu, un vienlaikus veikt pasākumus nolūkā samazināt bankrota gadījumu skaitu un novērst sociālās atšķirības, kas noved pie darba ņēmēju izslēgšanas no darba tirgus;</w:t>
      </w:r>
    </w:p>
    <w:p w14:paraId="5A0CBDA2" w14:textId="77777777" w:rsidR="00AA6140" w:rsidRPr="00D437DA" w:rsidRDefault="00AA6140" w:rsidP="00AA6140">
      <w:pPr>
        <w:pStyle w:val="NormalHanging12a"/>
        <w:rPr>
          <w:noProof/>
        </w:rPr>
      </w:pPr>
      <w:r w:rsidRPr="00D437DA">
        <w:t>8.</w:t>
      </w:r>
      <w:r w:rsidRPr="00D437DA">
        <w:tab/>
        <w:t xml:space="preserve">atgādina, ka saskaņā ar vienošanos ar arodbiedrībām, ekspertiem un sociālajiem partneriem individualizētie pakalpojumi, kas sniedzami darba ņēmējiem, ietver šādus pasākumus: informatīvas sesijas par reintegrāciju darba tirgū, profesionālās pārejas pasākumi, cita starpā IKT apmācība; palīdzība darba atrašanā — konsultācijas un atbalsts darba meklēšanā, apmācība un pārkvalifikācija, darba gadatirgus, darbvietu apzināšana un darba piemeklēšana; uzsver, ka ir svarīgi veicināt kvalitatīvu un uz nākotni vērstu darbvietu izveidi, lai nodrošinātu ilgtermiņa ekonomisko un sociālo noturību; aicina Beļģijas iestādes izveidot dialogu ar jaunajiem </w:t>
      </w:r>
      <w:r w:rsidRPr="00D437DA">
        <w:rPr>
          <w:i/>
          <w:iCs/>
        </w:rPr>
        <w:t>Tupperware</w:t>
      </w:r>
      <w:r w:rsidRPr="00D437DA">
        <w:t xml:space="preserve"> pārstāvjiem no Eiropas, lai izpētītu iespējas darbu zaudējušo darba ņēmēju reintegrācijai to saimnieciskajā darbībā;</w:t>
      </w:r>
    </w:p>
    <w:p w14:paraId="35D3C50C" w14:textId="77777777" w:rsidR="00AA6140" w:rsidRPr="00D437DA" w:rsidRDefault="00AA6140" w:rsidP="00AA6140">
      <w:pPr>
        <w:pStyle w:val="NormalHanging12a"/>
        <w:rPr>
          <w:noProof/>
        </w:rPr>
      </w:pPr>
      <w:r w:rsidRPr="00D437DA">
        <w:t>9.</w:t>
      </w:r>
      <w:r w:rsidRPr="00D437DA">
        <w:tab/>
        <w:t xml:space="preserve">uzsver, ka atlaisto darba ņēmēju kvalifikācijai un prasmēm joprojām ir būtiska nozīme nākotnes prasībām atbilstošas Eiropas ekonomikas nodrošināšanā; tādēļ uzskata, ka EGF līdzekļu izmantošana ir jāiekļauj plašākā politikas pasākumu kopumā visos politiskajos līmeņos, lai nodrošinātu, ka skartie darba ņēmēji atrod piemērotas iespējas, kas atbilst viņu kvalifikācijai un prasmēm; turklāt atgādina, ka EGF ir solidaritātes un taisnīgas pārkārtošanās instruments un ka Savienības galvenajam uzdevumam pirmkārt jābūt šādu slēgšanas gadījumu novēršanai; uzskata — lai gan EGF sniedz nepieciešamo atbalstu skartajiem darba ņēmējiem, Eiropas rūpnieciskās nodarbinātības bāzes aizsargāšanai būtiski nepieciešama ir spēcīgāka rūpniecības politika, stabilāka, </w:t>
      </w:r>
      <w:r w:rsidRPr="00D437DA">
        <w:lastRenderedPageBreak/>
        <w:t>ilgtspējīgāka un noturīgāka ekonomika un stratēģiskās atkarības mazināšana;</w:t>
      </w:r>
    </w:p>
    <w:p w14:paraId="183B24FE" w14:textId="77777777" w:rsidR="00AA6140" w:rsidRPr="00D437DA" w:rsidRDefault="00AA6140" w:rsidP="00AA6140">
      <w:pPr>
        <w:pStyle w:val="NormalHanging12a"/>
        <w:rPr>
          <w:bCs/>
          <w:iCs/>
          <w:noProof/>
        </w:rPr>
      </w:pPr>
      <w:r w:rsidRPr="00D437DA">
        <w:t>10.</w:t>
      </w:r>
      <w:r w:rsidRPr="00D437DA">
        <w:tab/>
        <w:t>uzsver, ka Beļģijas iestādēm ir jānodrošina Savienības finansējuma pamanāmība un jāuzsver tā pievienotā vērtība, sniedzot efektīvu un mērķorientētu informāciju atbalsta saņēmējiem, reģionālajām un vietējām iestādēm, sociālajiem partneriem un plašākai sabiedrībai;</w:t>
      </w:r>
    </w:p>
    <w:p w14:paraId="3006F0A0" w14:textId="77777777" w:rsidR="00AA6140" w:rsidRPr="00D437DA" w:rsidRDefault="00AA6140" w:rsidP="00AA6140">
      <w:pPr>
        <w:pStyle w:val="NormalHanging12a"/>
        <w:rPr>
          <w:noProof/>
        </w:rPr>
      </w:pPr>
      <w:r w:rsidRPr="00D437DA">
        <w:t>11.</w:t>
      </w:r>
      <w:r w:rsidRPr="00D437DA">
        <w:tab/>
        <w:t>aicina veikt rūpīgus īstenoto pasākumu galīgos novērtējumus, tostarp sniegt skaidru informāciju par to, kā līdzekļi ir izlietoti un vai tas ir darīts saskaņā ar apstiprinātajiem plāniem; uzsver, ka šādu novērtējumu pamatā vajadzētu būt skaidri definētiem mērķiem un izmērāmiem rezultātiem, kas ļauj novērtēt attiecībā uz skartajiem darba ņēmējiem panākto iznākumu; uzsver, ka ir svarīgi nodrošināt ātrākus un efektīvākus intervences pasākumus, un šajā sakarībā atgādina, ka saistībā ar nākamo daudzgadu finanšu shēmu 2028.–2034. gadam jāpēta iespējas nodrošināt EGF vai to nomainošās programmas ilgtspēju;</w:t>
      </w:r>
    </w:p>
    <w:p w14:paraId="154A077D" w14:textId="77777777" w:rsidR="00AA6140" w:rsidRPr="00D437DA" w:rsidRDefault="00AA6140" w:rsidP="00AA6140">
      <w:pPr>
        <w:pStyle w:val="NormalHanging12a"/>
        <w:rPr>
          <w:noProof/>
        </w:rPr>
      </w:pPr>
      <w:r w:rsidRPr="00D437DA">
        <w:t>12.</w:t>
      </w:r>
      <w:r w:rsidRPr="00D437DA">
        <w:tab/>
        <w:t>pieņem zināšanai to, ka Beļģija sāka sniegt individualizētus pakalpojumus paredzētajiem atbalsta saņēmējiem 2025. gada 17. februārī un ka tāpēc tiesības saņemt finansiālu ieguldījumu no EGF tiks nodrošinātas laikposmā, kas sākas minētajā dienā un beidzas 24 mēnešus pēc finansēšanas lēmuma spēkā stāšanās dienas;</w:t>
      </w:r>
    </w:p>
    <w:p w14:paraId="540E0653" w14:textId="77777777" w:rsidR="00AA6140" w:rsidRPr="00D437DA" w:rsidRDefault="00AA6140" w:rsidP="00AA6140">
      <w:pPr>
        <w:pStyle w:val="NormalHanging12a"/>
        <w:rPr>
          <w:noProof/>
        </w:rPr>
      </w:pPr>
      <w:r w:rsidRPr="00D437DA">
        <w:t>13.</w:t>
      </w:r>
      <w:r w:rsidRPr="00D437DA">
        <w:tab/>
        <w:t>norāda, ka administratīvie izdevumi saistībā ar EGF īstenošanu Beļģijai sāka rasties 2025. gada 17. februārī un ka tāpēc attiecībā uz šādiem izdevumiem tiesības saņemt finansiālu ieguldījumu no EGF tiek nodrošinātas laikposmā, kas sākas minētajā datumā un beidzas 31 mēnesi pēc finansēšanas lēmuma spēkā stāšanās dienas;</w:t>
      </w:r>
    </w:p>
    <w:p w14:paraId="391575AB" w14:textId="77777777" w:rsidR="00AA6140" w:rsidRPr="00D437DA" w:rsidRDefault="00AA6140" w:rsidP="00AA6140">
      <w:pPr>
        <w:pStyle w:val="NormalHanging12a"/>
        <w:rPr>
          <w:noProof/>
        </w:rPr>
      </w:pPr>
      <w:r w:rsidRPr="00D437DA">
        <w:t>14.</w:t>
      </w:r>
      <w:r w:rsidRPr="00D437DA">
        <w:tab/>
        <w:t>pieņem zināšanai, ka Beļģijas iestādes ir sniegušas apstiprinājumu tam, ka, īstenojot ierosinātās darbības, tiks ievēroti vienlīdzīgas attieksmes un nediskriminācijas principi un novērsta jebkāda dubulta finansēšana;</w:t>
      </w:r>
    </w:p>
    <w:p w14:paraId="075000F5" w14:textId="77777777" w:rsidR="00AA6140" w:rsidRPr="00D437DA" w:rsidRDefault="00AA6140" w:rsidP="00AA6140">
      <w:pPr>
        <w:pStyle w:val="NormalHanging12a"/>
        <w:rPr>
          <w:noProof/>
        </w:rPr>
      </w:pPr>
      <w:r w:rsidRPr="00D437DA">
        <w:t>15.</w:t>
      </w:r>
      <w:r w:rsidRPr="00D437DA">
        <w:tab/>
        <w:t>atkārtoti norāda, ka palīdzība no EGF nedrīkst aizstāt darbības, par kurām saskaņā ar attiecīgās valsts tiesību aktiem vai koplīgumiem ir atbildīgi uzņēmumi;</w:t>
      </w:r>
    </w:p>
    <w:p w14:paraId="234176B2" w14:textId="77777777" w:rsidR="00AA6140" w:rsidRPr="00D437DA" w:rsidRDefault="00AA6140" w:rsidP="00AA6140">
      <w:pPr>
        <w:pStyle w:val="NormalHanging12a"/>
        <w:rPr>
          <w:noProof/>
        </w:rPr>
      </w:pPr>
      <w:r w:rsidRPr="00D437DA">
        <w:t>16.</w:t>
      </w:r>
      <w:r w:rsidRPr="00D437DA">
        <w:tab/>
        <w:t>apstiprina šai rezolūcijai pievienoto lēmumu;</w:t>
      </w:r>
    </w:p>
    <w:p w14:paraId="21734D47" w14:textId="77777777" w:rsidR="00AA6140" w:rsidRPr="00D437DA" w:rsidRDefault="00AA6140" w:rsidP="00AA6140">
      <w:pPr>
        <w:pStyle w:val="NormalHanging12a"/>
        <w:rPr>
          <w:noProof/>
        </w:rPr>
      </w:pPr>
      <w:r w:rsidRPr="00D437DA">
        <w:t>17.</w:t>
      </w:r>
      <w:r w:rsidRPr="00D437DA">
        <w:tab/>
        <w:t xml:space="preserve">uzdod priekšsēdētājai parakstīt šo lēmumu kopā ar Padomes priekšsēdētāju un nodrošināt tā publicēšanu </w:t>
      </w:r>
      <w:r w:rsidRPr="00D437DA">
        <w:rPr>
          <w:i/>
        </w:rPr>
        <w:t>Eiropas Savienības Oficiālajā Vēstnesī</w:t>
      </w:r>
      <w:r w:rsidRPr="00D437DA">
        <w:t>;</w:t>
      </w:r>
    </w:p>
    <w:p w14:paraId="5F6862A0" w14:textId="77777777" w:rsidR="00AA6140" w:rsidRPr="00D437DA" w:rsidRDefault="00AA6140" w:rsidP="00AA6140">
      <w:pPr>
        <w:pStyle w:val="NormalHanging12a"/>
        <w:rPr>
          <w:noProof/>
        </w:rPr>
      </w:pPr>
      <w:r w:rsidRPr="00D437DA">
        <w:t>18.</w:t>
      </w:r>
      <w:r w:rsidRPr="00D437DA">
        <w:tab/>
        <w:t>uzdod priekšsēdētājai šo rezolūciju, kā arī tās pielikumu nosūtīt Padomei un Komisijai.</w:t>
      </w:r>
    </w:p>
    <w:p w14:paraId="429C790E" w14:textId="77777777" w:rsidR="00AA6140" w:rsidRPr="00D437DA" w:rsidRDefault="00AA6140" w:rsidP="00AA6140">
      <w:pPr>
        <w:pStyle w:val="NormalHanging12a"/>
        <w:rPr>
          <w:noProof/>
        </w:rPr>
      </w:pPr>
    </w:p>
    <w:p w14:paraId="07DCDB44" w14:textId="77777777" w:rsidR="00AA6140" w:rsidRPr="00D437DA" w:rsidRDefault="00AA6140" w:rsidP="00AA6140">
      <w:pPr>
        <w:rPr>
          <w:noProof/>
        </w:rPr>
      </w:pPr>
    </w:p>
    <w:p w14:paraId="3ED476A0" w14:textId="77777777" w:rsidR="00AA6140" w:rsidRPr="00D437DA" w:rsidRDefault="00AA6140" w:rsidP="00AA6140">
      <w:pPr>
        <w:pStyle w:val="PageHeading"/>
        <w:rPr>
          <w:noProof/>
        </w:rPr>
        <w:sectPr w:rsidR="00AA6140" w:rsidRPr="00D437DA" w:rsidSect="005130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ADBDA9" w14:textId="77777777" w:rsidR="00F93495" w:rsidRDefault="00AA6140" w:rsidP="00AA6140">
      <w:pPr>
        <w:pStyle w:val="PageHeading"/>
      </w:pPr>
      <w:bookmarkStart w:id="7" w:name="_Toc223446077"/>
      <w:r w:rsidRPr="00D437DA">
        <w:lastRenderedPageBreak/>
        <w:t>PIELIKUMS</w:t>
      </w:r>
    </w:p>
    <w:p w14:paraId="77D7B76E" w14:textId="5476C9C7" w:rsidR="00AA6140" w:rsidRPr="00D437DA" w:rsidRDefault="00AA6140" w:rsidP="00AA6140">
      <w:pPr>
        <w:pStyle w:val="PageHeading"/>
      </w:pPr>
      <w:r w:rsidRPr="00D437DA">
        <w:t>EIROPAS PARLAMENTA UN PADOMES LĒMUMS</w:t>
      </w:r>
      <w:bookmarkEnd w:id="7"/>
    </w:p>
    <w:p w14:paraId="29A4F8F7" w14:textId="4CC7E8AE" w:rsidR="00AA6140" w:rsidRDefault="00AA6140" w:rsidP="00D437DA">
      <w:pPr>
        <w:pStyle w:val="Institutionquiagit"/>
        <w:jc w:val="center"/>
        <w:rPr>
          <w:b/>
          <w:i/>
        </w:rPr>
      </w:pPr>
      <w:r w:rsidRPr="00D437DA">
        <w:rPr>
          <w:b/>
        </w:rPr>
        <w:t xml:space="preserve">par Eiropas Globalizācijas pielāgošanās fonda darbu zaudējušiem darba ņēmējiem izmantošanu saistībā ar Beļģijas iesniegto pieteikumu </w:t>
      </w:r>
      <w:r w:rsidR="00266D98" w:rsidRPr="00D437DA">
        <w:rPr>
          <w:b/>
        </w:rPr>
        <w:t>–</w:t>
      </w:r>
      <w:r w:rsidR="00266D98" w:rsidRPr="00D437DA" w:rsidDel="00266D98">
        <w:rPr>
          <w:b/>
        </w:rPr>
        <w:t xml:space="preserve"> </w:t>
      </w:r>
      <w:r w:rsidRPr="00D437DA">
        <w:rPr>
          <w:b/>
        </w:rPr>
        <w:t>EGF/2025/004 BE/</w:t>
      </w:r>
      <w:r w:rsidRPr="00D437DA">
        <w:rPr>
          <w:b/>
          <w:i/>
        </w:rPr>
        <w:t>Tupperware</w:t>
      </w:r>
    </w:p>
    <w:p w14:paraId="7E776B44" w14:textId="77777777" w:rsidR="00CE7300" w:rsidRDefault="00CE7300" w:rsidP="00CE7300">
      <w:pPr>
        <w:rPr>
          <w:lang w:eastAsia="en-US"/>
        </w:rPr>
      </w:pPr>
    </w:p>
    <w:p w14:paraId="00937375" w14:textId="3CCEECB3" w:rsidR="00CE7300" w:rsidRDefault="00CE7300" w:rsidP="00CE7300">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CE7300">
        <w:rPr>
          <w:b w:val="0"/>
          <w:i/>
          <w:iCs/>
          <w:noProof/>
        </w:rPr>
        <w:t>2026/723</w:t>
      </w:r>
      <w:r w:rsidRPr="00981C8E">
        <w:rPr>
          <w:b w:val="0"/>
          <w:i/>
          <w:iCs/>
          <w:noProof/>
        </w:rPr>
        <w:t>.</w:t>
      </w:r>
      <w:r w:rsidRPr="00EB02AD">
        <w:rPr>
          <w:b w:val="0"/>
          <w:i/>
          <w:iCs/>
          <w:noProof/>
        </w:rPr>
        <w:t>)</w:t>
      </w:r>
    </w:p>
    <w:sectPr w:rsidR="00CE7300" w:rsidSect="0051300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99F0F" w14:textId="77777777" w:rsidR="00752EE6" w:rsidRPr="00513002" w:rsidRDefault="00752EE6">
      <w:r w:rsidRPr="00513002">
        <w:separator/>
      </w:r>
    </w:p>
  </w:endnote>
  <w:endnote w:type="continuationSeparator" w:id="0">
    <w:p w14:paraId="32C2B153" w14:textId="77777777" w:rsidR="00752EE6" w:rsidRPr="00513002" w:rsidRDefault="00752EE6">
      <w:r w:rsidRPr="005130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6C6C" w14:textId="77777777" w:rsidR="00513002" w:rsidRPr="00513002" w:rsidRDefault="00513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2749" w14:textId="77777777" w:rsidR="00513002" w:rsidRPr="00513002" w:rsidRDefault="00513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44F5" w14:textId="77777777" w:rsidR="00513002" w:rsidRPr="00513002" w:rsidRDefault="005130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48C1" w14:textId="77777777" w:rsidR="00064002" w:rsidRPr="005130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CF6A" w14:textId="77777777" w:rsidR="00064002" w:rsidRPr="0051300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2375" w14:textId="77777777" w:rsidR="00064002" w:rsidRPr="005130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5E8F9" w14:textId="77777777" w:rsidR="00752EE6" w:rsidRPr="00513002" w:rsidRDefault="00752EE6">
      <w:r w:rsidRPr="00513002">
        <w:separator/>
      </w:r>
    </w:p>
  </w:footnote>
  <w:footnote w:type="continuationSeparator" w:id="0">
    <w:p w14:paraId="55DE6359" w14:textId="77777777" w:rsidR="00752EE6" w:rsidRPr="00513002" w:rsidRDefault="00752EE6">
      <w:r w:rsidRPr="00513002">
        <w:continuationSeparator/>
      </w:r>
    </w:p>
  </w:footnote>
  <w:footnote w:id="1">
    <w:p w14:paraId="66586B14" w14:textId="4C8B055C" w:rsidR="00AA6140" w:rsidRPr="00513002" w:rsidRDefault="00AA6140" w:rsidP="00513002">
      <w:pPr>
        <w:pStyle w:val="FootnoteText"/>
        <w:ind w:left="567" w:hanging="567"/>
        <w:rPr>
          <w:sz w:val="24"/>
          <w:lang w:val="lv-LV"/>
        </w:rPr>
      </w:pPr>
      <w:r w:rsidRPr="00513002">
        <w:rPr>
          <w:rStyle w:val="FootnoteReference"/>
          <w:sz w:val="24"/>
          <w:lang w:val="lv-LV"/>
        </w:rPr>
        <w:footnoteRef/>
      </w:r>
      <w:r w:rsidR="00513002" w:rsidRPr="00513002">
        <w:rPr>
          <w:sz w:val="24"/>
          <w:lang w:val="lv-LV"/>
        </w:rPr>
        <w:t xml:space="preserve"> </w:t>
      </w:r>
      <w:r w:rsidR="00513002" w:rsidRPr="00513002">
        <w:rPr>
          <w:sz w:val="24"/>
          <w:lang w:val="lv-LV"/>
        </w:rPr>
        <w:tab/>
      </w:r>
      <w:r w:rsidRPr="00513002">
        <w:rPr>
          <w:sz w:val="24"/>
          <w:lang w:val="lv-LV"/>
        </w:rPr>
        <w:t xml:space="preserve">OV L 153, 3.5.2021., 48. lpp., ELI: </w:t>
      </w:r>
      <w:hyperlink r:id="rId1" w:history="1">
        <w:r w:rsidRPr="00513002">
          <w:rPr>
            <w:rStyle w:val="Hyperlink"/>
            <w:sz w:val="24"/>
            <w:lang w:val="lv-LV"/>
          </w:rPr>
          <w:t>http://data.europa.eu/eli/reg/2021/691/oj</w:t>
        </w:r>
      </w:hyperlink>
      <w:r w:rsidRPr="00513002">
        <w:rPr>
          <w:sz w:val="24"/>
          <w:lang w:val="lv-LV"/>
        </w:rPr>
        <w:t>.</w:t>
      </w:r>
    </w:p>
  </w:footnote>
  <w:footnote w:id="2">
    <w:p w14:paraId="6910BA80" w14:textId="613AE413" w:rsidR="00AA6140" w:rsidRPr="00513002" w:rsidRDefault="00AA6140" w:rsidP="00513002">
      <w:pPr>
        <w:pStyle w:val="FootnoteText"/>
        <w:ind w:left="567" w:hanging="567"/>
        <w:rPr>
          <w:sz w:val="24"/>
          <w:lang w:val="lv-LV"/>
        </w:rPr>
      </w:pPr>
      <w:r w:rsidRPr="00513002">
        <w:rPr>
          <w:rStyle w:val="FootnoteReference"/>
          <w:sz w:val="24"/>
          <w:lang w:val="lv-LV"/>
        </w:rPr>
        <w:footnoteRef/>
      </w:r>
      <w:r w:rsidR="00513002" w:rsidRPr="00513002">
        <w:rPr>
          <w:sz w:val="24"/>
          <w:lang w:val="lv-LV"/>
        </w:rPr>
        <w:t xml:space="preserve"> </w:t>
      </w:r>
      <w:r w:rsidR="00513002" w:rsidRPr="00513002">
        <w:rPr>
          <w:sz w:val="24"/>
          <w:lang w:val="lv-LV"/>
        </w:rPr>
        <w:tab/>
      </w:r>
      <w:r w:rsidRPr="00513002">
        <w:rPr>
          <w:sz w:val="24"/>
          <w:lang w:val="lv-LV"/>
        </w:rPr>
        <w:t xml:space="preserve">OV L 433 I, 22.12.2020., 11. lpp., ELI: </w:t>
      </w:r>
      <w:r>
        <w:fldChar w:fldCharType="begin"/>
      </w:r>
      <w:r w:rsidRPr="00F93495">
        <w:rPr>
          <w:lang w:val="lv-LV"/>
        </w:rPr>
        <w:instrText>HYPERLINK "http://data.europa.eu/eli/reg/2020/2093/oj"</w:instrText>
      </w:r>
      <w:r>
        <w:fldChar w:fldCharType="separate"/>
      </w:r>
      <w:r w:rsidRPr="00513002">
        <w:rPr>
          <w:rStyle w:val="Hyperlink"/>
          <w:sz w:val="24"/>
          <w:lang w:val="lv-LV"/>
        </w:rPr>
        <w:t>http://data.europa.eu/eli/reg/2020/2093/oj</w:t>
      </w:r>
      <w:r>
        <w:fldChar w:fldCharType="end"/>
      </w:r>
      <w:r w:rsidRPr="00513002">
        <w:rPr>
          <w:sz w:val="24"/>
          <w:lang w:val="lv-LV"/>
        </w:rPr>
        <w:t>.</w:t>
      </w:r>
    </w:p>
  </w:footnote>
  <w:footnote w:id="3">
    <w:p w14:paraId="41CFB158" w14:textId="365D84B5" w:rsidR="00AA6140" w:rsidRPr="00513002" w:rsidRDefault="00AA6140" w:rsidP="00513002">
      <w:pPr>
        <w:pStyle w:val="FootnoteText"/>
        <w:ind w:left="567" w:hanging="567"/>
        <w:rPr>
          <w:sz w:val="24"/>
          <w:lang w:val="lv-LV"/>
        </w:rPr>
      </w:pPr>
      <w:r w:rsidRPr="00513002">
        <w:rPr>
          <w:rStyle w:val="FootnoteReference"/>
          <w:sz w:val="24"/>
          <w:lang w:val="lv-LV"/>
        </w:rPr>
        <w:footnoteRef/>
      </w:r>
      <w:r w:rsidR="00513002" w:rsidRPr="00513002">
        <w:rPr>
          <w:sz w:val="24"/>
          <w:shd w:val="clear" w:color="auto" w:fill="FFFFFF"/>
          <w:lang w:val="lv-LV"/>
        </w:rPr>
        <w:t xml:space="preserve"> </w:t>
      </w:r>
      <w:r w:rsidR="00513002" w:rsidRPr="00513002">
        <w:rPr>
          <w:sz w:val="24"/>
          <w:shd w:val="clear" w:color="auto" w:fill="FFFFFF"/>
          <w:lang w:val="lv-LV"/>
        </w:rPr>
        <w:tab/>
      </w:r>
      <w:r w:rsidRPr="00513002">
        <w:rPr>
          <w:sz w:val="24"/>
          <w:shd w:val="clear" w:color="auto" w:fill="FFFFFF"/>
          <w:lang w:val="lv-LV"/>
        </w:rPr>
        <w:t xml:space="preserve">Padomes Regula (ES, </w:t>
      </w:r>
      <w:r w:rsidRPr="00513002">
        <w:rPr>
          <w:i/>
          <w:sz w:val="24"/>
          <w:shd w:val="clear" w:color="auto" w:fill="FFFFFF"/>
          <w:lang w:val="lv-LV"/>
        </w:rPr>
        <w:t>Euratom</w:t>
      </w:r>
      <w:r w:rsidRPr="00513002">
        <w:rPr>
          <w:sz w:val="24"/>
          <w:shd w:val="clear" w:color="auto" w:fill="FFFFFF"/>
          <w:lang w:val="lv-LV"/>
        </w:rPr>
        <w:t xml:space="preserve">) 2024/765 (2024. gada 29. februāris), ar kuru groza Regulu (ES, </w:t>
      </w:r>
      <w:r w:rsidRPr="00513002">
        <w:rPr>
          <w:i/>
          <w:sz w:val="24"/>
          <w:shd w:val="clear" w:color="auto" w:fill="FFFFFF"/>
          <w:lang w:val="lv-LV"/>
        </w:rPr>
        <w:t>Euratom</w:t>
      </w:r>
      <w:r w:rsidRPr="00513002">
        <w:rPr>
          <w:sz w:val="24"/>
          <w:shd w:val="clear" w:color="auto" w:fill="FFFFFF"/>
          <w:lang w:val="lv-LV"/>
        </w:rPr>
        <w:t>) 2020/2093, ar ko nosaka daudzgadu finanšu shēmu 2021.–2027. gadam (OV L, 2024/765, 29.2.2024., ELI:</w:t>
      </w:r>
      <w:r w:rsidRPr="00513002">
        <w:rPr>
          <w:color w:val="333333"/>
          <w:sz w:val="24"/>
          <w:shd w:val="clear" w:color="auto" w:fill="FFFFFF"/>
          <w:lang w:val="lv-LV"/>
        </w:rPr>
        <w:t xml:space="preserve"> </w:t>
      </w:r>
      <w:r>
        <w:fldChar w:fldCharType="begin"/>
      </w:r>
      <w:r w:rsidRPr="00F93495">
        <w:rPr>
          <w:lang w:val="lv-LV"/>
        </w:rPr>
        <w:instrText>HYPERLINK "http://data.europa.eu/eli/reg/2024/765/oj"</w:instrText>
      </w:r>
      <w:r>
        <w:fldChar w:fldCharType="separate"/>
      </w:r>
      <w:r w:rsidRPr="00513002">
        <w:rPr>
          <w:rStyle w:val="Hyperlink"/>
          <w:sz w:val="24"/>
          <w:shd w:val="clear" w:color="auto" w:fill="FFFFFF"/>
          <w:lang w:val="lv-LV"/>
        </w:rPr>
        <w:t>http://data.europa.eu/eli/reg/2024/765/oj</w:t>
      </w:r>
      <w:r>
        <w:fldChar w:fldCharType="end"/>
      </w:r>
      <w:r w:rsidRPr="00513002">
        <w:rPr>
          <w:i/>
          <w:color w:val="333333"/>
          <w:sz w:val="24"/>
          <w:shd w:val="clear" w:color="auto" w:fill="FFFFFF"/>
          <w:lang w:val="lv-LV"/>
        </w:rPr>
        <w:t>).</w:t>
      </w:r>
    </w:p>
  </w:footnote>
  <w:footnote w:id="4">
    <w:p w14:paraId="57D34593" w14:textId="1C603ED3" w:rsidR="00AA6140" w:rsidRPr="00513002" w:rsidRDefault="00AA6140" w:rsidP="00513002">
      <w:pPr>
        <w:pStyle w:val="FootnoteText"/>
        <w:ind w:left="567" w:hanging="567"/>
        <w:rPr>
          <w:sz w:val="24"/>
          <w:lang w:val="lv-LV"/>
        </w:rPr>
      </w:pPr>
      <w:r w:rsidRPr="00513002">
        <w:rPr>
          <w:rStyle w:val="FootnoteReference"/>
          <w:sz w:val="24"/>
          <w:lang w:val="lv-LV"/>
        </w:rPr>
        <w:footnoteRef/>
      </w:r>
      <w:r w:rsidR="00513002" w:rsidRPr="00513002">
        <w:rPr>
          <w:sz w:val="24"/>
          <w:lang w:val="lv-LV"/>
        </w:rPr>
        <w:t xml:space="preserve"> </w:t>
      </w:r>
      <w:r w:rsidR="00513002" w:rsidRPr="00513002">
        <w:rPr>
          <w:sz w:val="24"/>
          <w:lang w:val="lv-LV"/>
        </w:rPr>
        <w:tab/>
      </w:r>
      <w:r w:rsidRPr="00513002">
        <w:rPr>
          <w:sz w:val="24"/>
          <w:lang w:val="lv-LV"/>
        </w:rPr>
        <w:t xml:space="preserve">OV L 433 I, 22.12.2020., 28. lpp., ELI: </w:t>
      </w:r>
      <w:r>
        <w:fldChar w:fldCharType="begin"/>
      </w:r>
      <w:r w:rsidRPr="00F93495">
        <w:rPr>
          <w:lang w:val="pt-PT"/>
        </w:rPr>
        <w:instrText>HYPERLINK "http://data.europa.eu/eli/agree_interinstit/2020/1222/oj"</w:instrText>
      </w:r>
      <w:r>
        <w:fldChar w:fldCharType="separate"/>
      </w:r>
      <w:r w:rsidRPr="00513002">
        <w:rPr>
          <w:rStyle w:val="Hyperlink"/>
          <w:sz w:val="24"/>
          <w:lang w:val="lv-LV"/>
        </w:rPr>
        <w:t>http://data.europa.eu/eli/agree_interinstit/2020/1222/oj</w:t>
      </w:r>
      <w:r>
        <w:fldChar w:fldCharType="end"/>
      </w:r>
      <w:r w:rsidRPr="00513002">
        <w:rPr>
          <w:sz w:val="24"/>
          <w:lang w:val="lv-LV"/>
        </w:rPr>
        <w:t>.</w:t>
      </w:r>
    </w:p>
  </w:footnote>
  <w:footnote w:id="5">
    <w:p w14:paraId="5F20F29D" w14:textId="29E14B4B" w:rsidR="00AA6140" w:rsidRPr="00513002" w:rsidRDefault="00AA6140" w:rsidP="00513002">
      <w:pPr>
        <w:pStyle w:val="FootnoteText"/>
        <w:ind w:left="567" w:hanging="567"/>
        <w:rPr>
          <w:sz w:val="24"/>
          <w:lang w:val="lv-LV"/>
        </w:rPr>
      </w:pPr>
      <w:r w:rsidRPr="00513002">
        <w:rPr>
          <w:rStyle w:val="FootnoteReference"/>
          <w:sz w:val="24"/>
          <w:lang w:val="lv-LV"/>
        </w:rPr>
        <w:footnoteRef/>
      </w:r>
      <w:r w:rsidR="00513002" w:rsidRPr="00513002">
        <w:rPr>
          <w:sz w:val="24"/>
          <w:lang w:val="lv-LV"/>
        </w:rPr>
        <w:t xml:space="preserve"> </w:t>
      </w:r>
      <w:r w:rsidR="00513002" w:rsidRPr="00513002">
        <w:rPr>
          <w:sz w:val="24"/>
          <w:lang w:val="lv-LV"/>
        </w:rPr>
        <w:tab/>
      </w:r>
      <w:r w:rsidRPr="00513002">
        <w:rPr>
          <w:sz w:val="24"/>
          <w:lang w:val="lv-LV"/>
        </w:rPr>
        <w:t>EGF regulas 3. panta nozīmē.</w:t>
      </w:r>
    </w:p>
  </w:footnote>
  <w:footnote w:id="6">
    <w:p w14:paraId="0E08658D" w14:textId="30696815" w:rsidR="00AA6140" w:rsidRPr="00513002" w:rsidRDefault="00AA6140" w:rsidP="00513002">
      <w:pPr>
        <w:pStyle w:val="FootnoteText"/>
        <w:ind w:left="567" w:hanging="567"/>
        <w:rPr>
          <w:sz w:val="24"/>
          <w:lang w:val="lv-LV"/>
        </w:rPr>
      </w:pPr>
      <w:r w:rsidRPr="00513002">
        <w:rPr>
          <w:rStyle w:val="FootnoteReference"/>
          <w:sz w:val="24"/>
          <w:lang w:val="lv-LV"/>
        </w:rPr>
        <w:footnoteRef/>
      </w:r>
      <w:r w:rsidR="00513002" w:rsidRPr="00513002">
        <w:rPr>
          <w:sz w:val="24"/>
          <w:lang w:val="lv-LV"/>
        </w:rPr>
        <w:t xml:space="preserve"> </w:t>
      </w:r>
      <w:r w:rsidR="00513002" w:rsidRPr="00513002">
        <w:rPr>
          <w:sz w:val="24"/>
          <w:lang w:val="lv-LV"/>
        </w:rPr>
        <w:tab/>
      </w:r>
      <w:r w:rsidRPr="00513002">
        <w:rPr>
          <w:sz w:val="24"/>
          <w:lang w:val="lv-LV"/>
        </w:rPr>
        <w:t>DFS regulas 8.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BCD2" w14:textId="77777777" w:rsidR="00513002" w:rsidRPr="00513002" w:rsidRDefault="00513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199A7" w14:textId="77777777" w:rsidR="00513002" w:rsidRPr="00513002" w:rsidRDefault="00513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8871" w14:textId="77777777" w:rsidR="00513002" w:rsidRPr="00513002" w:rsidRDefault="005130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02E1D" w14:textId="77777777" w:rsidR="00064002" w:rsidRPr="0051300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A60B" w14:textId="77777777" w:rsidR="00064002" w:rsidRPr="0051300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7033" w14:textId="77777777" w:rsidR="00064002" w:rsidRPr="005130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0733101">
    <w:abstractNumId w:val="9"/>
  </w:num>
  <w:num w:numId="2" w16cid:durableId="911085447">
    <w:abstractNumId w:val="9"/>
  </w:num>
  <w:num w:numId="3" w16cid:durableId="34425239">
    <w:abstractNumId w:val="7"/>
  </w:num>
  <w:num w:numId="4" w16cid:durableId="391275695">
    <w:abstractNumId w:val="7"/>
  </w:num>
  <w:num w:numId="5" w16cid:durableId="577251120">
    <w:abstractNumId w:val="6"/>
  </w:num>
  <w:num w:numId="6" w16cid:durableId="890462252">
    <w:abstractNumId w:val="6"/>
  </w:num>
  <w:num w:numId="7" w16cid:durableId="1622373502">
    <w:abstractNumId w:val="5"/>
  </w:num>
  <w:num w:numId="8" w16cid:durableId="1717966454">
    <w:abstractNumId w:val="5"/>
  </w:num>
  <w:num w:numId="9" w16cid:durableId="1299533397">
    <w:abstractNumId w:val="4"/>
  </w:num>
  <w:num w:numId="10" w16cid:durableId="1414427975">
    <w:abstractNumId w:val="4"/>
  </w:num>
  <w:num w:numId="11" w16cid:durableId="356125130">
    <w:abstractNumId w:val="8"/>
  </w:num>
  <w:num w:numId="12" w16cid:durableId="2018842061">
    <w:abstractNumId w:val="8"/>
  </w:num>
  <w:num w:numId="13" w16cid:durableId="831872628">
    <w:abstractNumId w:val="3"/>
  </w:num>
  <w:num w:numId="14" w16cid:durableId="448550419">
    <w:abstractNumId w:val="3"/>
  </w:num>
  <w:num w:numId="15" w16cid:durableId="1294826866">
    <w:abstractNumId w:val="2"/>
  </w:num>
  <w:num w:numId="16" w16cid:durableId="1163350028">
    <w:abstractNumId w:val="2"/>
  </w:num>
  <w:num w:numId="17" w16cid:durableId="1013066519">
    <w:abstractNumId w:val="1"/>
  </w:num>
  <w:num w:numId="18" w16cid:durableId="1662732664">
    <w:abstractNumId w:val="1"/>
  </w:num>
  <w:num w:numId="19" w16cid:durableId="10035956">
    <w:abstractNumId w:val="0"/>
  </w:num>
  <w:num w:numId="20" w16cid:durableId="441071223">
    <w:abstractNumId w:val="0"/>
  </w:num>
  <w:num w:numId="21" w16cid:durableId="399447984">
    <w:abstractNumId w:val="9"/>
  </w:num>
  <w:num w:numId="22" w16cid:durableId="356781179">
    <w:abstractNumId w:val="7"/>
  </w:num>
  <w:num w:numId="23" w16cid:durableId="1763380748">
    <w:abstractNumId w:val="6"/>
  </w:num>
  <w:num w:numId="24" w16cid:durableId="713778199">
    <w:abstractNumId w:val="5"/>
  </w:num>
  <w:num w:numId="25" w16cid:durableId="1478566674">
    <w:abstractNumId w:val="4"/>
  </w:num>
  <w:num w:numId="26" w16cid:durableId="86463830">
    <w:abstractNumId w:val="8"/>
  </w:num>
  <w:num w:numId="27" w16cid:durableId="1019311657">
    <w:abstractNumId w:val="3"/>
  </w:num>
  <w:num w:numId="28" w16cid:durableId="1502425212">
    <w:abstractNumId w:val="2"/>
  </w:num>
  <w:num w:numId="29" w16cid:durableId="632684697">
    <w:abstractNumId w:val="1"/>
  </w:num>
  <w:num w:numId="30" w16cid:durableId="801192810">
    <w:abstractNumId w:val="0"/>
  </w:num>
  <w:num w:numId="31" w16cid:durableId="1419673063">
    <w:abstractNumId w:val="9"/>
  </w:num>
  <w:num w:numId="32" w16cid:durableId="1640189833">
    <w:abstractNumId w:val="7"/>
  </w:num>
  <w:num w:numId="33" w16cid:durableId="1635214551">
    <w:abstractNumId w:val="6"/>
  </w:num>
  <w:num w:numId="34" w16cid:durableId="2046636166">
    <w:abstractNumId w:val="5"/>
  </w:num>
  <w:num w:numId="35" w16cid:durableId="1016537324">
    <w:abstractNumId w:val="4"/>
  </w:num>
  <w:num w:numId="36" w16cid:durableId="600532779">
    <w:abstractNumId w:val="8"/>
  </w:num>
  <w:num w:numId="37" w16cid:durableId="63065219">
    <w:abstractNumId w:val="3"/>
  </w:num>
  <w:num w:numId="38" w16cid:durableId="727654649">
    <w:abstractNumId w:val="2"/>
  </w:num>
  <w:num w:numId="39" w16cid:durableId="812798438">
    <w:abstractNumId w:val="1"/>
  </w:num>
  <w:num w:numId="40" w16cid:durableId="20516691">
    <w:abstractNumId w:val="0"/>
  </w:num>
  <w:num w:numId="41" w16cid:durableId="1286038304">
    <w:abstractNumId w:val="10"/>
  </w:num>
  <w:num w:numId="42" w16cid:durableId="138229988">
    <w:abstractNumId w:val="10"/>
  </w:num>
  <w:num w:numId="43" w16cid:durableId="1494687854">
    <w:abstractNumId w:val="10"/>
  </w:num>
  <w:num w:numId="44" w16cid:durableId="1504204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LV"/>
    <w:docVar w:name="dvnumam" w:val="0"/>
    <w:docVar w:name="dvpe" w:val="782.416"/>
    <w:docVar w:name="dvrapporteur" w:val="Referents: "/>
    <w:docVar w:name="dvtitre" w:val="Eiropas Parlamenta 2026. gada XX. XXX  rezolūcija par priekšlikumu Eiropas Parlamenta un Padomes lēmumam par Eiropas Globalizācijas pielāgošanās fonda darbu zaudējušiem darba ņēmējiem izmantošanu saistībā ar Beļģijas iesniegto pieteikumu (EGF/2025/004 BE/Tupperware) (COM(2026)0001 – C10-0012/2026 – 2026/0004(BUD))"/>
  </w:docVars>
  <w:rsids>
    <w:rsidRoot w:val="00752EE6"/>
    <w:rsid w:val="00002272"/>
    <w:rsid w:val="00064002"/>
    <w:rsid w:val="000677B9"/>
    <w:rsid w:val="000831BA"/>
    <w:rsid w:val="000A42CC"/>
    <w:rsid w:val="000E7DD9"/>
    <w:rsid w:val="0010095E"/>
    <w:rsid w:val="00125B37"/>
    <w:rsid w:val="00187494"/>
    <w:rsid w:val="001F32AE"/>
    <w:rsid w:val="00246394"/>
    <w:rsid w:val="00266D98"/>
    <w:rsid w:val="002767FF"/>
    <w:rsid w:val="00296FC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002"/>
    <w:rsid w:val="00514517"/>
    <w:rsid w:val="00545827"/>
    <w:rsid w:val="00560270"/>
    <w:rsid w:val="005C2568"/>
    <w:rsid w:val="005F1B17"/>
    <w:rsid w:val="006037C0"/>
    <w:rsid w:val="006631B6"/>
    <w:rsid w:val="00680577"/>
    <w:rsid w:val="006F74FA"/>
    <w:rsid w:val="00731ADD"/>
    <w:rsid w:val="00734777"/>
    <w:rsid w:val="00741BDB"/>
    <w:rsid w:val="00747932"/>
    <w:rsid w:val="00751A4A"/>
    <w:rsid w:val="00752EE6"/>
    <w:rsid w:val="00756632"/>
    <w:rsid w:val="00762C74"/>
    <w:rsid w:val="00786EC0"/>
    <w:rsid w:val="007D1690"/>
    <w:rsid w:val="007E22AD"/>
    <w:rsid w:val="00817416"/>
    <w:rsid w:val="00842779"/>
    <w:rsid w:val="0085270B"/>
    <w:rsid w:val="00865F67"/>
    <w:rsid w:val="00881A7B"/>
    <w:rsid w:val="008840E5"/>
    <w:rsid w:val="00887B3E"/>
    <w:rsid w:val="008A64C7"/>
    <w:rsid w:val="008C2AC6"/>
    <w:rsid w:val="00930C23"/>
    <w:rsid w:val="0093193B"/>
    <w:rsid w:val="009509D8"/>
    <w:rsid w:val="00950B64"/>
    <w:rsid w:val="00981893"/>
    <w:rsid w:val="00A1687D"/>
    <w:rsid w:val="00A43E52"/>
    <w:rsid w:val="00A4678D"/>
    <w:rsid w:val="00A778C7"/>
    <w:rsid w:val="00AA6140"/>
    <w:rsid w:val="00AB441E"/>
    <w:rsid w:val="00AB5A83"/>
    <w:rsid w:val="00AB6293"/>
    <w:rsid w:val="00AE0928"/>
    <w:rsid w:val="00AF3B82"/>
    <w:rsid w:val="00B12E95"/>
    <w:rsid w:val="00B22876"/>
    <w:rsid w:val="00B558F0"/>
    <w:rsid w:val="00B56E7C"/>
    <w:rsid w:val="00B83BD1"/>
    <w:rsid w:val="00BD48FE"/>
    <w:rsid w:val="00BD7BD8"/>
    <w:rsid w:val="00BE6ADC"/>
    <w:rsid w:val="00C05BFE"/>
    <w:rsid w:val="00C23CD4"/>
    <w:rsid w:val="00C61C0C"/>
    <w:rsid w:val="00C941CB"/>
    <w:rsid w:val="00CC2357"/>
    <w:rsid w:val="00CD41EB"/>
    <w:rsid w:val="00CE7300"/>
    <w:rsid w:val="00CF071A"/>
    <w:rsid w:val="00D058B8"/>
    <w:rsid w:val="00D437D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4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6EC5F"/>
  <w15:chartTrackingRefBased/>
  <w15:docId w15:val="{09D4F6AE-3236-4684-88F3-B250CB2C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AA6140"/>
    <w:pPr>
      <w:keepNext/>
      <w:spacing w:after="480"/>
      <w:jc w:val="center"/>
    </w:pPr>
    <w:rPr>
      <w:rFonts w:ascii="Arial" w:hAnsi="Arial" w:cs="Arial"/>
      <w:b/>
    </w:rPr>
  </w:style>
  <w:style w:type="paragraph" w:customStyle="1" w:styleId="NormalBold">
    <w:name w:val="NormalBold"/>
    <w:basedOn w:val="Normal"/>
    <w:rsid w:val="00AA6140"/>
    <w:rPr>
      <w:b/>
    </w:rPr>
  </w:style>
  <w:style w:type="paragraph" w:customStyle="1" w:styleId="NormalHanging12a">
    <w:name w:val="NormalHanging12a"/>
    <w:basedOn w:val="Normal"/>
    <w:link w:val="NormalHanging12aChar"/>
    <w:rsid w:val="00AA6140"/>
    <w:pPr>
      <w:spacing w:after="240"/>
      <w:ind w:left="567" w:hanging="567"/>
    </w:pPr>
  </w:style>
  <w:style w:type="paragraph" w:customStyle="1" w:styleId="EPComma">
    <w:name w:val="EPComma"/>
    <w:basedOn w:val="Normal"/>
    <w:rsid w:val="00AA6140"/>
    <w:pPr>
      <w:spacing w:before="480" w:after="240"/>
    </w:pPr>
  </w:style>
  <w:style w:type="character" w:styleId="Hyperlink">
    <w:name w:val="Hyperlink"/>
    <w:basedOn w:val="DefaultParagraphFont"/>
    <w:uiPriority w:val="99"/>
    <w:rsid w:val="00AA6140"/>
    <w:rPr>
      <w:color w:val="0563C1" w:themeColor="hyperlink"/>
      <w:u w:val="single"/>
    </w:rPr>
  </w:style>
  <w:style w:type="paragraph" w:customStyle="1" w:styleId="Institutionquiagit">
    <w:name w:val="Institution qui agit"/>
    <w:basedOn w:val="Normal"/>
    <w:next w:val="Normal"/>
    <w:rsid w:val="00AA614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A6140"/>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AA614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A614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A614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A6140"/>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AA6140"/>
    <w:rPr>
      <w:rFonts w:ascii="Arial" w:hAnsi="Arial" w:cs="Arial"/>
      <w:b/>
      <w:sz w:val="24"/>
      <w:lang w:val="lv-LV"/>
    </w:rPr>
  </w:style>
  <w:style w:type="character" w:customStyle="1" w:styleId="NormalHanging12aChar">
    <w:name w:val="NormalHanging12a Char"/>
    <w:basedOn w:val="DefaultParagraphFont"/>
    <w:link w:val="NormalHanging12a"/>
    <w:locked/>
    <w:rsid w:val="00AA6140"/>
    <w:rPr>
      <w:sz w:val="24"/>
      <w:lang w:val="lv-LV"/>
    </w:rPr>
  </w:style>
  <w:style w:type="paragraph" w:customStyle="1" w:styleId="Personnequisigne">
    <w:name w:val="Personne qui signe"/>
    <w:basedOn w:val="Normal"/>
    <w:next w:val="Institutionquisigne"/>
    <w:rsid w:val="00AA6140"/>
    <w:pPr>
      <w:widowControl/>
      <w:tabs>
        <w:tab w:val="left" w:pos="4252"/>
      </w:tabs>
    </w:pPr>
    <w:rPr>
      <w:rFonts w:eastAsiaTheme="minorHAnsi"/>
      <w:i/>
      <w:szCs w:val="22"/>
      <w:lang w:eastAsia="en-US"/>
    </w:rPr>
  </w:style>
  <w:style w:type="paragraph" w:styleId="Header">
    <w:name w:val="header"/>
    <w:basedOn w:val="Normal"/>
    <w:link w:val="HeaderChar"/>
    <w:rsid w:val="00513002"/>
    <w:pPr>
      <w:tabs>
        <w:tab w:val="center" w:pos="4513"/>
        <w:tab w:val="right" w:pos="9026"/>
      </w:tabs>
    </w:pPr>
  </w:style>
  <w:style w:type="character" w:customStyle="1" w:styleId="HeaderChar">
    <w:name w:val="Header Char"/>
    <w:basedOn w:val="DefaultParagraphFont"/>
    <w:link w:val="Header"/>
    <w:rsid w:val="00513002"/>
    <w:rPr>
      <w:sz w:val="24"/>
      <w:lang w:val="lv-LV"/>
    </w:rPr>
  </w:style>
  <w:style w:type="paragraph" w:styleId="Footer">
    <w:name w:val="footer"/>
    <w:basedOn w:val="Normal"/>
    <w:link w:val="FooterChar"/>
    <w:rsid w:val="00513002"/>
    <w:pPr>
      <w:tabs>
        <w:tab w:val="center" w:pos="4513"/>
        <w:tab w:val="right" w:pos="9026"/>
      </w:tabs>
    </w:pPr>
  </w:style>
  <w:style w:type="character" w:customStyle="1" w:styleId="FooterChar">
    <w:name w:val="Footer Char"/>
    <w:basedOn w:val="DefaultParagraphFont"/>
    <w:link w:val="Footer"/>
    <w:rsid w:val="00513002"/>
    <w:rPr>
      <w:sz w:val="24"/>
      <w:lang w:val="lv-LV"/>
    </w:rPr>
  </w:style>
  <w:style w:type="paragraph" w:styleId="Revision">
    <w:name w:val="Revision"/>
    <w:hidden/>
    <w:uiPriority w:val="99"/>
    <w:semiHidden/>
    <w:rsid w:val="008A64C7"/>
    <w:rPr>
      <w:sz w:val="24"/>
      <w:lang w:val="lv-LV"/>
    </w:rPr>
  </w:style>
  <w:style w:type="paragraph" w:customStyle="1" w:styleId="Normal24Bold">
    <w:name w:val="Normal24Bold"/>
    <w:basedOn w:val="Normal"/>
    <w:rsid w:val="00CE7300"/>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8883</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ILLY_D</cp:lastModifiedBy>
  <cp:revision>2</cp:revision>
  <cp:lastPrinted>2004-11-19T15:42:00Z</cp:lastPrinted>
  <dcterms:created xsi:type="dcterms:W3CDTF">2026-06-08T16:57:00Z</dcterms:created>
  <dcterms:modified xsi:type="dcterms:W3CDTF">2026-06-08T16:57:00Z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P10_TA(2026)0073_</vt:lpwstr>
  </property>
  <property fmtid="{D5CDD505-2E9C-101B-9397-08002B2CF9AE}" pid="4" name="&lt;Type&gt;">
    <vt:lpwstr>RR</vt:lpwstr>
  </property>
</Properties>
</file>