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114F" w14:paraId="4FE95B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62277F" w14:textId="1B10907D" w:rsidR="00751A4A" w:rsidRPr="0099114F" w:rsidRDefault="00E31A19" w:rsidP="0010095E">
            <w:pPr>
              <w:pStyle w:val="EPName"/>
            </w:pPr>
            <w:r w:rsidRPr="0099114F">
              <w:t>Parlament Europejski</w:t>
            </w:r>
          </w:p>
          <w:p w14:paraId="23923703" w14:textId="77777777" w:rsidR="00751A4A" w:rsidRPr="009911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114F">
              <w:t>2024</w:t>
            </w:r>
            <w:r w:rsidR="00817416" w:rsidRPr="0099114F">
              <w:t>-202</w:t>
            </w:r>
            <w:r w:rsidRPr="0099114F">
              <w:t>9</w:t>
            </w:r>
          </w:p>
        </w:tc>
        <w:tc>
          <w:tcPr>
            <w:tcW w:w="2268" w:type="dxa"/>
            <w:shd w:val="clear" w:color="auto" w:fill="auto"/>
          </w:tcPr>
          <w:p w14:paraId="3B553BF1" w14:textId="77777777" w:rsidR="00751A4A" w:rsidRPr="0099114F" w:rsidRDefault="00187494" w:rsidP="0010095E">
            <w:pPr>
              <w:pStyle w:val="EPLogo"/>
            </w:pPr>
            <w:r w:rsidRPr="0099114F">
              <w:rPr>
                <w:noProof/>
                <w:lang w:eastAsia="ja-JP"/>
              </w:rPr>
              <w:drawing>
                <wp:inline distT="0" distB="0" distL="0" distR="0" wp14:anchorId="50BF71CA" wp14:editId="5B7D22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748E3C" w14:textId="77777777" w:rsidR="00D058B8" w:rsidRPr="0099114F" w:rsidRDefault="00D058B8" w:rsidP="004C5D52">
      <w:pPr>
        <w:pStyle w:val="LineTop"/>
      </w:pPr>
    </w:p>
    <w:p w14:paraId="008172CF" w14:textId="0A27DD2D" w:rsidR="00680577" w:rsidRPr="0099114F" w:rsidRDefault="00E31A19" w:rsidP="00680577">
      <w:pPr>
        <w:pStyle w:val="EPBodyTA1"/>
      </w:pPr>
      <w:r w:rsidRPr="0099114F">
        <w:t>TEKSTY PRZYJĘTE</w:t>
      </w:r>
    </w:p>
    <w:p w14:paraId="011E2EF8" w14:textId="77777777" w:rsidR="00D058B8" w:rsidRPr="0099114F" w:rsidRDefault="00D058B8" w:rsidP="00D058B8">
      <w:pPr>
        <w:pStyle w:val="LineBottom"/>
      </w:pPr>
    </w:p>
    <w:p w14:paraId="11F76964" w14:textId="73A0975F" w:rsidR="00E31A19" w:rsidRPr="0099114F" w:rsidRDefault="00E31A19" w:rsidP="00E31A19">
      <w:pPr>
        <w:pStyle w:val="ATHeading1"/>
      </w:pPr>
      <w:bookmarkStart w:id="0" w:name="TANumber"/>
      <w:r w:rsidRPr="0099114F">
        <w:t>P10_TA(2026)00</w:t>
      </w:r>
      <w:bookmarkEnd w:id="0"/>
      <w:r w:rsidR="007007A3">
        <w:t>73</w:t>
      </w:r>
    </w:p>
    <w:p w14:paraId="3574B9BC" w14:textId="77777777" w:rsidR="00E31A19" w:rsidRPr="0099114F" w:rsidRDefault="00E31A19" w:rsidP="00E31A19">
      <w:pPr>
        <w:pStyle w:val="ATHeading2"/>
      </w:pPr>
      <w:bookmarkStart w:id="1" w:name="title"/>
      <w:r w:rsidRPr="0099114F">
        <w:t xml:space="preserve">Uruchomienie Europejskiego Funduszu Dostosowania do Globalizacji dla Zwalnianych Pracowników: wniosek EGF/2025/004 BE/ </w:t>
      </w:r>
      <w:proofErr w:type="spellStart"/>
      <w:r w:rsidRPr="0099114F">
        <w:t>Tupperware</w:t>
      </w:r>
      <w:proofErr w:type="spellEnd"/>
      <w:r w:rsidRPr="0099114F">
        <w:t xml:space="preserve"> – Belgia</w:t>
      </w:r>
      <w:bookmarkEnd w:id="1"/>
    </w:p>
    <w:p w14:paraId="03DDDD71" w14:textId="77777777" w:rsidR="00E31A19" w:rsidRPr="0099114F" w:rsidRDefault="00E31A19" w:rsidP="00E31A19">
      <w:pPr>
        <w:rPr>
          <w:i/>
          <w:vanish/>
        </w:rPr>
      </w:pPr>
      <w:r w:rsidRPr="0099114F">
        <w:rPr>
          <w:i/>
        </w:rPr>
        <w:fldChar w:fldCharType="begin"/>
      </w:r>
      <w:r w:rsidRPr="0099114F">
        <w:rPr>
          <w:i/>
        </w:rPr>
        <w:instrText xml:space="preserve"> TC"(</w:instrText>
      </w:r>
      <w:bookmarkStart w:id="2" w:name="DocNumber"/>
      <w:r w:rsidRPr="0099114F">
        <w:rPr>
          <w:i/>
        </w:rPr>
        <w:instrText>A10-0030/2026</w:instrText>
      </w:r>
      <w:bookmarkEnd w:id="2"/>
      <w:r w:rsidRPr="0099114F">
        <w:rPr>
          <w:i/>
        </w:rPr>
        <w:instrText xml:space="preserve"> - Sprawozdawca: Jean-Marc Germain)"\l3 \n&gt; \* MERGEFORMAT </w:instrText>
      </w:r>
      <w:r w:rsidRPr="0099114F">
        <w:rPr>
          <w:i/>
        </w:rPr>
        <w:fldChar w:fldCharType="end"/>
      </w:r>
    </w:p>
    <w:p w14:paraId="4C09BB00" w14:textId="77777777" w:rsidR="00E31A19" w:rsidRPr="0099114F" w:rsidRDefault="00E31A19" w:rsidP="00E31A19">
      <w:pPr>
        <w:rPr>
          <w:vanish/>
        </w:rPr>
      </w:pPr>
      <w:bookmarkStart w:id="3" w:name="Commission"/>
      <w:r w:rsidRPr="0099114F">
        <w:rPr>
          <w:vanish/>
        </w:rPr>
        <w:t>Komisja Budżetowa</w:t>
      </w:r>
      <w:bookmarkEnd w:id="3"/>
    </w:p>
    <w:p w14:paraId="61EAB1B2" w14:textId="77777777" w:rsidR="00E31A19" w:rsidRPr="0099114F" w:rsidRDefault="00E31A19" w:rsidP="00E31A19">
      <w:pPr>
        <w:rPr>
          <w:vanish/>
        </w:rPr>
      </w:pPr>
      <w:bookmarkStart w:id="4" w:name="PE"/>
      <w:r w:rsidRPr="0099114F">
        <w:rPr>
          <w:vanish/>
        </w:rPr>
        <w:t>PE782.416</w:t>
      </w:r>
      <w:bookmarkEnd w:id="4"/>
    </w:p>
    <w:p w14:paraId="19B88FD2" w14:textId="4F3B5FED" w:rsidR="00E31A19" w:rsidRPr="0099114F" w:rsidRDefault="00E31A19" w:rsidP="00E31A19">
      <w:pPr>
        <w:pStyle w:val="ATHeading3"/>
      </w:pPr>
      <w:bookmarkStart w:id="5" w:name="Sujet"/>
      <w:r w:rsidRPr="0099114F">
        <w:t xml:space="preserve">Rezolucja Parlamentu Europejskiego z dnia </w:t>
      </w:r>
      <w:r w:rsidR="00713849">
        <w:t>11</w:t>
      </w:r>
      <w:r w:rsidRPr="0099114F">
        <w:t xml:space="preserve"> </w:t>
      </w:r>
      <w:r w:rsidR="00713849">
        <w:t xml:space="preserve">marca </w:t>
      </w:r>
      <w:r w:rsidRPr="0099114F">
        <w:t>2026 r. w sprawie wniosku dotyczącego decyzji Parlamentu Europejskiego i Rady w sprawie uruchomienia Europejskiego Funduszu Dostosowania do Globalizacji dla Zwalnianych Pracowników w następstwie wniosku złożonego przez Belgię – EGF/2025/004 BE/</w:t>
      </w:r>
      <w:proofErr w:type="spellStart"/>
      <w:r w:rsidRPr="0099114F">
        <w:t>Tupperware</w:t>
      </w:r>
      <w:proofErr w:type="spellEnd"/>
      <w:r w:rsidRPr="0099114F">
        <w:t xml:space="preserve"> </w:t>
      </w:r>
      <w:bookmarkStart w:id="6" w:name="References"/>
      <w:bookmarkEnd w:id="5"/>
      <w:r w:rsidRPr="0099114F">
        <w:t>(COM(2026)0001 – C10-0012/2026 – 2026/0004(BUD))</w:t>
      </w:r>
      <w:bookmarkEnd w:id="6"/>
    </w:p>
    <w:p w14:paraId="369638AA" w14:textId="77777777" w:rsidR="00B45162" w:rsidRPr="0099114F" w:rsidRDefault="00B45162" w:rsidP="00B45162">
      <w:pPr>
        <w:pStyle w:val="EPComma"/>
        <w:rPr>
          <w:noProof/>
        </w:rPr>
      </w:pPr>
      <w:r w:rsidRPr="0099114F">
        <w:rPr>
          <w:i/>
        </w:rPr>
        <w:t>Parlament Europejski</w:t>
      </w:r>
      <w:r w:rsidRPr="0099114F">
        <w:t>,</w:t>
      </w:r>
    </w:p>
    <w:p w14:paraId="3C08B08B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–</w:t>
      </w:r>
      <w:r w:rsidRPr="0099114F">
        <w:tab/>
        <w:t>uwzględniając wniosek Komisji przedłożony Parlamentowi Europejskiemu i Radzie (COM(2026)0001 – C10</w:t>
      </w:r>
      <w:r w:rsidRPr="0099114F">
        <w:noBreakHyphen/>
        <w:t>0012/2026),</w:t>
      </w:r>
    </w:p>
    <w:p w14:paraId="346995B8" w14:textId="77777777" w:rsidR="00B45162" w:rsidRPr="0099114F" w:rsidRDefault="00B45162" w:rsidP="00B45162">
      <w:pPr>
        <w:pStyle w:val="NormalHanging12a"/>
      </w:pPr>
      <w:r w:rsidRPr="0099114F">
        <w:t>–</w:t>
      </w:r>
      <w:r w:rsidRPr="0099114F">
        <w:tab/>
        <w:t>uwzględniając rozporządzenie Parlamentu Europejskiego i Rady (UE) 2021/691 z dnia 28 kwietnia 2021 r. w sprawie Europejskiego Funduszu Dostosowania do Globalizacji dla Zwalnianych Pracowników (EFG) oraz uchylenia rozporządzenia (UE) nr 1309/2013</w:t>
      </w:r>
      <w:r w:rsidRPr="0099114F">
        <w:rPr>
          <w:vertAlign w:val="superscript"/>
        </w:rPr>
        <w:footnoteReference w:id="1"/>
      </w:r>
      <w:r w:rsidRPr="0099114F">
        <w:t xml:space="preserve"> („rozporządzenie w sprawie EFG”), </w:t>
      </w:r>
    </w:p>
    <w:p w14:paraId="51A189C9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–</w:t>
      </w:r>
      <w:r w:rsidRPr="0099114F">
        <w:tab/>
        <w:t xml:space="preserve">uwzględniając rozporządzenie Rady (UE, </w:t>
      </w:r>
      <w:proofErr w:type="spellStart"/>
      <w:r w:rsidRPr="0099114F">
        <w:t>Euratom</w:t>
      </w:r>
      <w:proofErr w:type="spellEnd"/>
      <w:r w:rsidRPr="0099114F">
        <w:t>) 2020/2093 z dnia 17 grudnia 2020 r. określające wieloletnie ramy finansowe na lata 2021−2027</w:t>
      </w:r>
      <w:r w:rsidRPr="0099114F">
        <w:rPr>
          <w:noProof/>
          <w:vertAlign w:val="superscript"/>
        </w:rPr>
        <w:footnoteReference w:id="2"/>
      </w:r>
      <w:r w:rsidRPr="0099114F">
        <w:t xml:space="preserve">, zmienione rozporządzeniem (UE, </w:t>
      </w:r>
      <w:proofErr w:type="spellStart"/>
      <w:r w:rsidRPr="0099114F">
        <w:t>Euratom</w:t>
      </w:r>
      <w:proofErr w:type="spellEnd"/>
      <w:r w:rsidRPr="0099114F">
        <w:t>) 2024/765</w:t>
      </w:r>
      <w:r w:rsidRPr="0099114F">
        <w:rPr>
          <w:noProof/>
          <w:vertAlign w:val="superscript"/>
        </w:rPr>
        <w:footnoteReference w:id="3"/>
      </w:r>
      <w:r w:rsidRPr="0099114F">
        <w:t xml:space="preserve"> („rozporządzenie w sprawie WRF”), w szczególności jego art. 8, </w:t>
      </w:r>
    </w:p>
    <w:p w14:paraId="3D2FCAF9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–</w:t>
      </w:r>
      <w:r w:rsidRPr="0099114F">
        <w:tab/>
        <w:t xml:space="preserve">uwzględniając Porozumienie międzyinstytucjonalne z dnia 16 grudnia 2020 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99114F">
        <w:lastRenderedPageBreak/>
        <w:t>wprowadzania nowych zasobów własnych</w:t>
      </w:r>
      <w:r w:rsidRPr="0099114F">
        <w:rPr>
          <w:rStyle w:val="FootnoteReference"/>
          <w:noProof/>
        </w:rPr>
        <w:footnoteReference w:id="4"/>
      </w:r>
      <w:r w:rsidRPr="0099114F">
        <w:t>, w szczególności jego pkt 9,</w:t>
      </w:r>
    </w:p>
    <w:p w14:paraId="6D8A7BF6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–</w:t>
      </w:r>
      <w:r w:rsidRPr="0099114F">
        <w:tab/>
        <w:t>uwzględniając Europejski filar praw socjalnych,</w:t>
      </w:r>
    </w:p>
    <w:p w14:paraId="74C26D79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–</w:t>
      </w:r>
      <w:r w:rsidRPr="0099114F">
        <w:tab/>
        <w:t>uwzględniając opinię przedstawioną przez Komisję Zatrudnienia i Spraw Socjalnych,</w:t>
      </w:r>
    </w:p>
    <w:p w14:paraId="61EEA461" w14:textId="77777777" w:rsidR="00B45162" w:rsidRPr="0099114F" w:rsidRDefault="00B45162" w:rsidP="00B45162">
      <w:pPr>
        <w:pStyle w:val="NormalHanging12a"/>
      </w:pPr>
      <w:r w:rsidRPr="0099114F">
        <w:t>–</w:t>
      </w:r>
      <w:r w:rsidRPr="0099114F">
        <w:tab/>
        <w:t>uwzględniając sprawozdanie Komisji Budżetowej (A10-0030/2026),</w:t>
      </w:r>
    </w:p>
    <w:p w14:paraId="1B250CF5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A.</w:t>
      </w:r>
      <w:r w:rsidRPr="0099114F">
        <w:tab/>
        <w:t>mając na uwadze, że Unia opracowała instrumenty ustawodawcze i budżetowe, za pomocą których udziela dodatkowego wsparcia pracownikom dotkniętym skutkami istotnych działań restrukturyzacyjnych i zmian w strukturze światowego handlu oraz ułatwia im powrót na rynek pracy; mając na uwadze, że pomoc ta ma formę wsparcia finansowego dla pracowników;</w:t>
      </w:r>
    </w:p>
    <w:p w14:paraId="776EE62C" w14:textId="13A3C612" w:rsidR="00B45162" w:rsidRPr="0099114F" w:rsidRDefault="00B45162" w:rsidP="00B45162">
      <w:pPr>
        <w:pStyle w:val="NormalHanging12a"/>
        <w:rPr>
          <w:noProof/>
        </w:rPr>
      </w:pPr>
      <w:r w:rsidRPr="0099114F">
        <w:t>B.</w:t>
      </w:r>
      <w:r w:rsidRPr="0099114F">
        <w:tab/>
        <w:t>mając na uwadze, że Belgia złożyła wniosek EGF/2025/004 BE/</w:t>
      </w:r>
      <w:proofErr w:type="spellStart"/>
      <w:r w:rsidRPr="0099114F">
        <w:t>Tupperware</w:t>
      </w:r>
      <w:proofErr w:type="spellEnd"/>
      <w:r w:rsidRPr="0099114F">
        <w:t xml:space="preserve"> o przyznanie wkładu finansowego z</w:t>
      </w:r>
      <w:r w:rsidR="00713849">
        <w:t xml:space="preserve"> </w:t>
      </w:r>
      <w:r w:rsidR="00713849" w:rsidRPr="0099114F">
        <w:t>Europejskiego Funduszu Dostosowania do Globalizacji</w:t>
      </w:r>
      <w:r w:rsidRPr="0099114F">
        <w:t xml:space="preserve"> </w:t>
      </w:r>
      <w:r w:rsidR="00713849">
        <w:t>(</w:t>
      </w:r>
      <w:r w:rsidRPr="0099114F">
        <w:t>EFG</w:t>
      </w:r>
      <w:r w:rsidR="00713849">
        <w:t>)</w:t>
      </w:r>
      <w:r w:rsidRPr="0099114F">
        <w:t xml:space="preserve"> w związku ze zwolnieniem 267 pracowników</w:t>
      </w:r>
      <w:r w:rsidRPr="0099114F">
        <w:rPr>
          <w:noProof/>
          <w:vertAlign w:val="superscript"/>
        </w:rPr>
        <w:footnoteReference w:id="5"/>
      </w:r>
      <w:r w:rsidRPr="0099114F">
        <w:t xml:space="preserve"> w przedsiębiorstwie </w:t>
      </w:r>
      <w:proofErr w:type="spellStart"/>
      <w:r w:rsidRPr="0099114F">
        <w:t>Tupperware</w:t>
      </w:r>
      <w:proofErr w:type="spellEnd"/>
      <w:r w:rsidRPr="0099114F">
        <w:t xml:space="preserve"> General Services NV (</w:t>
      </w:r>
      <w:proofErr w:type="spellStart"/>
      <w:r w:rsidRPr="0099114F">
        <w:t>Tupperware</w:t>
      </w:r>
      <w:proofErr w:type="spellEnd"/>
      <w:r w:rsidRPr="0099114F">
        <w:t xml:space="preserve">) w sektorze gospodarki zaklasyfikowanym do działu 22 według NACE </w:t>
      </w:r>
      <w:proofErr w:type="spellStart"/>
      <w:r w:rsidRPr="0099114F">
        <w:t>Revision</w:t>
      </w:r>
      <w:proofErr w:type="spellEnd"/>
      <w:r w:rsidRPr="0099114F">
        <w:t xml:space="preserve"> 2 (Produkcja wyrobów z gumy i tworzyw sztucznych) w prowincji Flandria Wschodnia (BE23) w okresie odniesienia od 17 lutego 2025 r. do 17 czerwca 2025 r.; </w:t>
      </w:r>
    </w:p>
    <w:p w14:paraId="748117A6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C.</w:t>
      </w:r>
      <w:r w:rsidRPr="0099114F">
        <w:tab/>
        <w:t xml:space="preserve">mając na uwadze, że wniosek opiera się na kryterium interwencji określonym w art. 4 ust. 2 lit. a) rozporządzenia w sprawie EFG, zgodnie z którym w przedsiębiorstwie w państwie członkowskim musi dojść do zaprzestania działalności co najmniej 200 zwalnianych pracowników lub osób prowadzących działalność na własny rachunek w czteromiesięcznym okresie odniesienia; </w:t>
      </w:r>
    </w:p>
    <w:p w14:paraId="17752A47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D.</w:t>
      </w:r>
      <w:r w:rsidRPr="0099114F">
        <w:tab/>
        <w:t xml:space="preserve">mając na uwadze, że 17 lutego 2025 r. firma </w:t>
      </w:r>
      <w:proofErr w:type="spellStart"/>
      <w:r w:rsidRPr="0099114F">
        <w:t>Tupperware</w:t>
      </w:r>
      <w:proofErr w:type="spellEnd"/>
      <w:r w:rsidRPr="0099114F">
        <w:t xml:space="preserve"> złożyła wniosek o ogłoszenie upadłości; mając na uwadze, że w Belgii od 2022 r. obserwuje się wzrost liczby upadłości przedsiębiorstw;</w:t>
      </w:r>
    </w:p>
    <w:p w14:paraId="04E399B9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E.</w:t>
      </w:r>
      <w:r w:rsidRPr="0099114F">
        <w:tab/>
        <w:t>mając na uwadze, że Belgia oświadczyła, że VDAB zapewnia krajowe finansowanie w formie płatności zaliczkowej lub współfinansowanie krajowe;</w:t>
      </w:r>
    </w:p>
    <w:p w14:paraId="2A8CFCF7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F.</w:t>
      </w:r>
      <w:r w:rsidRPr="0099114F">
        <w:tab/>
        <w:t>mając na uwadze, że spełniono wymogi przepisów unijnych i krajowych dotyczących zwolnień grupowych;</w:t>
      </w:r>
    </w:p>
    <w:p w14:paraId="7DD15064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G.</w:t>
      </w:r>
      <w:r w:rsidRPr="0099114F">
        <w:tab/>
        <w:t>mając na uwadze, że wkłady finansowe z EFG powinny być ukierunkowane przede wszystkim na środki aktywnej polityki rynku pracy i zindywidualizowane usługi, które mają na celu szybką reintegrację beneficjentów przez umożliwienie im godnego i trwałego zatrudnienia, a jednocześnie mają przygotować ich do funkcjonowania w bardziej ekologicznej i cyfrowej gospodarce europejskiej;</w:t>
      </w:r>
    </w:p>
    <w:p w14:paraId="6206032A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H.</w:t>
      </w:r>
      <w:r w:rsidRPr="0099114F">
        <w:tab/>
        <w:t>mając na uwadze, że wkłady finansowe z EFG nie mogą przekroczyć maksymalnej rocznej kwoty 30 mln EUR (w cenach z 2018 r.)</w:t>
      </w:r>
      <w:r w:rsidRPr="0099114F">
        <w:rPr>
          <w:noProof/>
          <w:vertAlign w:val="superscript"/>
        </w:rPr>
        <w:footnoteReference w:id="6"/>
      </w:r>
      <w:r w:rsidRPr="0099114F">
        <w:t xml:space="preserve">; </w:t>
      </w:r>
    </w:p>
    <w:p w14:paraId="1BB43F65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lastRenderedPageBreak/>
        <w:t>1.</w:t>
      </w:r>
      <w:r w:rsidRPr="0099114F">
        <w:tab/>
        <w:t>zgadza się z Komisją, że spełniono warunki wymienione w rozporządzeniu w sprawie EFG, a w szczególności w jego art. 4 ust. 2 lit. a), i że Belgia ma prawo do wkładu finansowego w wysokości 1 622 650 EUR na mocy tego rozporządzenia, co stanowi 85 % łącznych kosztów wynoszących 1 909 000 EUR (wliczając wydatki na zindywidualizowane usługi w wysokości 1 843 500 EUR oraz wydatki na działania przygotowawcze, zarządzanie, informacje, reklamy, kontrolę i sprawozdawczość w wysokości 65 500 EUR);</w:t>
      </w:r>
    </w:p>
    <w:p w14:paraId="6CF0D710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2.</w:t>
      </w:r>
      <w:r w:rsidRPr="0099114F">
        <w:tab/>
        <w:t>zauważa, że władze belgijskie złożyły wniosek 28 sierpnia 2025 r. oraz że Komisja – po otrzymaniu od Belgii dodatkowych informacji – zakończyła jego ocenę 20 stycznia 2026 r. (prawie pięć miesięcy później) i przekazała ją Parlamentowi tego samego dnia; podkreśla, że ważne jest skrócenie czasu między złożeniem wniosku o pomoc z EFG a decyzją w sprawie finansowania przy jednoczesnym pełnym zabezpieczeniu praw Parlamentu Europejskiego jako jednego z organów władzy budżetowej;</w:t>
      </w:r>
    </w:p>
    <w:p w14:paraId="6E7764B0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3.</w:t>
      </w:r>
      <w:r w:rsidRPr="0099114F">
        <w:tab/>
        <w:t xml:space="preserve">odnotowuje, że wniosek dotyczy 267 beneficjentów objętych pomocą, których zwolniono z przedsiębiorstwa </w:t>
      </w:r>
      <w:proofErr w:type="spellStart"/>
      <w:r w:rsidRPr="0099114F">
        <w:t>Tupperware</w:t>
      </w:r>
      <w:proofErr w:type="spellEnd"/>
      <w:r w:rsidRPr="0099114F">
        <w:t>;</w:t>
      </w:r>
    </w:p>
    <w:p w14:paraId="755EB915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4.</w:t>
      </w:r>
      <w:r w:rsidRPr="0099114F">
        <w:tab/>
        <w:t xml:space="preserve">zauważa, że </w:t>
      </w:r>
      <w:proofErr w:type="spellStart"/>
      <w:r w:rsidRPr="0099114F">
        <w:t>Tupperware</w:t>
      </w:r>
      <w:proofErr w:type="spellEnd"/>
      <w:r w:rsidRPr="0099114F">
        <w:t xml:space="preserve"> miał siedzibę w Aalst w prowincji Flandria Wschodnia, gdzie tylko co drugi mieszkaniec ma pracę, podczas gdy w regionie Flandria zatrudnienie – jeszcze przed upadłością </w:t>
      </w:r>
      <w:proofErr w:type="spellStart"/>
      <w:r w:rsidRPr="0099114F">
        <w:t>Tupperware</w:t>
      </w:r>
      <w:proofErr w:type="spellEnd"/>
      <w:r w:rsidRPr="0099114F">
        <w:t xml:space="preserve"> – miało dwie trzecie mieszkańców; ubolewa, że zwolnienia, których dotyczy wniosek, jeszcze bardziej pogorszą sytuację; podkreśla, że potrzebne są szybkie działania, aby zapobiec strukturalnemu upadkowi regionalnemu;</w:t>
      </w:r>
    </w:p>
    <w:p w14:paraId="4DEF524A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5.</w:t>
      </w:r>
      <w:r w:rsidRPr="0099114F">
        <w:tab/>
        <w:t xml:space="preserve">ubolewa, że amerykańska spółka dominująca </w:t>
      </w:r>
      <w:proofErr w:type="spellStart"/>
      <w:r w:rsidRPr="0099114F">
        <w:t>Tupperware</w:t>
      </w:r>
      <w:proofErr w:type="spellEnd"/>
      <w:r w:rsidRPr="0099114F">
        <w:t xml:space="preserve"> </w:t>
      </w:r>
      <w:proofErr w:type="spellStart"/>
      <w:r w:rsidRPr="0099114F">
        <w:t>Brands</w:t>
      </w:r>
      <w:proofErr w:type="spellEnd"/>
      <w:r w:rsidRPr="0099114F">
        <w:t xml:space="preserve"> została przejęta przez wierzycieli w październiku 2024 r. i ze względu na gruntowną restrukturyzację cofnęła produkcję i licencje przyznane </w:t>
      </w:r>
      <w:proofErr w:type="spellStart"/>
      <w:r w:rsidRPr="0099114F">
        <w:t>Tupperware</w:t>
      </w:r>
      <w:proofErr w:type="spellEnd"/>
      <w:r w:rsidRPr="0099114F">
        <w:t xml:space="preserve"> General Services NV, co sprawiło, że belgijska spółka zależna stała się nierentowna, i doprowadziło do jej upadłości 17 lutego 2025 r.; </w:t>
      </w:r>
    </w:p>
    <w:p w14:paraId="7134BDDE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6.</w:t>
      </w:r>
      <w:r w:rsidRPr="0099114F">
        <w:tab/>
        <w:t>z zadowoleniem przyjmuje inicjatywę grupy europejskich przedsiębiorców mającą na celu ożywienie marki w Niemczech, Francji, Belgii, Włoszech i Polsce;</w:t>
      </w:r>
    </w:p>
    <w:p w14:paraId="0F64D773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7.</w:t>
      </w:r>
      <w:r w:rsidRPr="0099114F">
        <w:tab/>
        <w:t>podkreśla, że we Flandrii ryzyko bezrobocia jest ponad dwukrotnie wyższe w przypadku osób o niskim poziomie wykształcenia; zauważa, że jedna trzecia zwolnionych pracowników ma co najwyżej wykształcenie średnie I stopnia; wzywa władze belgijskie do zapewnienia specjalnego wsparcia dostosowanego do takiego profilu pracowników, aby pomóc im przezwyciężyć swoje ograniczenia i znaleźć nową pracę, a jednocześnie do podjęcia środków mających na celu zmniejszenie liczby przypadków upadłości i rozwiązanie problemu dysproporcji społecznych prowadzących do wykluczenia siły roboczej;</w:t>
      </w:r>
    </w:p>
    <w:p w14:paraId="2AAA1C8A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8.</w:t>
      </w:r>
      <w:r w:rsidRPr="0099114F">
        <w:tab/>
        <w:t xml:space="preserve">przypomina, że zgodnie z porozumieniem zawartym ze związkami zawodowymi, ekspertami i partnerami społecznymi na rzecz pracowników mają być świadczone następujące spersonalizowane usługi: sesje informacyjne na temat reintegracji zawodowej, usługi w zakresie zwolnień monitorowanych, w tym szkolenia w zakresie ICT; pomoc w znalezieniu pracy poprzez poradnictwo i pomoc w poszukiwaniu zatrudnienia, szkolenia i przekwalifikowanie, targi pracy, wyszukiwanie potencjalnych ofert pracy i kojarzenie ich z pracownikami poszukującymi zatrudnienia; podkreśla, jak ważne jest wspieranie wysokiej jakości, zorientowanych na przyszłość miejsc pracy w </w:t>
      </w:r>
      <w:r w:rsidRPr="0099114F">
        <w:lastRenderedPageBreak/>
        <w:t xml:space="preserve">celu zapewnienia długoterminowej odporności gospodarczej i społecznej; wzywa władze belgijskie do nawiązania dialogu z przedstawicielami nowego europejskiego </w:t>
      </w:r>
      <w:proofErr w:type="spellStart"/>
      <w:r w:rsidRPr="0099114F">
        <w:t>Tupperware</w:t>
      </w:r>
      <w:proofErr w:type="spellEnd"/>
      <w:r w:rsidRPr="0099114F">
        <w:t xml:space="preserve"> w celu zbadania możliwości reintegracji zwolnionych pracowników w ich działalności gospodarczej;</w:t>
      </w:r>
    </w:p>
    <w:p w14:paraId="5B1591BA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9.</w:t>
      </w:r>
      <w:r w:rsidRPr="0099114F">
        <w:tab/>
        <w:t>podkreśla, że kwalifikacje i umiejętności zwolnionych pracowników pozostają kluczowe dla zadbania o to, by gospodarka europejska była odporna na zawirowania w przyszłości; uważa w związku z tym, że uruchomienie EFG musi być częścią szerszej reakcji politycznej na wszystkich szczeblach politycznych, aby zapewnić zwolnionym pracownikom odpowiednie możliwości zatrudnienia zgodne z ich kwalifikacjami i umiejętnościami; przypomina ponadto, że EFG jest instrumentem solidarności i sprawiedliwej transformacji oraz że głównym zadaniem Unii musi być przede wszystkim zapobieganie takim zamknięciom; uważa, że chociaż EFG zapewnia niezbędne wsparcie pracownikom dotkniętym zwolnieniami, silniejsza polityka przemysłowa, bardziej solidna, zrównoważona i odporna gospodarka oraz zmniejszenie strategicznych zależności mają zasadnicze znaczenie dla ochrony europejskiej bazy zatrudnienia w przemyśle;</w:t>
      </w:r>
    </w:p>
    <w:p w14:paraId="6584843B" w14:textId="77777777" w:rsidR="00B45162" w:rsidRPr="0099114F" w:rsidRDefault="00B45162" w:rsidP="00B45162">
      <w:pPr>
        <w:pStyle w:val="NormalHanging12a"/>
        <w:rPr>
          <w:bCs/>
          <w:iCs/>
          <w:noProof/>
        </w:rPr>
      </w:pPr>
      <w:r w:rsidRPr="0099114F">
        <w:t>10.</w:t>
      </w:r>
      <w:r w:rsidRPr="0099114F">
        <w:tab/>
        <w:t>podkreśla, że władze belgijskie powinny zapewnić widoczność finansowania unijnego i zwracać uwagę na jego wartość dodaną za pomocą skutecznych i ukierunkowanych informacji dla beneficjentów, władz regionalnych i lokalnych, partnerów społecznych i ogółu społeczeństwa;</w:t>
      </w:r>
    </w:p>
    <w:p w14:paraId="27D1A859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11.</w:t>
      </w:r>
      <w:r w:rsidRPr="0099114F">
        <w:tab/>
        <w:t>apeluje o przeprowadzenie gruntownych ocen końcowych wdrożonych środków, w tym o przedstawienie jasnych informacji na temat sposobu wykorzystania funduszy i ich wydatkowania zgodnie z zatwierdzonymi planami; podkreśla, że takie oceny powinny opierać się na jasno określonych celach i wymiernych wynikach, umożliwiając ocenę wyników osiągniętych w odniesieniu do danych pracowników; podkreśla, że należy zadbać o szybsze i skuteczniejsze interwencje, i przypomina w tym kontekście o potrzebie zbadania sposobów zapewnienia trwałości EFG lub programu będącego jego następcą w kolejnych wieloletnich ramach finansowych na lata 2028–2034;</w:t>
      </w:r>
    </w:p>
    <w:p w14:paraId="31341ACD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12.</w:t>
      </w:r>
      <w:r w:rsidRPr="0099114F">
        <w:tab/>
        <w:t>stwierdza, że 17 lutego 2025 r. Belgia rozpoczęła świadczenie zindywidualizowanych usług na rzecz beneficjentów objętych pomocą, a zatem okres kwalifikowalności do otrzymania wkładu finansowego z EFG będzie trwał od tego dnia do dnia przypadającego 24 miesiące od daty wejścia w życie decyzji w sprawie finansowania;</w:t>
      </w:r>
    </w:p>
    <w:p w14:paraId="36F4F45A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13.</w:t>
      </w:r>
      <w:r w:rsidRPr="0099114F">
        <w:tab/>
        <w:t>stwierdza, że Belgia zaczęła ponosić wydatki administracyjne związane z wdrażaniem EFG 17 lutego 2025 r. i że takie wydatki kwalifikują się do wkładu finansowego z EFG od tego dnia do dnia przypadającego 31 miesięcy od daty wejścia w życie decyzji w sprawie finansowania;</w:t>
      </w:r>
    </w:p>
    <w:p w14:paraId="6E4EFE47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14.</w:t>
      </w:r>
      <w:r w:rsidRPr="0099114F">
        <w:tab/>
        <w:t>zauważa, że władze belgijskie potwierdziły, iż przy dostępie do proponowanych działań i ich wdrażaniu przestrzegane będą zasady równego traktowania i niedyskryminacji oraz że będzie się zapobiegać ewentualnym przypadkom podwójnego finansowania;</w:t>
      </w:r>
    </w:p>
    <w:p w14:paraId="677DE4F9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15.</w:t>
      </w:r>
      <w:r w:rsidRPr="0099114F">
        <w:tab/>
        <w:t>przypomina, że pomoc z EFG nie może zastępować działań, za które na mocy prawa krajowego lub układów zbiorowych odpowiedzialne są przedsiębiorstwa;</w:t>
      </w:r>
    </w:p>
    <w:p w14:paraId="63C615F9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16.</w:t>
      </w:r>
      <w:r w:rsidRPr="0099114F">
        <w:tab/>
        <w:t>zatwierdza decyzję załączoną do rezolucji;</w:t>
      </w:r>
    </w:p>
    <w:p w14:paraId="4145D26A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lastRenderedPageBreak/>
        <w:t>17.</w:t>
      </w:r>
      <w:r w:rsidRPr="0099114F">
        <w:tab/>
        <w:t xml:space="preserve">zobowiązuje swoją przewodniczącą do podpisania wraz z przewodniczącym Rady niniejszej decyzji i zapewnienia jej publikacji w </w:t>
      </w:r>
      <w:r w:rsidRPr="0099114F">
        <w:rPr>
          <w:i/>
        </w:rPr>
        <w:t>Dzienniku Urzędowym Unii Europejskiej</w:t>
      </w:r>
      <w:r w:rsidRPr="0099114F">
        <w:t>;</w:t>
      </w:r>
    </w:p>
    <w:p w14:paraId="2EA607FF" w14:textId="77777777" w:rsidR="00B45162" w:rsidRPr="0099114F" w:rsidRDefault="00B45162" w:rsidP="00B45162">
      <w:pPr>
        <w:pStyle w:val="NormalHanging12a"/>
        <w:rPr>
          <w:noProof/>
        </w:rPr>
      </w:pPr>
      <w:r w:rsidRPr="0099114F">
        <w:t>18.</w:t>
      </w:r>
      <w:r w:rsidRPr="0099114F">
        <w:tab/>
        <w:t>zobowiązuje swoją przewodniczącą do przekazania niniejszej rezolucji wraz z załącznikiem Radzie i Komisji.</w:t>
      </w:r>
    </w:p>
    <w:p w14:paraId="328D9329" w14:textId="77777777" w:rsidR="00B45162" w:rsidRPr="0099114F" w:rsidRDefault="00B45162" w:rsidP="00B45162">
      <w:pPr>
        <w:pStyle w:val="NormalHanging12a"/>
        <w:rPr>
          <w:noProof/>
        </w:rPr>
      </w:pPr>
    </w:p>
    <w:p w14:paraId="7C535758" w14:textId="77777777" w:rsidR="00B45162" w:rsidRPr="0099114F" w:rsidRDefault="00B45162" w:rsidP="00B45162">
      <w:pPr>
        <w:rPr>
          <w:noProof/>
        </w:rPr>
      </w:pPr>
    </w:p>
    <w:p w14:paraId="244AC7CD" w14:textId="77777777" w:rsidR="00B45162" w:rsidRPr="0099114F" w:rsidRDefault="00B45162" w:rsidP="00B45162">
      <w:pPr>
        <w:pStyle w:val="PageHeading"/>
        <w:rPr>
          <w:noProof/>
        </w:rPr>
        <w:sectPr w:rsidR="00B45162" w:rsidRPr="0099114F" w:rsidSect="009911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8677366" w14:textId="77777777" w:rsidR="00E242AB" w:rsidRDefault="00B45162" w:rsidP="00B45162">
      <w:pPr>
        <w:pStyle w:val="PageHeading"/>
        <w:rPr>
          <w:rFonts w:ascii="Times New Roman" w:hAnsi="Times New Roman" w:cs="Times New Roman"/>
        </w:rPr>
      </w:pPr>
      <w:bookmarkStart w:id="7" w:name="_Toc223507476"/>
      <w:r w:rsidRPr="00E242AB">
        <w:rPr>
          <w:rFonts w:ascii="Times New Roman" w:hAnsi="Times New Roman" w:cs="Times New Roman"/>
        </w:rPr>
        <w:lastRenderedPageBreak/>
        <w:t>ZAŁĄCZNIK</w:t>
      </w:r>
    </w:p>
    <w:p w14:paraId="63DFCEA0" w14:textId="4E575BBE" w:rsidR="00B45162" w:rsidRPr="00E242AB" w:rsidRDefault="00B45162" w:rsidP="00B45162">
      <w:pPr>
        <w:pStyle w:val="PageHeading"/>
        <w:rPr>
          <w:rFonts w:ascii="Times New Roman" w:hAnsi="Times New Roman" w:cs="Times New Roman"/>
          <w:noProof/>
        </w:rPr>
      </w:pPr>
      <w:r w:rsidRPr="00E242AB">
        <w:rPr>
          <w:rFonts w:ascii="Times New Roman" w:hAnsi="Times New Roman" w:cs="Times New Roman"/>
        </w:rPr>
        <w:t>DECYZJA PARLAMENTU EUROPEJSKIEGO I RADY</w:t>
      </w:r>
      <w:bookmarkEnd w:id="7"/>
    </w:p>
    <w:p w14:paraId="1C06B116" w14:textId="77777777" w:rsidR="00B45162" w:rsidRDefault="00B45162" w:rsidP="00E242AB">
      <w:pPr>
        <w:pStyle w:val="Institutionquiagit"/>
        <w:jc w:val="center"/>
        <w:rPr>
          <w:b/>
        </w:rPr>
      </w:pPr>
      <w:r w:rsidRPr="0099114F">
        <w:rPr>
          <w:b/>
        </w:rPr>
        <w:t>w sprawie uruchomienia Europejskiego Funduszu Dostosowania do Globalizacji dla Zwalnianych Pracowników w następstwie wniosku złożonego przez Belgię (EGF/2025/004 BE/</w:t>
      </w:r>
      <w:proofErr w:type="spellStart"/>
      <w:r w:rsidRPr="0099114F">
        <w:rPr>
          <w:b/>
        </w:rPr>
        <w:t>Tupperware</w:t>
      </w:r>
      <w:proofErr w:type="spellEnd"/>
      <w:r w:rsidRPr="0099114F">
        <w:rPr>
          <w:b/>
        </w:rPr>
        <w:t>)</w:t>
      </w:r>
    </w:p>
    <w:p w14:paraId="17BA00EC" w14:textId="77777777" w:rsidR="00E242AB" w:rsidRDefault="00E242AB" w:rsidP="00E242AB">
      <w:pPr>
        <w:rPr>
          <w:lang w:eastAsia="en-US"/>
        </w:rPr>
      </w:pPr>
    </w:p>
    <w:p w14:paraId="10FB77B7" w14:textId="13B3D3B1" w:rsidR="00E242AB" w:rsidRPr="00E242AB" w:rsidRDefault="00E242AB" w:rsidP="00E242AB">
      <w:pPr>
        <w:rPr>
          <w:lang w:eastAsia="en-US"/>
        </w:rPr>
      </w:pPr>
      <w:r w:rsidRPr="00D550EC">
        <w:rPr>
          <w:i/>
        </w:rPr>
        <w:t xml:space="preserve">(Tekst tego załącznika nie został powtórzony w tym miejscu, ponieważ odpowiada on końcowej wersji decyzji </w:t>
      </w:r>
      <w:r>
        <w:rPr>
          <w:i/>
        </w:rPr>
        <w:t xml:space="preserve">(UE) </w:t>
      </w:r>
      <w:r w:rsidRPr="00D550EC">
        <w:rPr>
          <w:i/>
        </w:rPr>
        <w:t>20</w:t>
      </w:r>
      <w:r>
        <w:rPr>
          <w:i/>
        </w:rPr>
        <w:t>26/723</w:t>
      </w:r>
      <w:r w:rsidRPr="00D550EC">
        <w:rPr>
          <w:i/>
        </w:rPr>
        <w:t>.)</w:t>
      </w:r>
    </w:p>
    <w:sectPr w:rsidR="00E242AB" w:rsidRPr="00E242AB" w:rsidSect="0099114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1165A" w14:textId="77777777" w:rsidR="00E31A19" w:rsidRPr="0099114F" w:rsidRDefault="00E31A19">
      <w:r w:rsidRPr="0099114F">
        <w:separator/>
      </w:r>
    </w:p>
  </w:endnote>
  <w:endnote w:type="continuationSeparator" w:id="0">
    <w:p w14:paraId="5E2B91BE" w14:textId="77777777" w:rsidR="00E31A19" w:rsidRPr="0099114F" w:rsidRDefault="00E31A19">
      <w:r w:rsidRPr="009911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5C8E" w14:textId="77777777" w:rsidR="00B45162" w:rsidRPr="0099114F" w:rsidRDefault="00B45162" w:rsidP="00487AD2">
    <w:pPr>
      <w:pStyle w:val="EPFooter"/>
    </w:pPr>
    <w:r w:rsidRPr="0099114F">
      <w:t>PE</w:t>
    </w:r>
    <w:r w:rsidRPr="0099114F">
      <w:rPr>
        <w:rStyle w:val="HideTWBExt"/>
      </w:rPr>
      <w:t>&lt;NoPE&gt;</w:t>
    </w:r>
    <w:r w:rsidRPr="0099114F">
      <w:t>782.416</w:t>
    </w:r>
    <w:r w:rsidRPr="0099114F">
      <w:rPr>
        <w:rStyle w:val="HideTWBExt"/>
      </w:rPr>
      <w:t>&lt;/NoPE&gt;&lt;Version&gt;</w:t>
    </w:r>
    <w:r w:rsidRPr="0099114F">
      <w:t>v02-00</w:t>
    </w:r>
    <w:r w:rsidRPr="0099114F">
      <w:rPr>
        <w:rStyle w:val="HideTWBExt"/>
      </w:rPr>
      <w:t>&lt;/Version&gt;</w:t>
    </w:r>
    <w:r w:rsidRPr="0099114F">
      <w:tab/>
    </w:r>
    <w:r w:rsidRPr="0099114F">
      <w:fldChar w:fldCharType="begin"/>
    </w:r>
    <w:r w:rsidRPr="0099114F">
      <w:instrText xml:space="preserve"> PAGE  \* MERGEFORMAT </w:instrText>
    </w:r>
    <w:r w:rsidRPr="0099114F">
      <w:fldChar w:fldCharType="separate"/>
    </w:r>
    <w:r w:rsidRPr="0099114F">
      <w:rPr>
        <w:noProof/>
      </w:rPr>
      <w:t>4</w:t>
    </w:r>
    <w:r w:rsidRPr="0099114F">
      <w:fldChar w:fldCharType="end"/>
    </w:r>
    <w:r w:rsidRPr="0099114F">
      <w:t>/</w:t>
    </w:r>
    <w:fldSimple w:instr=" NUMPAGES  \* MERGEFORMAT ">
      <w:r w:rsidRPr="0099114F">
        <w:rPr>
          <w:noProof/>
        </w:rPr>
        <w:t>18</w:t>
      </w:r>
    </w:fldSimple>
    <w:r w:rsidRPr="0099114F">
      <w:tab/>
    </w:r>
    <w:r w:rsidRPr="0099114F">
      <w:rPr>
        <w:rStyle w:val="HideTWBExt"/>
      </w:rPr>
      <w:t>&lt;PathFdR&gt;</w:t>
    </w:r>
    <w:r w:rsidRPr="0099114F">
      <w:t>RR\1338392PL.docx</w:t>
    </w:r>
    <w:r w:rsidRPr="0099114F">
      <w:rPr>
        <w:rStyle w:val="HideTWBExt"/>
      </w:rPr>
      <w:t>&lt;/PathFdR&gt;</w:t>
    </w:r>
  </w:p>
  <w:p w14:paraId="64CE86E7" w14:textId="77777777" w:rsidR="00B45162" w:rsidRPr="0099114F" w:rsidRDefault="00B45162" w:rsidP="00487AD2">
    <w:pPr>
      <w:pStyle w:val="EPFooter2"/>
    </w:pPr>
    <w:r w:rsidRPr="0099114F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E517" w14:textId="30204CAE" w:rsidR="00B45162" w:rsidRPr="0099114F" w:rsidRDefault="00B45162" w:rsidP="00487AD2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2A60B" w14:textId="77777777" w:rsidR="00B45162" w:rsidRPr="0099114F" w:rsidRDefault="00B45162" w:rsidP="00487AD2">
    <w:pPr>
      <w:pStyle w:val="EPFooter"/>
    </w:pPr>
    <w:r w:rsidRPr="0099114F">
      <w:rPr>
        <w:rStyle w:val="HideTWBExt"/>
      </w:rPr>
      <w:t>&lt;PathFdR&gt;</w:t>
    </w:r>
    <w:r w:rsidRPr="0099114F">
      <w:t>RR\1338392PL.docx</w:t>
    </w:r>
    <w:r w:rsidRPr="0099114F">
      <w:rPr>
        <w:rStyle w:val="HideTWBExt"/>
      </w:rPr>
      <w:t>&lt;/PathFdR&gt;</w:t>
    </w:r>
    <w:r w:rsidRPr="0099114F">
      <w:tab/>
    </w:r>
    <w:r w:rsidRPr="0099114F">
      <w:tab/>
      <w:t>PE</w:t>
    </w:r>
    <w:r w:rsidRPr="0099114F">
      <w:rPr>
        <w:rStyle w:val="HideTWBExt"/>
      </w:rPr>
      <w:t>&lt;NoPE&gt;</w:t>
    </w:r>
    <w:r w:rsidRPr="0099114F">
      <w:t>782.416</w:t>
    </w:r>
    <w:r w:rsidRPr="0099114F">
      <w:rPr>
        <w:rStyle w:val="HideTWBExt"/>
      </w:rPr>
      <w:t>&lt;/NoPE&gt;&lt;Version&gt;</w:t>
    </w:r>
    <w:r w:rsidRPr="0099114F">
      <w:t>v02-00</w:t>
    </w:r>
    <w:r w:rsidRPr="0099114F">
      <w:rPr>
        <w:rStyle w:val="HideTWBExt"/>
      </w:rPr>
      <w:t>&lt;/Version&gt;</w:t>
    </w:r>
  </w:p>
  <w:p w14:paraId="31989591" w14:textId="77777777" w:rsidR="00B45162" w:rsidRPr="0099114F" w:rsidRDefault="00B45162" w:rsidP="00487AD2">
    <w:pPr>
      <w:pStyle w:val="EPFooter2"/>
    </w:pPr>
    <w:r w:rsidRPr="0099114F">
      <w:t>PL</w:t>
    </w:r>
    <w:r w:rsidRPr="0099114F">
      <w:tab/>
    </w:r>
    <w:r w:rsidRPr="0099114F">
      <w:rPr>
        <w:b w:val="0"/>
        <w:i/>
        <w:color w:val="C0C0C0"/>
        <w:sz w:val="22"/>
      </w:rPr>
      <w:t>Zjednoczona w różnorodności</w:t>
    </w:r>
    <w:r w:rsidRPr="0099114F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236A9" w14:textId="77777777" w:rsidR="00064002" w:rsidRPr="0099114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C26E6" w14:textId="77777777" w:rsidR="00064002" w:rsidRPr="0099114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72500" w14:textId="77777777" w:rsidR="00064002" w:rsidRPr="009911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13C67" w14:textId="77777777" w:rsidR="00E31A19" w:rsidRPr="0099114F" w:rsidRDefault="00E31A19">
      <w:r w:rsidRPr="0099114F">
        <w:separator/>
      </w:r>
    </w:p>
  </w:footnote>
  <w:footnote w:type="continuationSeparator" w:id="0">
    <w:p w14:paraId="66C657BD" w14:textId="77777777" w:rsidR="00E31A19" w:rsidRPr="0099114F" w:rsidRDefault="00E31A19">
      <w:r w:rsidRPr="0099114F">
        <w:continuationSeparator/>
      </w:r>
    </w:p>
  </w:footnote>
  <w:footnote w:id="1">
    <w:p w14:paraId="386DBA19" w14:textId="13405BC3" w:rsidR="00B45162" w:rsidRPr="0099114F" w:rsidRDefault="00B45162" w:rsidP="0099114F">
      <w:pPr>
        <w:pStyle w:val="FootnoteText"/>
        <w:ind w:left="567" w:hanging="567"/>
        <w:rPr>
          <w:sz w:val="24"/>
          <w:lang w:val="pl-PL"/>
        </w:rPr>
      </w:pPr>
      <w:r w:rsidRPr="0099114F">
        <w:rPr>
          <w:rStyle w:val="FootnoteReference"/>
          <w:sz w:val="24"/>
          <w:lang w:val="pl-PL"/>
        </w:rPr>
        <w:footnoteRef/>
      </w:r>
      <w:r w:rsidR="0099114F" w:rsidRPr="0099114F">
        <w:rPr>
          <w:sz w:val="24"/>
          <w:lang w:val="pl-PL"/>
        </w:rPr>
        <w:t xml:space="preserve"> </w:t>
      </w:r>
      <w:r w:rsidR="0099114F" w:rsidRPr="0099114F">
        <w:rPr>
          <w:sz w:val="24"/>
          <w:lang w:val="pl-PL"/>
        </w:rPr>
        <w:tab/>
      </w:r>
      <w:r w:rsidRPr="0099114F">
        <w:rPr>
          <w:sz w:val="24"/>
          <w:lang w:val="pl-PL"/>
        </w:rPr>
        <w:t xml:space="preserve">Dz.U. L 153 z 3.5.2021, s. 48, ELI: </w:t>
      </w:r>
      <w:r>
        <w:fldChar w:fldCharType="begin"/>
      </w:r>
      <w:r w:rsidRPr="00E242AB">
        <w:rPr>
          <w:lang w:val="pl-PL"/>
        </w:rPr>
        <w:instrText>HYPERLINK "http://data.europa.eu/eli/reg/2021/691/oj"</w:instrText>
      </w:r>
      <w:r>
        <w:fldChar w:fldCharType="separate"/>
      </w:r>
      <w:r w:rsidRPr="0099114F">
        <w:rPr>
          <w:rStyle w:val="Hyperlink"/>
          <w:sz w:val="24"/>
          <w:lang w:val="pl-PL"/>
        </w:rPr>
        <w:t>http://data.europa.eu/eli/reg/2021/691/oj</w:t>
      </w:r>
      <w:r>
        <w:fldChar w:fldCharType="end"/>
      </w:r>
      <w:r w:rsidRPr="0099114F">
        <w:rPr>
          <w:sz w:val="24"/>
          <w:lang w:val="pl-PL"/>
        </w:rPr>
        <w:t>.</w:t>
      </w:r>
    </w:p>
  </w:footnote>
  <w:footnote w:id="2">
    <w:p w14:paraId="64892394" w14:textId="39769410" w:rsidR="00B45162" w:rsidRPr="0099114F" w:rsidRDefault="00B45162" w:rsidP="0099114F">
      <w:pPr>
        <w:pStyle w:val="FootnoteText"/>
        <w:ind w:left="567" w:hanging="567"/>
        <w:rPr>
          <w:sz w:val="24"/>
          <w:lang w:val="pl-PL"/>
        </w:rPr>
      </w:pPr>
      <w:r w:rsidRPr="0099114F">
        <w:rPr>
          <w:rStyle w:val="FootnoteReference"/>
          <w:sz w:val="24"/>
          <w:lang w:val="pl-PL"/>
        </w:rPr>
        <w:footnoteRef/>
      </w:r>
      <w:r w:rsidR="0099114F" w:rsidRPr="0099114F">
        <w:rPr>
          <w:sz w:val="24"/>
          <w:lang w:val="pl-PL"/>
        </w:rPr>
        <w:t xml:space="preserve"> </w:t>
      </w:r>
      <w:r w:rsidR="0099114F" w:rsidRPr="0099114F">
        <w:rPr>
          <w:sz w:val="24"/>
          <w:lang w:val="pl-PL"/>
        </w:rPr>
        <w:tab/>
      </w:r>
      <w:r w:rsidRPr="0099114F">
        <w:rPr>
          <w:sz w:val="24"/>
          <w:lang w:val="pl-PL"/>
        </w:rPr>
        <w:t xml:space="preserve">Dz.U. L 433 I z 22.12.2020, s. 11, ELI: </w:t>
      </w:r>
      <w:r>
        <w:fldChar w:fldCharType="begin"/>
      </w:r>
      <w:r w:rsidRPr="00E242AB">
        <w:rPr>
          <w:lang w:val="pl-PL"/>
        </w:rPr>
        <w:instrText>HYPERLINK "http://data.europa.eu/eli/reg/2020/2093/oj"</w:instrText>
      </w:r>
      <w:r>
        <w:fldChar w:fldCharType="separate"/>
      </w:r>
      <w:r w:rsidRPr="0099114F">
        <w:rPr>
          <w:rStyle w:val="Hyperlink"/>
          <w:sz w:val="24"/>
          <w:lang w:val="pl-PL"/>
        </w:rPr>
        <w:t>http://data.europa.eu/eli/reg/2020/2093/oj</w:t>
      </w:r>
      <w:r>
        <w:fldChar w:fldCharType="end"/>
      </w:r>
      <w:r w:rsidRPr="0099114F">
        <w:rPr>
          <w:sz w:val="24"/>
          <w:lang w:val="pl-PL"/>
        </w:rPr>
        <w:t>.</w:t>
      </w:r>
    </w:p>
  </w:footnote>
  <w:footnote w:id="3">
    <w:p w14:paraId="7C26BE14" w14:textId="467F4553" w:rsidR="00B45162" w:rsidRPr="0099114F" w:rsidRDefault="00B45162" w:rsidP="0099114F">
      <w:pPr>
        <w:pStyle w:val="FootnoteText"/>
        <w:ind w:left="567" w:hanging="567"/>
        <w:rPr>
          <w:sz w:val="24"/>
          <w:lang w:val="pl-PL"/>
        </w:rPr>
      </w:pPr>
      <w:r w:rsidRPr="0099114F">
        <w:rPr>
          <w:rStyle w:val="FootnoteReference"/>
          <w:sz w:val="24"/>
          <w:lang w:val="pl-PL"/>
        </w:rPr>
        <w:footnoteRef/>
      </w:r>
      <w:r w:rsidR="0099114F" w:rsidRPr="0099114F">
        <w:rPr>
          <w:sz w:val="24"/>
          <w:shd w:val="clear" w:color="auto" w:fill="FFFFFF"/>
          <w:lang w:val="pl-PL"/>
        </w:rPr>
        <w:t xml:space="preserve"> </w:t>
      </w:r>
      <w:r w:rsidR="0099114F" w:rsidRPr="0099114F">
        <w:rPr>
          <w:sz w:val="24"/>
          <w:shd w:val="clear" w:color="auto" w:fill="FFFFFF"/>
          <w:lang w:val="pl-PL"/>
        </w:rPr>
        <w:tab/>
      </w:r>
      <w:r w:rsidRPr="0099114F">
        <w:rPr>
          <w:sz w:val="24"/>
          <w:shd w:val="clear" w:color="auto" w:fill="FFFFFF"/>
          <w:lang w:val="pl-PL"/>
        </w:rPr>
        <w:t xml:space="preserve">Rozporządzenie Rady (UE, </w:t>
      </w:r>
      <w:proofErr w:type="spellStart"/>
      <w:r w:rsidRPr="0099114F">
        <w:rPr>
          <w:sz w:val="24"/>
          <w:shd w:val="clear" w:color="auto" w:fill="FFFFFF"/>
          <w:lang w:val="pl-PL"/>
        </w:rPr>
        <w:t>Euratom</w:t>
      </w:r>
      <w:proofErr w:type="spellEnd"/>
      <w:r w:rsidRPr="0099114F">
        <w:rPr>
          <w:sz w:val="24"/>
          <w:shd w:val="clear" w:color="auto" w:fill="FFFFFF"/>
          <w:lang w:val="pl-PL"/>
        </w:rPr>
        <w:t xml:space="preserve">) 2024/765 z dnia 29 lutego 2024 r. w sprawie zmiany rozporządzenia (UE, </w:t>
      </w:r>
      <w:proofErr w:type="spellStart"/>
      <w:r w:rsidRPr="0099114F">
        <w:rPr>
          <w:sz w:val="24"/>
          <w:shd w:val="clear" w:color="auto" w:fill="FFFFFF"/>
          <w:lang w:val="pl-PL"/>
        </w:rPr>
        <w:t>Euratom</w:t>
      </w:r>
      <w:proofErr w:type="spellEnd"/>
      <w:r w:rsidRPr="0099114F">
        <w:rPr>
          <w:sz w:val="24"/>
          <w:shd w:val="clear" w:color="auto" w:fill="FFFFFF"/>
          <w:lang w:val="pl-PL"/>
        </w:rPr>
        <w:t>) 2020/2093 określającego wieloletnie ramy finansowe na lata 2021–2027 (Dz.U. L, 2024/765, 29.2.2024, ELI:</w:t>
      </w:r>
      <w:r w:rsidRPr="0099114F">
        <w:rPr>
          <w:color w:val="333333"/>
          <w:sz w:val="24"/>
          <w:shd w:val="clear" w:color="auto" w:fill="FFFFFF"/>
          <w:lang w:val="pl-PL"/>
        </w:rPr>
        <w:t xml:space="preserve"> </w:t>
      </w:r>
      <w:r>
        <w:fldChar w:fldCharType="begin"/>
      </w:r>
      <w:r w:rsidRPr="00E242AB">
        <w:rPr>
          <w:lang w:val="pl-PL"/>
        </w:rPr>
        <w:instrText>HYPERLINK "http://data.europa.eu/eli/reg/2024/765/oj"</w:instrText>
      </w:r>
      <w:r>
        <w:fldChar w:fldCharType="separate"/>
      </w:r>
      <w:r w:rsidRPr="0099114F">
        <w:rPr>
          <w:rStyle w:val="Hyperlink"/>
          <w:sz w:val="24"/>
          <w:shd w:val="clear" w:color="auto" w:fill="FFFFFF"/>
          <w:lang w:val="pl-PL"/>
        </w:rPr>
        <w:t>http://data.europa.eu/eli/reg/2024/765/oj</w:t>
      </w:r>
      <w:r>
        <w:fldChar w:fldCharType="end"/>
      </w:r>
      <w:r w:rsidRPr="0099114F">
        <w:rPr>
          <w:i/>
          <w:color w:val="333333"/>
          <w:sz w:val="24"/>
          <w:shd w:val="clear" w:color="auto" w:fill="FFFFFF"/>
          <w:lang w:val="pl-PL"/>
        </w:rPr>
        <w:t>).</w:t>
      </w:r>
    </w:p>
  </w:footnote>
  <w:footnote w:id="4">
    <w:p w14:paraId="7556F2E2" w14:textId="00868365" w:rsidR="00B45162" w:rsidRPr="0099114F" w:rsidRDefault="00B45162" w:rsidP="0099114F">
      <w:pPr>
        <w:pStyle w:val="FootnoteText"/>
        <w:ind w:left="567" w:hanging="567"/>
        <w:rPr>
          <w:sz w:val="24"/>
          <w:lang w:val="pl-PL"/>
        </w:rPr>
      </w:pPr>
      <w:r w:rsidRPr="0099114F">
        <w:rPr>
          <w:rStyle w:val="FootnoteReference"/>
          <w:sz w:val="24"/>
          <w:lang w:val="pl-PL"/>
        </w:rPr>
        <w:footnoteRef/>
      </w:r>
      <w:r w:rsidR="0099114F" w:rsidRPr="0099114F">
        <w:rPr>
          <w:sz w:val="24"/>
          <w:lang w:val="pl-PL"/>
        </w:rPr>
        <w:t xml:space="preserve"> </w:t>
      </w:r>
      <w:r w:rsidR="0099114F" w:rsidRPr="0099114F">
        <w:rPr>
          <w:sz w:val="24"/>
          <w:lang w:val="pl-PL"/>
        </w:rPr>
        <w:tab/>
      </w:r>
      <w:r w:rsidRPr="0099114F">
        <w:rPr>
          <w:sz w:val="24"/>
          <w:lang w:val="pl-PL"/>
        </w:rPr>
        <w:t xml:space="preserve">Dz.U. L 433 I z 22.12.2020, s. 28, ELI: </w:t>
      </w:r>
      <w:r>
        <w:fldChar w:fldCharType="begin"/>
      </w:r>
      <w:r w:rsidRPr="00E242AB">
        <w:rPr>
          <w:lang w:val="pl-PL"/>
        </w:rPr>
        <w:instrText>HYPERLINK "http://data.europa.eu/eli/agree_interinstit/2020/1222/oj"</w:instrText>
      </w:r>
      <w:r>
        <w:fldChar w:fldCharType="separate"/>
      </w:r>
      <w:r w:rsidRPr="0099114F">
        <w:rPr>
          <w:rStyle w:val="Hyperlink"/>
          <w:sz w:val="24"/>
          <w:lang w:val="pl-PL"/>
        </w:rPr>
        <w:t>http://data.europa.eu/eli/agree_interinstit/2020/1222/oj</w:t>
      </w:r>
      <w:r>
        <w:fldChar w:fldCharType="end"/>
      </w:r>
      <w:r w:rsidRPr="0099114F">
        <w:rPr>
          <w:sz w:val="24"/>
          <w:lang w:val="pl-PL"/>
        </w:rPr>
        <w:t>.</w:t>
      </w:r>
    </w:p>
  </w:footnote>
  <w:footnote w:id="5">
    <w:p w14:paraId="23B0BE6A" w14:textId="0CA68C85" w:rsidR="00B45162" w:rsidRPr="0099114F" w:rsidRDefault="00B45162" w:rsidP="0099114F">
      <w:pPr>
        <w:pStyle w:val="FootnoteText"/>
        <w:ind w:left="567" w:hanging="567"/>
        <w:rPr>
          <w:sz w:val="24"/>
          <w:lang w:val="pl-PL"/>
        </w:rPr>
      </w:pPr>
      <w:r w:rsidRPr="0099114F">
        <w:rPr>
          <w:rStyle w:val="FootnoteReference"/>
          <w:sz w:val="24"/>
          <w:lang w:val="pl-PL"/>
        </w:rPr>
        <w:footnoteRef/>
      </w:r>
      <w:r w:rsidR="0099114F" w:rsidRPr="0099114F">
        <w:rPr>
          <w:sz w:val="24"/>
          <w:lang w:val="pl-PL"/>
        </w:rPr>
        <w:t xml:space="preserve"> </w:t>
      </w:r>
      <w:r w:rsidR="0099114F" w:rsidRPr="0099114F">
        <w:rPr>
          <w:sz w:val="24"/>
          <w:lang w:val="pl-PL"/>
        </w:rPr>
        <w:tab/>
      </w:r>
      <w:r w:rsidRPr="0099114F">
        <w:rPr>
          <w:sz w:val="24"/>
          <w:lang w:val="pl-PL"/>
        </w:rPr>
        <w:t>W rozumieniu art. 3 rozporządzenia w sprawie EFG.</w:t>
      </w:r>
    </w:p>
  </w:footnote>
  <w:footnote w:id="6">
    <w:p w14:paraId="4E85BB27" w14:textId="2716FA64" w:rsidR="00B45162" w:rsidRPr="0099114F" w:rsidRDefault="00B45162" w:rsidP="0099114F">
      <w:pPr>
        <w:pStyle w:val="FootnoteText"/>
        <w:ind w:left="567" w:hanging="567"/>
        <w:rPr>
          <w:sz w:val="24"/>
          <w:lang w:val="pl-PL"/>
        </w:rPr>
      </w:pPr>
      <w:r w:rsidRPr="0099114F">
        <w:rPr>
          <w:rStyle w:val="FootnoteReference"/>
          <w:sz w:val="24"/>
          <w:lang w:val="pl-PL"/>
        </w:rPr>
        <w:footnoteRef/>
      </w:r>
      <w:r w:rsidR="0099114F" w:rsidRPr="0099114F">
        <w:rPr>
          <w:sz w:val="24"/>
          <w:lang w:val="pl-PL"/>
        </w:rPr>
        <w:t xml:space="preserve"> </w:t>
      </w:r>
      <w:r w:rsidR="0099114F" w:rsidRPr="0099114F">
        <w:rPr>
          <w:sz w:val="24"/>
          <w:lang w:val="pl-PL"/>
        </w:rPr>
        <w:tab/>
      </w:r>
      <w:r w:rsidRPr="0099114F">
        <w:rPr>
          <w:sz w:val="24"/>
          <w:lang w:val="pl-PL"/>
        </w:rPr>
        <w:t>Artykuł 8 rozporządzenia w sprawie WRF.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29475" w14:textId="77777777" w:rsidR="00B45162" w:rsidRPr="0099114F" w:rsidRDefault="00B451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E24A5" w14:textId="77777777" w:rsidR="00B45162" w:rsidRPr="0099114F" w:rsidRDefault="00B451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6320F" w14:textId="77777777" w:rsidR="00B45162" w:rsidRPr="0099114F" w:rsidRDefault="00B4516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BA70" w14:textId="77777777" w:rsidR="00064002" w:rsidRPr="0099114F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CCB86" w14:textId="77777777" w:rsidR="00064002" w:rsidRPr="0099114F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6F1D1" w14:textId="77777777" w:rsidR="00064002" w:rsidRPr="009911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8502804">
    <w:abstractNumId w:val="9"/>
  </w:num>
  <w:num w:numId="2" w16cid:durableId="1953589545">
    <w:abstractNumId w:val="9"/>
  </w:num>
  <w:num w:numId="3" w16cid:durableId="319769083">
    <w:abstractNumId w:val="7"/>
  </w:num>
  <w:num w:numId="4" w16cid:durableId="1685748120">
    <w:abstractNumId w:val="7"/>
  </w:num>
  <w:num w:numId="5" w16cid:durableId="1522471709">
    <w:abstractNumId w:val="6"/>
  </w:num>
  <w:num w:numId="6" w16cid:durableId="1605653486">
    <w:abstractNumId w:val="6"/>
  </w:num>
  <w:num w:numId="7" w16cid:durableId="1709142076">
    <w:abstractNumId w:val="5"/>
  </w:num>
  <w:num w:numId="8" w16cid:durableId="330836502">
    <w:abstractNumId w:val="5"/>
  </w:num>
  <w:num w:numId="9" w16cid:durableId="217788014">
    <w:abstractNumId w:val="4"/>
  </w:num>
  <w:num w:numId="10" w16cid:durableId="1898396267">
    <w:abstractNumId w:val="4"/>
  </w:num>
  <w:num w:numId="11" w16cid:durableId="264314385">
    <w:abstractNumId w:val="8"/>
  </w:num>
  <w:num w:numId="12" w16cid:durableId="967049243">
    <w:abstractNumId w:val="8"/>
  </w:num>
  <w:num w:numId="13" w16cid:durableId="1851022377">
    <w:abstractNumId w:val="3"/>
  </w:num>
  <w:num w:numId="14" w16cid:durableId="663750007">
    <w:abstractNumId w:val="3"/>
  </w:num>
  <w:num w:numId="15" w16cid:durableId="162089317">
    <w:abstractNumId w:val="2"/>
  </w:num>
  <w:num w:numId="16" w16cid:durableId="2135753728">
    <w:abstractNumId w:val="2"/>
  </w:num>
  <w:num w:numId="17" w16cid:durableId="607548289">
    <w:abstractNumId w:val="1"/>
  </w:num>
  <w:num w:numId="18" w16cid:durableId="1766657953">
    <w:abstractNumId w:val="1"/>
  </w:num>
  <w:num w:numId="19" w16cid:durableId="462816348">
    <w:abstractNumId w:val="0"/>
  </w:num>
  <w:num w:numId="20" w16cid:durableId="1635482659">
    <w:abstractNumId w:val="0"/>
  </w:num>
  <w:num w:numId="21" w16cid:durableId="1546336058">
    <w:abstractNumId w:val="9"/>
  </w:num>
  <w:num w:numId="22" w16cid:durableId="360402771">
    <w:abstractNumId w:val="7"/>
  </w:num>
  <w:num w:numId="23" w16cid:durableId="821894271">
    <w:abstractNumId w:val="6"/>
  </w:num>
  <w:num w:numId="24" w16cid:durableId="610941279">
    <w:abstractNumId w:val="5"/>
  </w:num>
  <w:num w:numId="25" w16cid:durableId="652291277">
    <w:abstractNumId w:val="4"/>
  </w:num>
  <w:num w:numId="26" w16cid:durableId="438722028">
    <w:abstractNumId w:val="8"/>
  </w:num>
  <w:num w:numId="27" w16cid:durableId="825318031">
    <w:abstractNumId w:val="3"/>
  </w:num>
  <w:num w:numId="28" w16cid:durableId="1314484318">
    <w:abstractNumId w:val="2"/>
  </w:num>
  <w:num w:numId="29" w16cid:durableId="832112579">
    <w:abstractNumId w:val="1"/>
  </w:num>
  <w:num w:numId="30" w16cid:durableId="588585289">
    <w:abstractNumId w:val="0"/>
  </w:num>
  <w:num w:numId="31" w16cid:durableId="443505096">
    <w:abstractNumId w:val="9"/>
  </w:num>
  <w:num w:numId="32" w16cid:durableId="1827743517">
    <w:abstractNumId w:val="7"/>
  </w:num>
  <w:num w:numId="33" w16cid:durableId="1461924497">
    <w:abstractNumId w:val="6"/>
  </w:num>
  <w:num w:numId="34" w16cid:durableId="200872125">
    <w:abstractNumId w:val="5"/>
  </w:num>
  <w:num w:numId="35" w16cid:durableId="515703134">
    <w:abstractNumId w:val="4"/>
  </w:num>
  <w:num w:numId="36" w16cid:durableId="941956874">
    <w:abstractNumId w:val="8"/>
  </w:num>
  <w:num w:numId="37" w16cid:durableId="1409501447">
    <w:abstractNumId w:val="3"/>
  </w:num>
  <w:num w:numId="38" w16cid:durableId="195047837">
    <w:abstractNumId w:val="2"/>
  </w:num>
  <w:num w:numId="39" w16cid:durableId="1383869995">
    <w:abstractNumId w:val="1"/>
  </w:num>
  <w:num w:numId="40" w16cid:durableId="1959219011">
    <w:abstractNumId w:val="0"/>
  </w:num>
  <w:num w:numId="41" w16cid:durableId="141000296">
    <w:abstractNumId w:val="10"/>
  </w:num>
  <w:num w:numId="42" w16cid:durableId="1135216799">
    <w:abstractNumId w:val="10"/>
  </w:num>
  <w:num w:numId="43" w16cid:durableId="1870876728">
    <w:abstractNumId w:val="10"/>
  </w:num>
  <w:num w:numId="44" w16cid:durableId="9596104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0/2026"/>
    <w:docVar w:name="dvlangue" w:val="PL"/>
    <w:docVar w:name="dvnumam" w:val="0"/>
    <w:docVar w:name="dvpe" w:val="782.416"/>
    <w:docVar w:name="dvrapporteur" w:val="Sprawozdawca: "/>
    <w:docVar w:name="dvtitre" w:val="Rezolucja Parlamentu Europejskiego z dnia  2026 r. w sprawie wniosku dotyczącego decyzji Parlamentu Europejskiego i Rady w sprawie uruchomienia Europejskiego Funduszu Dostosowania do Globalizacji dla Zwalnianych Pracowników w następstwie wniosku złożonego przez Belgię – EGF/2025/004 BE/Tupperware (COM(2026)0001 – C10-0012/2026 – 2026/0004(BUD))"/>
  </w:docVars>
  <w:rsids>
    <w:rsidRoot w:val="00E31A19"/>
    <w:rsid w:val="00002272"/>
    <w:rsid w:val="00064002"/>
    <w:rsid w:val="000677B9"/>
    <w:rsid w:val="000831BA"/>
    <w:rsid w:val="000A2A83"/>
    <w:rsid w:val="000A42CC"/>
    <w:rsid w:val="000E3D3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E2A"/>
    <w:rsid w:val="005C2568"/>
    <w:rsid w:val="005F1B17"/>
    <w:rsid w:val="006037C0"/>
    <w:rsid w:val="006631B6"/>
    <w:rsid w:val="00680577"/>
    <w:rsid w:val="006F74FA"/>
    <w:rsid w:val="007007A3"/>
    <w:rsid w:val="0071384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14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162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2AB"/>
    <w:rsid w:val="00E31A1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6413B"/>
  <w15:chartTrackingRefBased/>
  <w15:docId w15:val="{DBC9F06F-42FC-4921-A604-6C916CFDC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4516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B4516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B4516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451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45162"/>
    <w:rPr>
      <w:sz w:val="24"/>
      <w:lang w:val="pl-PL"/>
    </w:rPr>
  </w:style>
  <w:style w:type="paragraph" w:customStyle="1" w:styleId="EPFooter">
    <w:name w:val="EPFooter"/>
    <w:basedOn w:val="Normal"/>
    <w:rsid w:val="00B451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45162"/>
    <w:pPr>
      <w:spacing w:before="480" w:after="240"/>
    </w:pPr>
  </w:style>
  <w:style w:type="character" w:styleId="Hyperlink">
    <w:name w:val="Hyperlink"/>
    <w:basedOn w:val="DefaultParagraphFont"/>
    <w:uiPriority w:val="99"/>
    <w:rsid w:val="00B45162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B4516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4516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B4516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4516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4516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4516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B45162"/>
    <w:rPr>
      <w:rFonts w:ascii="Arial" w:hAnsi="Arial" w:cs="Arial"/>
      <w:b/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B45162"/>
    <w:rPr>
      <w:sz w:val="24"/>
      <w:lang w:val="pl-PL"/>
    </w:rPr>
  </w:style>
  <w:style w:type="paragraph" w:customStyle="1" w:styleId="Personnequisigne">
    <w:name w:val="Personne qui signe"/>
    <w:basedOn w:val="Normal"/>
    <w:next w:val="Institutionquisigne"/>
    <w:rsid w:val="00B4516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Revision">
    <w:name w:val="Revision"/>
    <w:hidden/>
    <w:uiPriority w:val="99"/>
    <w:semiHidden/>
    <w:rsid w:val="0071384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1444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2026-05-18T08:27:00Z</dcterms:created>
  <dcterms:modified xsi:type="dcterms:W3CDTF">2026-05-18T08:27:00Z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P10_TA(2026)0073_</vt:lpwstr>
  </property>
  <property fmtid="{D5CDD505-2E9C-101B-9397-08002B2CF9AE}" pid="4" name="&lt;Type&gt;">
    <vt:lpwstr>RR</vt:lpwstr>
  </property>
</Properties>
</file>