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6EAD" w14:paraId="762782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61070C" w14:textId="77777777" w:rsidR="00751A4A" w:rsidRPr="00C96EAD" w:rsidRDefault="000846FF" w:rsidP="0010095E">
            <w:pPr>
              <w:pStyle w:val="EPName"/>
            </w:pPr>
            <w:r w:rsidRPr="00C96EAD">
              <w:t xml:space="preserve">Parlamento </w:t>
            </w:r>
            <w:proofErr w:type="gramStart"/>
            <w:r w:rsidRPr="00C96EAD">
              <w:t>Europeu</w:t>
            </w:r>
            <w:proofErr w:type="gramEnd"/>
          </w:p>
          <w:p w14:paraId="2C581627" w14:textId="77777777" w:rsidR="00751A4A" w:rsidRPr="00C96E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6EAD">
              <w:t>2024</w:t>
            </w:r>
            <w:r w:rsidR="00817416" w:rsidRPr="00C96EAD">
              <w:t>-202</w:t>
            </w:r>
            <w:r w:rsidRPr="00C96EAD">
              <w:t>9</w:t>
            </w:r>
          </w:p>
        </w:tc>
        <w:tc>
          <w:tcPr>
            <w:tcW w:w="2268" w:type="dxa"/>
            <w:shd w:val="clear" w:color="auto" w:fill="auto"/>
          </w:tcPr>
          <w:p w14:paraId="4A5691E3" w14:textId="77777777" w:rsidR="00751A4A" w:rsidRPr="00C96EAD" w:rsidRDefault="00187494" w:rsidP="0010095E">
            <w:pPr>
              <w:pStyle w:val="EPLogo"/>
            </w:pPr>
            <w:r w:rsidRPr="00C96EAD">
              <w:rPr>
                <w:noProof/>
                <w:lang w:eastAsia="ja-JP"/>
              </w:rPr>
              <w:drawing>
                <wp:inline distT="0" distB="0" distL="0" distR="0" wp14:anchorId="04692B1A" wp14:editId="51A72E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C1F065" w14:textId="77777777" w:rsidR="00D058B8" w:rsidRPr="00C96EAD" w:rsidRDefault="00D058B8" w:rsidP="004C5D52">
      <w:pPr>
        <w:pStyle w:val="LineTop"/>
      </w:pPr>
    </w:p>
    <w:p w14:paraId="7F304A33" w14:textId="77777777" w:rsidR="00680577" w:rsidRPr="00C96EAD" w:rsidRDefault="000846FF" w:rsidP="00680577">
      <w:pPr>
        <w:pStyle w:val="EPBodyTA1"/>
      </w:pPr>
      <w:r w:rsidRPr="00C96EAD">
        <w:t>TEXTOS APROVADOS</w:t>
      </w:r>
    </w:p>
    <w:p w14:paraId="7A9B7BDD" w14:textId="77777777" w:rsidR="00D058B8" w:rsidRPr="00C96EAD" w:rsidRDefault="00D058B8" w:rsidP="00D058B8">
      <w:pPr>
        <w:pStyle w:val="LineBottom"/>
      </w:pPr>
    </w:p>
    <w:p w14:paraId="39EBB882" w14:textId="418CCC53" w:rsidR="000846FF" w:rsidRPr="00C96EAD" w:rsidRDefault="000846FF" w:rsidP="000846FF">
      <w:pPr>
        <w:pStyle w:val="ATHeading1"/>
      </w:pPr>
      <w:bookmarkStart w:id="0" w:name="TANumber"/>
      <w:r w:rsidRPr="00C96EAD">
        <w:t>P10_TA(2026)</w:t>
      </w:r>
      <w:bookmarkEnd w:id="0"/>
      <w:r w:rsidR="00C96EAD" w:rsidRPr="00C96EAD">
        <w:t>007</w:t>
      </w:r>
      <w:r w:rsidR="00E8107C">
        <w:t>3</w:t>
      </w:r>
    </w:p>
    <w:p w14:paraId="23122A5F" w14:textId="1B27DFD5" w:rsidR="000846FF" w:rsidRPr="00C96EAD" w:rsidRDefault="000846FF" w:rsidP="000846FF">
      <w:pPr>
        <w:pStyle w:val="ATHeading2"/>
      </w:pPr>
      <w:bookmarkStart w:id="1" w:name="title"/>
      <w:r w:rsidRPr="00C96EAD">
        <w:t xml:space="preserve">Mobilização do Fundo Europeu de Ajustamento à Globalização a favor dos Trabalhadores Despedidos: candidatura EGF/2025/004 BE/Tupperware </w:t>
      </w:r>
      <w:r w:rsidR="0082197C" w:rsidRPr="00C96EAD">
        <w:t xml:space="preserve">– </w:t>
      </w:r>
      <w:r w:rsidRPr="00C96EAD">
        <w:t>Bélgica</w:t>
      </w:r>
      <w:bookmarkEnd w:id="1"/>
    </w:p>
    <w:p w14:paraId="0AF03B82" w14:textId="77777777" w:rsidR="000846FF" w:rsidRPr="00C96EAD" w:rsidRDefault="000846FF" w:rsidP="000846FF">
      <w:pPr>
        <w:rPr>
          <w:i/>
          <w:vanish/>
        </w:rPr>
      </w:pPr>
      <w:r w:rsidRPr="00C96EAD">
        <w:rPr>
          <w:i/>
        </w:rPr>
        <w:fldChar w:fldCharType="begin"/>
      </w:r>
      <w:r w:rsidRPr="00C96EAD">
        <w:rPr>
          <w:i/>
        </w:rPr>
        <w:instrText xml:space="preserve"> TC"(</w:instrText>
      </w:r>
      <w:bookmarkStart w:id="2" w:name="DocNumber"/>
      <w:r w:rsidRPr="00C96EAD">
        <w:rPr>
          <w:i/>
        </w:rPr>
        <w:instrText>A10-0030/2026</w:instrText>
      </w:r>
      <w:bookmarkEnd w:id="2"/>
      <w:r w:rsidRPr="00C96EAD">
        <w:rPr>
          <w:i/>
        </w:rPr>
        <w:instrText xml:space="preserve"> - Relator: Jean-Marc Germain)"\l3 \n&gt; \* MERGEFORMAT </w:instrText>
      </w:r>
      <w:r w:rsidRPr="00C96EAD">
        <w:rPr>
          <w:i/>
        </w:rPr>
        <w:fldChar w:fldCharType="end"/>
      </w:r>
    </w:p>
    <w:p w14:paraId="3D279828" w14:textId="77777777" w:rsidR="000846FF" w:rsidRPr="00C96EAD" w:rsidRDefault="000846FF" w:rsidP="000846FF">
      <w:pPr>
        <w:rPr>
          <w:vanish/>
        </w:rPr>
      </w:pPr>
      <w:bookmarkStart w:id="3" w:name="Commission"/>
      <w:r w:rsidRPr="00C96EAD">
        <w:rPr>
          <w:vanish/>
        </w:rPr>
        <w:t>Comissão dos Orçamentos</w:t>
      </w:r>
      <w:bookmarkEnd w:id="3"/>
    </w:p>
    <w:p w14:paraId="33051DA2" w14:textId="77777777" w:rsidR="000846FF" w:rsidRPr="00C96EAD" w:rsidRDefault="000846FF" w:rsidP="000846FF">
      <w:pPr>
        <w:rPr>
          <w:vanish/>
        </w:rPr>
      </w:pPr>
      <w:bookmarkStart w:id="4" w:name="PE"/>
      <w:r w:rsidRPr="00C96EAD">
        <w:rPr>
          <w:vanish/>
        </w:rPr>
        <w:t>PE782.416</w:t>
      </w:r>
      <w:bookmarkEnd w:id="4"/>
    </w:p>
    <w:p w14:paraId="7274C11C" w14:textId="183B77D1" w:rsidR="000846FF" w:rsidRPr="00C96EAD" w:rsidRDefault="000846FF" w:rsidP="000846FF">
      <w:pPr>
        <w:pStyle w:val="ATHeading3"/>
      </w:pPr>
      <w:bookmarkStart w:id="5" w:name="Sujet"/>
      <w:r w:rsidRPr="00C96EAD">
        <w:t xml:space="preserve">Resolução do Parlamento Europeu, de </w:t>
      </w:r>
      <w:r w:rsidR="006469C5" w:rsidRPr="00C96EAD">
        <w:t xml:space="preserve">11 </w:t>
      </w:r>
      <w:r w:rsidRPr="00C96EAD">
        <w:t xml:space="preserve">de </w:t>
      </w:r>
      <w:r w:rsidR="006469C5" w:rsidRPr="00C96EAD">
        <w:t xml:space="preserve">março </w:t>
      </w:r>
      <w:r w:rsidRPr="00C96EAD">
        <w:t xml:space="preserve">de 2026, sobre a proposta de decisão do Parlamento Europeu e do Conselho relativa à mobilização do Fundo Europeu de Ajustamento à Globalização a favor dos Trabalhadores Despedidos na sequência de uma candidatura da Bélgica </w:t>
      </w:r>
      <w:r w:rsidR="0082197C" w:rsidRPr="00C96EAD">
        <w:t xml:space="preserve">– </w:t>
      </w:r>
      <w:r w:rsidRPr="00C96EAD">
        <w:t>EGF/2025/004 BE/Tupperware</w:t>
      </w:r>
      <w:bookmarkEnd w:id="5"/>
      <w:r w:rsidRPr="00C96EAD">
        <w:t xml:space="preserve"> </w:t>
      </w:r>
      <w:bookmarkStart w:id="6" w:name="References"/>
      <w:r w:rsidRPr="00C96EAD">
        <w:t>(</w:t>
      </w:r>
      <w:proofErr w:type="gramStart"/>
      <w:r w:rsidRPr="00C96EAD">
        <w:t>COM(</w:t>
      </w:r>
      <w:proofErr w:type="gramEnd"/>
      <w:r w:rsidRPr="00C96EAD">
        <w:t>2026)0001 – C10</w:t>
      </w:r>
      <w:r w:rsidR="00C96EAD" w:rsidRPr="00C96EAD">
        <w:noBreakHyphen/>
      </w:r>
      <w:r w:rsidRPr="00C96EAD">
        <w:t>0012/2026 – 2026/0004(BUD))</w:t>
      </w:r>
      <w:bookmarkEnd w:id="6"/>
    </w:p>
    <w:p w14:paraId="710B4D85" w14:textId="77777777" w:rsidR="007C1F6F" w:rsidRPr="00C96EAD" w:rsidRDefault="007C1F6F" w:rsidP="007C1F6F">
      <w:pPr>
        <w:pStyle w:val="EPComma"/>
        <w:rPr>
          <w:noProof/>
        </w:rPr>
      </w:pPr>
      <w:r w:rsidRPr="00C96EAD">
        <w:rPr>
          <w:i/>
          <w:iCs/>
        </w:rPr>
        <w:t>O Parlamento Europeu</w:t>
      </w:r>
      <w:r w:rsidRPr="00C96EAD">
        <w:t>,</w:t>
      </w:r>
    </w:p>
    <w:p w14:paraId="59A9DD07" w14:textId="4BAC50BF" w:rsidR="007C1F6F" w:rsidRPr="00C96EAD" w:rsidRDefault="007C1F6F" w:rsidP="007C1F6F">
      <w:pPr>
        <w:pStyle w:val="NormalHanging12a"/>
        <w:rPr>
          <w:noProof/>
        </w:rPr>
      </w:pPr>
      <w:r w:rsidRPr="00C96EAD">
        <w:t>–</w:t>
      </w:r>
      <w:r w:rsidRPr="00C96EAD">
        <w:tab/>
        <w:t>Tendo em conta a proposta da Comissão ao Parlamento Europeu e ao Conselho (</w:t>
      </w:r>
      <w:proofErr w:type="gramStart"/>
      <w:r w:rsidRPr="00C96EAD">
        <w:t>COM(</w:t>
      </w:r>
      <w:proofErr w:type="gramEnd"/>
      <w:r w:rsidRPr="00C96EAD">
        <w:t>2026)0001 – C10</w:t>
      </w:r>
      <w:r w:rsidRPr="00C96EAD">
        <w:noBreakHyphen/>
        <w:t>0012/2026),</w:t>
      </w:r>
    </w:p>
    <w:p w14:paraId="64913D2B" w14:textId="77777777" w:rsidR="007C1F6F" w:rsidRPr="00C96EAD" w:rsidRDefault="007C1F6F" w:rsidP="007C1F6F">
      <w:pPr>
        <w:pStyle w:val="NormalHanging12a"/>
      </w:pPr>
      <w:r w:rsidRPr="00C96EAD">
        <w:t>–</w:t>
      </w:r>
      <w:r w:rsidRPr="00C96EAD">
        <w:tab/>
        <w:t>Tendo em conta o Regulamento (UE) 2021/691 do Parlamento Europeu e do Conselho, de 28 de abril de 2021, relativo ao Fundo Europeu de Ajustamento à Globalização a favor dos Trabalhadores Despedidos (FEG) e que revoga o Regulamento (UE) n.º 1309/2013</w:t>
      </w:r>
      <w:r w:rsidRPr="00C96EAD">
        <w:rPr>
          <w:vertAlign w:val="superscript"/>
        </w:rPr>
        <w:footnoteReference w:id="1"/>
      </w:r>
      <w:r w:rsidRPr="00C96EAD">
        <w:t xml:space="preserve"> («Regulamento FEG»), </w:t>
      </w:r>
    </w:p>
    <w:p w14:paraId="32E47C7B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–</w:t>
      </w:r>
      <w:r w:rsidRPr="00C96EAD">
        <w:tab/>
        <w:t>Tendo em conta o Regulamento (UE, Euratom) 2020/2093 do Conselho, de 17 de dezembro de 2020, que estabelece o quadro financeiro plurianual para o período de 2021 a 2027</w:t>
      </w:r>
      <w:r w:rsidRPr="00C96EAD">
        <w:rPr>
          <w:noProof/>
          <w:vertAlign w:val="superscript"/>
        </w:rPr>
        <w:footnoteReference w:id="2"/>
      </w:r>
      <w:r w:rsidRPr="00C96EAD">
        <w:t>, com a redação que lhe foi dada pelo Regulamento (UE, Euratom) 2024/765</w:t>
      </w:r>
      <w:r w:rsidRPr="00C96EAD">
        <w:rPr>
          <w:noProof/>
          <w:vertAlign w:val="superscript"/>
        </w:rPr>
        <w:footnoteReference w:id="3"/>
      </w:r>
      <w:r w:rsidRPr="00C96EAD">
        <w:t xml:space="preserve"> («Regulamento QFP»), nomeadamente o artigo 8.º, </w:t>
      </w:r>
    </w:p>
    <w:p w14:paraId="028836B5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–</w:t>
      </w:r>
      <w:r w:rsidRPr="00C96EAD">
        <w:tab/>
        <w:t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novos recursos próprios</w:t>
      </w:r>
      <w:r w:rsidRPr="00C96EAD">
        <w:rPr>
          <w:rStyle w:val="FootnoteReference"/>
          <w:noProof/>
        </w:rPr>
        <w:footnoteReference w:id="4"/>
      </w:r>
      <w:r w:rsidRPr="00C96EAD">
        <w:t>, nomeadamente o ponto 9,</w:t>
      </w:r>
    </w:p>
    <w:p w14:paraId="3EA75DD3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lastRenderedPageBreak/>
        <w:t>–</w:t>
      </w:r>
      <w:r w:rsidRPr="00C96EAD">
        <w:tab/>
        <w:t>Tendo em conta o Pilar Europeu dos Direitos Sociais,</w:t>
      </w:r>
    </w:p>
    <w:p w14:paraId="35C7379B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–</w:t>
      </w:r>
      <w:r w:rsidRPr="00C96EAD">
        <w:tab/>
        <w:t>Tendo em conta o parecer da Comissão do Emprego e dos Assuntos Sociais,</w:t>
      </w:r>
    </w:p>
    <w:p w14:paraId="36ACF885" w14:textId="77777777" w:rsidR="007C1F6F" w:rsidRPr="00C96EAD" w:rsidRDefault="007C1F6F" w:rsidP="007C1F6F">
      <w:pPr>
        <w:pStyle w:val="NormalHanging12a"/>
      </w:pPr>
      <w:r w:rsidRPr="00C96EAD">
        <w:t>–</w:t>
      </w:r>
      <w:r w:rsidRPr="00C96EAD">
        <w:tab/>
        <w:t>Tendo em conta o relatório da Comissão dos Orçamentos (A10</w:t>
      </w:r>
      <w:r w:rsidRPr="00C96EAD">
        <w:noBreakHyphen/>
        <w:t>0030/2026),</w:t>
      </w:r>
    </w:p>
    <w:p w14:paraId="24C6DD89" w14:textId="7E8E5073" w:rsidR="007C1F6F" w:rsidRPr="00C96EAD" w:rsidRDefault="007C1F6F" w:rsidP="007C1F6F">
      <w:pPr>
        <w:pStyle w:val="NormalHanging12a"/>
        <w:rPr>
          <w:noProof/>
        </w:rPr>
      </w:pPr>
      <w:r w:rsidRPr="00C96EAD">
        <w:t>A.</w:t>
      </w:r>
      <w:r w:rsidRPr="00C96EAD">
        <w:tab/>
        <w:t>Considerando que a União criou instrumentos legislativos e orçamentais para prestar um apoio complementar aos trabalhadores afetados pelas consequências de importantes mudanças e acontecimentos com efeitos estruturais nos padrões do comércio mundial e para ajudar os referidos trabalhadores no processo de reintegração no mercado de trabalho</w:t>
      </w:r>
      <w:r w:rsidR="00436021" w:rsidRPr="00C96EAD">
        <w:t>; considerando que</w:t>
      </w:r>
      <w:r w:rsidRPr="00C96EAD">
        <w:t xml:space="preserve"> essa assistência é prestada através de um apoio financeiro concedido aos trabalhadores;</w:t>
      </w:r>
    </w:p>
    <w:p w14:paraId="7C2D94BA" w14:textId="67FE61FD" w:rsidR="007C1F6F" w:rsidRPr="00C96EAD" w:rsidRDefault="007C1F6F" w:rsidP="007C1F6F">
      <w:pPr>
        <w:pStyle w:val="NormalHanging12a"/>
        <w:rPr>
          <w:noProof/>
        </w:rPr>
      </w:pPr>
      <w:r w:rsidRPr="00C96EAD">
        <w:t>B.</w:t>
      </w:r>
      <w:r w:rsidRPr="00C96EAD">
        <w:tab/>
        <w:t xml:space="preserve">Considerando que a Bélgica apresentou a candidatura EGF/2025/004 BE/Tupperware a uma contribuição financeira do </w:t>
      </w:r>
      <w:r w:rsidR="00612470" w:rsidRPr="00C96EAD">
        <w:t>Fundo Europeu de Ajustamento à Globalização (</w:t>
      </w:r>
      <w:r w:rsidRPr="00C96EAD">
        <w:t>FEG</w:t>
      </w:r>
      <w:r w:rsidR="00612470" w:rsidRPr="00C96EAD">
        <w:t>)</w:t>
      </w:r>
      <w:r w:rsidRPr="00C96EAD">
        <w:t>, na sequência de 267 despedimentos</w:t>
      </w:r>
      <w:r w:rsidRPr="00C96EAD">
        <w:rPr>
          <w:noProof/>
          <w:vertAlign w:val="superscript"/>
        </w:rPr>
        <w:footnoteReference w:id="5"/>
      </w:r>
      <w:r w:rsidRPr="00C96EAD">
        <w:t xml:space="preserve"> na empresa Tupperware General Services NV (Tupperware), do setor de atividade económica classificado na divisão 22 (Fabricação de artigos de borracha e de matérias plásticas) da NACE Revisão 2, na província da Flandres Oriental (BE23), no período de referência de 17 de fevereiro de 2025 a 17 de junho de 2025; </w:t>
      </w:r>
    </w:p>
    <w:p w14:paraId="7BAF9A1B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C.</w:t>
      </w:r>
      <w:r w:rsidRPr="00C96EAD">
        <w:tab/>
        <w:t>Considerando que a candidatura se baseia no critério de intervenção previsto no artigo 4.º, n.º 2, alínea a), do Regulamento FEG, que condiciona o apoio à cessação da atividade de pelo menos 200 trabalhadores despedidos durante um período de referência de quatro meses numa empresa de um Estado</w:t>
      </w:r>
      <w:r w:rsidRPr="00C96EAD">
        <w:noBreakHyphen/>
        <w:t xml:space="preserve">Membro; </w:t>
      </w:r>
    </w:p>
    <w:p w14:paraId="1AB7E570" w14:textId="34B138E0" w:rsidR="007C1F6F" w:rsidRPr="00C96EAD" w:rsidRDefault="007C1F6F" w:rsidP="007C1F6F">
      <w:pPr>
        <w:pStyle w:val="NormalHanging12a"/>
        <w:rPr>
          <w:noProof/>
        </w:rPr>
      </w:pPr>
      <w:r w:rsidRPr="00C96EAD">
        <w:t>D.</w:t>
      </w:r>
      <w:r w:rsidRPr="00C96EAD">
        <w:tab/>
        <w:t>Considerando que a Tupperware declarou insolvência em 17 de fevereiro de 2025</w:t>
      </w:r>
      <w:r w:rsidR="00436021" w:rsidRPr="00C96EAD">
        <w:t>; considerando que</w:t>
      </w:r>
      <w:r w:rsidRPr="00C96EAD">
        <w:t>, na Bélgica, as insolvências têm aumentado desde 2022;</w:t>
      </w:r>
    </w:p>
    <w:p w14:paraId="1BE9B542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E.</w:t>
      </w:r>
      <w:r w:rsidRPr="00C96EAD">
        <w:tab/>
        <w:t>Considerando que a Bélgica afirmou que o VDAB está a garantir o pré</w:t>
      </w:r>
      <w:r w:rsidRPr="00C96EAD">
        <w:noBreakHyphen/>
        <w:t>financiamento e o cofinanciamento nacionais das medidas;</w:t>
      </w:r>
    </w:p>
    <w:p w14:paraId="6FDB67F6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F.</w:t>
      </w:r>
      <w:r w:rsidRPr="00C96EAD">
        <w:tab/>
        <w:t>Considerando que foram cumpridos os requisitos definidos na legislação da União e na legislação nacional em matéria de despedimentos coletivos;</w:t>
      </w:r>
    </w:p>
    <w:p w14:paraId="4F30310B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G.</w:t>
      </w:r>
      <w:r w:rsidRPr="00C96EAD">
        <w:tab/>
        <w:t>Considerando que as contribuições financeiras do FEG se devem destinar prioritariamente a medidas estratégicas ativas do mercado de trabalho e a serviços personalizados que visem reintegrar rapidamente os beneficiários em empregos dignos e sustentáveis, preparando</w:t>
      </w:r>
      <w:r w:rsidRPr="00C96EAD">
        <w:noBreakHyphen/>
        <w:t>os simultaneamente para uma economia europeia digital e mais verde;</w:t>
      </w:r>
    </w:p>
    <w:p w14:paraId="06D64366" w14:textId="0DDFAED6" w:rsidR="007C1F6F" w:rsidRPr="00C96EAD" w:rsidRDefault="007C1F6F" w:rsidP="007C1F6F">
      <w:pPr>
        <w:pStyle w:val="NormalHanging12a"/>
        <w:rPr>
          <w:noProof/>
        </w:rPr>
      </w:pPr>
      <w:r w:rsidRPr="00C96EAD">
        <w:t>H.</w:t>
      </w:r>
      <w:r w:rsidRPr="00C96EAD">
        <w:tab/>
        <w:t>Considerando que a intervenção do FEG não deve exceder o montante máximo anual de 30 milhões de EUR (a preços de 2018)</w:t>
      </w:r>
      <w:r w:rsidRPr="00C96EAD">
        <w:rPr>
          <w:noProof/>
          <w:vertAlign w:val="superscript"/>
        </w:rPr>
        <w:footnoteReference w:id="6"/>
      </w:r>
      <w:r w:rsidRPr="00C96EAD">
        <w:t>;</w:t>
      </w:r>
    </w:p>
    <w:p w14:paraId="64E44FB5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1.</w:t>
      </w:r>
      <w:r w:rsidRPr="00C96EAD">
        <w:tab/>
        <w:t xml:space="preserve">Partilha do ponto de vista da Comissão, segundo o qual as condições estabelecidas no Regulamento FEG, em especial no artigo 4.º, n.º 2, alínea a), estão preenchidas e a Bélgica tem direito a uma contribuição financeira no montante de 1 622 650 EUR ao abrigo do referido regulamento, o que representa 85 % do custo total de 1 909 000 EUR, incluindo despesas com serviços personalizados no valor de 1 843 500 EUR e despesas com atividades de preparação, gestão, informação e </w:t>
      </w:r>
      <w:r w:rsidRPr="00C96EAD">
        <w:lastRenderedPageBreak/>
        <w:t>publicidade, controlo e elaboração de relatórios no valor de 65 500 EUR;</w:t>
      </w:r>
    </w:p>
    <w:p w14:paraId="25D2C0AD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2.</w:t>
      </w:r>
      <w:r w:rsidRPr="00C96EAD">
        <w:tab/>
        <w:t>Observa que as autoridades belgas apresentaram a candidatura em 28 de agosto de 2025 e que, na sequência da receção de informações complementares da Bélgica, a avaliação da candidatura foi concluída pela Comissão em 20 de janeiro de 2026, quase cinco meses depois, e transmitida ao Parlamento no mesmo dia; salienta a importância de encurtar o prazo entre a apresentação de um pedido de assistência do FEG e a decisão de financiamento, salvaguardando plenamente os direitos do Parlamento Europeu enquanto um dos ramos da autoridade orçamental;</w:t>
      </w:r>
    </w:p>
    <w:p w14:paraId="2136723C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3.</w:t>
      </w:r>
      <w:r w:rsidRPr="00C96EAD">
        <w:tab/>
        <w:t>Assinala que a candidatura diz respeito a 267 beneficiários visados, que foram despedidos da Tupperware;</w:t>
      </w:r>
    </w:p>
    <w:p w14:paraId="40C922EA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4.</w:t>
      </w:r>
      <w:r w:rsidRPr="00C96EAD">
        <w:tab/>
        <w:t xml:space="preserve">Faz notar que a Tupperware estava localizada em </w:t>
      </w:r>
      <w:proofErr w:type="spellStart"/>
      <w:r w:rsidRPr="00C96EAD">
        <w:t>Aalst</w:t>
      </w:r>
      <w:proofErr w:type="spellEnd"/>
      <w:r w:rsidRPr="00C96EAD">
        <w:t>, na província da Flandres Oriental, onde apenas uma em duas pessoas estava empregada, em comparação com a média de duas em três pessoas na região da Flandres, mesmo antes da insolvência da Tupperware; lamenta que estes despedimentos agravem ainda mais a situação; frisa que são necessárias medidas rápidas para evitar o declínio estrutural regional;</w:t>
      </w:r>
    </w:p>
    <w:p w14:paraId="7F4D50E8" w14:textId="594309D4" w:rsidR="007C1F6F" w:rsidRPr="00C96EAD" w:rsidRDefault="007C1F6F" w:rsidP="007C1F6F">
      <w:pPr>
        <w:pStyle w:val="NormalHanging12a"/>
        <w:rPr>
          <w:noProof/>
        </w:rPr>
      </w:pPr>
      <w:r w:rsidRPr="00C96EAD">
        <w:t>5.</w:t>
      </w:r>
      <w:r w:rsidRPr="00C96EAD">
        <w:tab/>
        <w:t xml:space="preserve">Lamenta que a Tupperware </w:t>
      </w:r>
      <w:proofErr w:type="spellStart"/>
      <w:r w:rsidRPr="00C96EAD">
        <w:t>Brands</w:t>
      </w:r>
      <w:proofErr w:type="spellEnd"/>
      <w:r w:rsidRPr="00C96EAD">
        <w:t>, a empresa</w:t>
      </w:r>
      <w:r w:rsidRPr="00C96EAD">
        <w:noBreakHyphen/>
        <w:t>mãe norte</w:t>
      </w:r>
      <w:r w:rsidRPr="00C96EAD">
        <w:noBreakHyphen/>
        <w:t>americana, tenha sido adquirida pelos credores em outubro de 2024 e que, na sequência de uma profunda restruturação, tenha revogado as licenças, nomeadamente de fabrico, concedidas à Tupperware General Services NV, tornando a filial belga financeiramente inviável e conduzindo à sua insolvência em 17 de fevereiro de 2025;</w:t>
      </w:r>
    </w:p>
    <w:p w14:paraId="5425D5AE" w14:textId="7BDCEBCB" w:rsidR="007C1F6F" w:rsidRPr="00C96EAD" w:rsidRDefault="007C1F6F" w:rsidP="007C1F6F">
      <w:pPr>
        <w:pStyle w:val="NormalHanging12a"/>
        <w:rPr>
          <w:noProof/>
        </w:rPr>
      </w:pPr>
      <w:r w:rsidRPr="00C96EAD">
        <w:t>6.</w:t>
      </w:r>
      <w:r w:rsidRPr="00C96EAD">
        <w:tab/>
        <w:t>Congratula</w:t>
      </w:r>
      <w:r w:rsidRPr="00C96EAD">
        <w:noBreakHyphen/>
        <w:t>se com a iniciativa do grupo de empresários europeus que visa relançar a marca na Alemanha, na França, na Bélgica, na Itália e na Polónia;</w:t>
      </w:r>
    </w:p>
    <w:p w14:paraId="4A8368B9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7.</w:t>
      </w:r>
      <w:r w:rsidRPr="00C96EAD">
        <w:tab/>
        <w:t>Frisa que, na Flandres, o risco de desemprego duplica para as pessoas com um baixo nível de escolaridade; observa que um terço dos trabalhadores despedidos não foi além do terceiro ciclo do ensino básico; insta as autoridades belgas a prestarem um apoio específico adaptado a estes perfis para ajudar os trabalhadores a superar as suas lacunas e a encontrar novos empregos e, ao mesmo tempo, a tomarem medidas para reduzir o número de insolvências e combater as disparidades sociais que conduzem à exclusão da mão de obra;</w:t>
      </w:r>
    </w:p>
    <w:p w14:paraId="2E556C5B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8.</w:t>
      </w:r>
      <w:r w:rsidRPr="00C96EAD">
        <w:tab/>
        <w:t>Recorda que, em concertação com os sindicatos, os peritos e os parceiros sociais, os serviços personalizados a prestar aos trabalhadores consistem nas seguintes medidas: sessões de informação com vista à reinserção profissional, serviços de recolocação, designadamente formação em TIC; assistência na procura de emprego através de orientação e ajuda reforçada na procura de emprego, de formação e reconversão, de feiras de emprego, de buscas de empregos e de correspondência entre oferta e procura de emprego; destaca a importância de promover empregos de elevada qualidade e orientados para o futuro como forma de garantir resiliência económica e social a longo prazo; insta as autoridades belgas a estabelecerem um diálogo com os novos representantes da Tupperware europeia, a fim de explorar as possibilidades de reintegração dos trabalhadores despedidos nas suas atividades económicas;</w:t>
      </w:r>
    </w:p>
    <w:p w14:paraId="1E2AAF29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9.</w:t>
      </w:r>
      <w:r w:rsidRPr="00C96EAD">
        <w:tab/>
        <w:t xml:space="preserve">Frisa que as qualificações e competências dos trabalhadores despedidos continuam a ser fundamentais para uma economia europeia orientada para o futuro; considera, por conseguinte, que a mobilização do FEG deve ser integrada numa resposta estratégica mais ampla, em todos os domínios de intervenção, a fim de garantir que os </w:t>
      </w:r>
      <w:r w:rsidRPr="00C96EAD">
        <w:lastRenderedPageBreak/>
        <w:t>trabalhadores afetados encontrem oportunidades adequadas que correspondam às suas qualificações e competências; recorda ainda que o FEG é um instrumento de solidariedade e de transição justa e que a missão primordial da União deve ser evitar este tipo de encerramentos; considera que, embora o FEG preste o apoio necessário aos trabalhadores afetados, uma política industrial mais forte, uma economia mais sólida, sustentável e resiliente e a diminuição das dependências estratégicas são essenciais para salvaguardar a base de emprego industrial europeia;</w:t>
      </w:r>
    </w:p>
    <w:p w14:paraId="668E7209" w14:textId="77777777" w:rsidR="007C1F6F" w:rsidRPr="00C96EAD" w:rsidRDefault="007C1F6F" w:rsidP="007C1F6F">
      <w:pPr>
        <w:pStyle w:val="NormalHanging12a"/>
        <w:rPr>
          <w:bCs/>
          <w:iCs/>
          <w:noProof/>
        </w:rPr>
      </w:pPr>
      <w:r w:rsidRPr="00C96EAD">
        <w:t>10.</w:t>
      </w:r>
      <w:r w:rsidRPr="00C96EAD">
        <w:tab/>
        <w:t>Frisa que as autoridades belgas devem assegurar a visibilidade do financiamento da União e destacar o seu valor acrescentado, fornecendo informações concretas e específicas aos beneficiários, às autoridades regionais e locais, aos parceiros sociais e ao público em geral;</w:t>
      </w:r>
    </w:p>
    <w:p w14:paraId="01B9C1AD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11.</w:t>
      </w:r>
      <w:r w:rsidRPr="00C96EAD">
        <w:tab/>
        <w:t>Solicita a realização de avaliações finais exaustivas das medidas aplicadas, incluindo informações claras sobre o modo como os fundos foram utilizados e se foram gastos em conformidade com os planos aprovados; salienta que essas avaliações se devem basear em objetivos claramente definidos e em resultados mensuráveis, permitindo uma análise das soluções encontradas para os trabalhadores em causa; frisa a importância de assegurar intervenções mais rápidas e eficazes e recorda, neste contexto, a necessidade de estudar formas de garantir a sustentabilidade do FEG, ou do seu programa sucessor, no âmbito do próximo quadro financeiro plurianual 2028</w:t>
      </w:r>
      <w:r w:rsidRPr="00C96EAD">
        <w:noBreakHyphen/>
        <w:t>2034;</w:t>
      </w:r>
    </w:p>
    <w:p w14:paraId="4E47CDBB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12.</w:t>
      </w:r>
      <w:r w:rsidRPr="00C96EAD">
        <w:tab/>
        <w:t>Assinala que a Bélgica iniciou a prestação de serviços personalizados aos beneficiários visados em 17 de fevereiro de 2025 e que, por conseguinte, o período de elegibilidade para uma contribuição financeira do FEG decorre a partir dessa data e até 24 meses após a data de entrada em vigor da decisão de financiamento;</w:t>
      </w:r>
    </w:p>
    <w:p w14:paraId="33AC6E81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13.</w:t>
      </w:r>
      <w:r w:rsidRPr="00C96EAD">
        <w:tab/>
        <w:t>Assinala que a Bélgica iniciou as despesas administrativas para a execução do FEG em 17 de fevereiro de 2025 e que, portanto, as referidas despesas são elegíveis para uma contribuição financeira do FEG a partir dessa data e até 31 meses após a data de entrada em vigor da decisão de financiamento;</w:t>
      </w:r>
    </w:p>
    <w:p w14:paraId="79182719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14.</w:t>
      </w:r>
      <w:r w:rsidRPr="00C96EAD">
        <w:tab/>
        <w:t>Observa que as autoridades belgas confirmaram que os princípios da igualdade de tratamento e da não discriminação serão respeitados no acesso às ações propostas e na sua execução, e que qualquer duplo financiamento será evitado;</w:t>
      </w:r>
    </w:p>
    <w:p w14:paraId="2EA0DAED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15.</w:t>
      </w:r>
      <w:r w:rsidRPr="00C96EAD">
        <w:tab/>
        <w:t>Reitera que a assistência do FEG não deve substituir as medidas que são da responsabilidade das empresas ao abrigo da legislação nacional ou das convenções coletivas;</w:t>
      </w:r>
    </w:p>
    <w:p w14:paraId="6BFB7EDA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16.</w:t>
      </w:r>
      <w:r w:rsidRPr="00C96EAD">
        <w:tab/>
        <w:t>Aprova a decisão anexa à presente resolução;</w:t>
      </w:r>
    </w:p>
    <w:p w14:paraId="2A3E5959" w14:textId="77777777" w:rsidR="007C1F6F" w:rsidRPr="00C96EAD" w:rsidRDefault="007C1F6F" w:rsidP="007C1F6F">
      <w:pPr>
        <w:pStyle w:val="NormalHanging12a"/>
        <w:rPr>
          <w:noProof/>
        </w:rPr>
      </w:pPr>
      <w:r w:rsidRPr="00C96EAD">
        <w:t>17.</w:t>
      </w:r>
      <w:r w:rsidRPr="00C96EAD">
        <w:tab/>
        <w:t xml:space="preserve">Encarrega a sua Presidente de assinar a decisão em referência, juntamente com o Presidente do Conselho, e de prover à respetiva publicação no </w:t>
      </w:r>
      <w:r w:rsidRPr="00C96EAD">
        <w:rPr>
          <w:i/>
          <w:iCs/>
        </w:rPr>
        <w:t>Jornal Oficial da União Europeia</w:t>
      </w:r>
      <w:r w:rsidRPr="00C96EAD">
        <w:t>;</w:t>
      </w:r>
    </w:p>
    <w:p w14:paraId="6D68DCCC" w14:textId="7BCA6537" w:rsidR="007C1F6F" w:rsidRPr="00C96EAD" w:rsidRDefault="007C1F6F" w:rsidP="007C1F6F">
      <w:pPr>
        <w:pStyle w:val="NormalHanging12a"/>
        <w:rPr>
          <w:noProof/>
        </w:rPr>
      </w:pPr>
      <w:r w:rsidRPr="00C96EAD">
        <w:t>18.</w:t>
      </w:r>
      <w:r w:rsidRPr="00C96EAD">
        <w:tab/>
        <w:t>Encarrega a sua Presidente de transmitir a presente resolução e o respetivo anexo ao Conselho e à Comissão.</w:t>
      </w:r>
    </w:p>
    <w:p w14:paraId="6AEB6549" w14:textId="77777777" w:rsidR="007C1F6F" w:rsidRPr="00C96EAD" w:rsidRDefault="007C1F6F" w:rsidP="007C1F6F">
      <w:pPr>
        <w:rPr>
          <w:noProof/>
        </w:rPr>
      </w:pPr>
    </w:p>
    <w:p w14:paraId="63998001" w14:textId="77777777" w:rsidR="007C1F6F" w:rsidRPr="00C96EAD" w:rsidRDefault="007C1F6F" w:rsidP="007C1F6F">
      <w:pPr>
        <w:pStyle w:val="PageHeading"/>
        <w:rPr>
          <w:noProof/>
        </w:rPr>
        <w:sectPr w:rsidR="007C1F6F" w:rsidRPr="00C96EAD" w:rsidSect="00803EF5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5E0D0B2" w14:textId="77777777" w:rsidR="00E43113" w:rsidRDefault="007C1F6F" w:rsidP="00C96EAD">
      <w:pPr>
        <w:pStyle w:val="PageHeading"/>
        <w:spacing w:after="240"/>
        <w:rPr>
          <w:rFonts w:ascii="Times New Roman" w:hAnsi="Times New Roman" w:cs="Times New Roman"/>
        </w:rPr>
      </w:pPr>
      <w:bookmarkStart w:id="7" w:name="_Toc223509157"/>
      <w:r w:rsidRPr="00E43113">
        <w:rPr>
          <w:rFonts w:ascii="Times New Roman" w:hAnsi="Times New Roman" w:cs="Times New Roman"/>
        </w:rPr>
        <w:lastRenderedPageBreak/>
        <w:t>ANEXO</w:t>
      </w:r>
    </w:p>
    <w:p w14:paraId="12D08227" w14:textId="32E0D1E3" w:rsidR="007C1F6F" w:rsidRPr="00E43113" w:rsidRDefault="007C1F6F" w:rsidP="00C96EAD">
      <w:pPr>
        <w:pStyle w:val="PageHeading"/>
        <w:spacing w:after="240"/>
        <w:rPr>
          <w:rFonts w:ascii="Times New Roman" w:hAnsi="Times New Roman" w:cs="Times New Roman"/>
          <w:noProof/>
        </w:rPr>
      </w:pPr>
      <w:r w:rsidRPr="00E43113">
        <w:rPr>
          <w:rFonts w:ascii="Times New Roman" w:hAnsi="Times New Roman" w:cs="Times New Roman"/>
        </w:rPr>
        <w:t>DECISÃO DO PARLAMENTO EUROPEU E DO CONSELHO</w:t>
      </w:r>
      <w:bookmarkEnd w:id="7"/>
    </w:p>
    <w:p w14:paraId="641DD933" w14:textId="654ECC85" w:rsidR="007C1F6F" w:rsidRDefault="007C1F6F" w:rsidP="00C96EAD">
      <w:pPr>
        <w:pStyle w:val="Institutionquiagit"/>
        <w:spacing w:before="0" w:after="240"/>
        <w:jc w:val="center"/>
        <w:rPr>
          <w:b/>
        </w:rPr>
      </w:pPr>
      <w:r w:rsidRPr="00C96EAD">
        <w:rPr>
          <w:b/>
        </w:rPr>
        <w:t xml:space="preserve">relativa à mobilização do Fundo Europeu de Ajustamento à Globalização a favor dos Trabalhadores Despedidos na sequência de uma candidatura da Bélgica </w:t>
      </w:r>
      <w:r w:rsidR="00124574" w:rsidRPr="00C96EAD">
        <w:rPr>
          <w:b/>
        </w:rPr>
        <w:t>–</w:t>
      </w:r>
      <w:r w:rsidRPr="00C96EAD">
        <w:rPr>
          <w:b/>
        </w:rPr>
        <w:t xml:space="preserve"> EGF/2025/004 BE/Tupperware</w:t>
      </w:r>
    </w:p>
    <w:p w14:paraId="126C8B66" w14:textId="101ABA5C" w:rsidR="00E43113" w:rsidRPr="00E43113" w:rsidRDefault="00E43113" w:rsidP="00E43113">
      <w:pPr>
        <w:rPr>
          <w:i/>
          <w:iCs/>
          <w:lang w:eastAsia="en-US"/>
        </w:rPr>
      </w:pPr>
      <w:r w:rsidRPr="00E43113">
        <w:rPr>
          <w:i/>
          <w:iCs/>
          <w:lang w:eastAsia="en-US"/>
        </w:rPr>
        <w:t xml:space="preserve">(O texto deste anexo não é aqui reproduzido dado que corresponde ao ato final, Decisão (UE) </w:t>
      </w:r>
      <w:r>
        <w:rPr>
          <w:i/>
          <w:iCs/>
          <w:lang w:eastAsia="en-US"/>
        </w:rPr>
        <w:t>2026/723</w:t>
      </w:r>
      <w:r w:rsidRPr="00E43113">
        <w:rPr>
          <w:i/>
          <w:iCs/>
          <w:lang w:eastAsia="en-US"/>
        </w:rPr>
        <w:t>.)</w:t>
      </w:r>
    </w:p>
    <w:sectPr w:rsidR="00E43113" w:rsidRPr="00E43113" w:rsidSect="00803EF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62B4B" w14:textId="77777777" w:rsidR="000846FF" w:rsidRPr="00803EF5" w:rsidRDefault="000846FF">
      <w:r w:rsidRPr="00803EF5">
        <w:separator/>
      </w:r>
    </w:p>
  </w:endnote>
  <w:endnote w:type="continuationSeparator" w:id="0">
    <w:p w14:paraId="73FD94B2" w14:textId="77777777" w:rsidR="000846FF" w:rsidRPr="00803EF5" w:rsidRDefault="000846FF">
      <w:r w:rsidRPr="00803E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09B4" w14:textId="77777777" w:rsidR="007C1F6F" w:rsidRPr="00803EF5" w:rsidRDefault="007C1F6F" w:rsidP="005820EC">
    <w:pPr>
      <w:pStyle w:val="EPFooter"/>
    </w:pPr>
    <w:r w:rsidRPr="00803EF5">
      <w:t>PE</w:t>
    </w:r>
    <w:r w:rsidRPr="00803EF5">
      <w:rPr>
        <w:rStyle w:val="HideTWBExt"/>
      </w:rPr>
      <w:t>&lt;NoPE&gt;</w:t>
    </w:r>
    <w:r w:rsidRPr="00803EF5">
      <w:t>782.416</w:t>
    </w:r>
    <w:r w:rsidRPr="00803EF5">
      <w:rPr>
        <w:rStyle w:val="HideTWBExt"/>
      </w:rPr>
      <w:t>&lt;/NoPE&gt;&lt;Version&gt;</w:t>
    </w:r>
    <w:r w:rsidRPr="00803EF5">
      <w:t>v02</w:t>
    </w:r>
    <w:r w:rsidRPr="00803EF5">
      <w:noBreakHyphen/>
      <w:t>00</w:t>
    </w:r>
    <w:r w:rsidRPr="00803EF5">
      <w:rPr>
        <w:rStyle w:val="HideTWBExt"/>
      </w:rPr>
      <w:t>&lt;/Version&gt;</w:t>
    </w:r>
    <w:r w:rsidRPr="00803EF5">
      <w:tab/>
    </w:r>
    <w:r w:rsidRPr="00803EF5">
      <w:fldChar w:fldCharType="begin"/>
    </w:r>
    <w:r w:rsidRPr="00803EF5">
      <w:instrText xml:space="preserve"> PAGE  \* MERGEFORMAT </w:instrText>
    </w:r>
    <w:r w:rsidRPr="00803EF5">
      <w:fldChar w:fldCharType="separate"/>
    </w:r>
    <w:r w:rsidRPr="00803EF5">
      <w:rPr>
        <w:noProof/>
      </w:rPr>
      <w:t>2</w:t>
    </w:r>
    <w:r w:rsidRPr="00803EF5">
      <w:fldChar w:fldCharType="end"/>
    </w:r>
    <w:r w:rsidRPr="00803EF5">
      <w:t>/</w:t>
    </w:r>
    <w:fldSimple w:instr=" NUMPAGES  \* MERGEFORMAT ">
      <w:r w:rsidRPr="00803EF5">
        <w:rPr>
          <w:noProof/>
        </w:rPr>
        <w:t>18</w:t>
      </w:r>
    </w:fldSimple>
    <w:r w:rsidRPr="00803EF5">
      <w:tab/>
    </w:r>
    <w:r w:rsidRPr="00803EF5">
      <w:rPr>
        <w:rStyle w:val="HideTWBExt"/>
      </w:rPr>
      <w:t>&lt;PathFdR&gt;</w:t>
    </w:r>
    <w:r w:rsidRPr="00803EF5">
      <w:t>RR\1338392PT.docx</w:t>
    </w:r>
    <w:r w:rsidRPr="00803EF5">
      <w:rPr>
        <w:rStyle w:val="HideTWBExt"/>
      </w:rPr>
      <w:t>&lt;/PathFdR&gt;</w:t>
    </w:r>
  </w:p>
  <w:p w14:paraId="25622532" w14:textId="77777777" w:rsidR="007C1F6F" w:rsidRPr="00803EF5" w:rsidRDefault="007C1F6F" w:rsidP="005820EC">
    <w:pPr>
      <w:pStyle w:val="EPFooter2"/>
    </w:pPr>
    <w:r w:rsidRPr="00803EF5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FFD5" w14:textId="752B8DEF" w:rsidR="007C1F6F" w:rsidRPr="0082197C" w:rsidRDefault="007C1F6F" w:rsidP="0082197C">
    <w:pPr>
      <w:pStyle w:val="EPFooter2"/>
      <w:ind w:left="0"/>
      <w:rPr>
        <w:rFonts w:ascii="Times New Roman" w:hAnsi="Times New Roman" w:cs="Times New Roman"/>
        <w:b w:val="0"/>
        <w:bCs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3AF0" w14:textId="77777777" w:rsidR="007C1F6F" w:rsidRPr="00803EF5" w:rsidRDefault="007C1F6F" w:rsidP="005820EC">
    <w:pPr>
      <w:pStyle w:val="EPFooter"/>
    </w:pPr>
    <w:r w:rsidRPr="00803EF5">
      <w:rPr>
        <w:rStyle w:val="HideTWBExt"/>
      </w:rPr>
      <w:t>&lt;PathFdR&gt;</w:t>
    </w:r>
    <w:r w:rsidRPr="00803EF5">
      <w:t>RR\1338392PT.docx</w:t>
    </w:r>
    <w:r w:rsidRPr="00803EF5">
      <w:rPr>
        <w:rStyle w:val="HideTWBExt"/>
      </w:rPr>
      <w:t>&lt;/PathFdR&gt;</w:t>
    </w:r>
    <w:r w:rsidRPr="00803EF5">
      <w:tab/>
    </w:r>
    <w:r w:rsidRPr="00803EF5">
      <w:tab/>
      <w:t>PE</w:t>
    </w:r>
    <w:r w:rsidRPr="00803EF5">
      <w:rPr>
        <w:rStyle w:val="HideTWBExt"/>
      </w:rPr>
      <w:t>&lt;NoPE&gt;</w:t>
    </w:r>
    <w:r w:rsidRPr="00803EF5">
      <w:t>782.416</w:t>
    </w:r>
    <w:r w:rsidRPr="00803EF5">
      <w:rPr>
        <w:rStyle w:val="HideTWBExt"/>
      </w:rPr>
      <w:t>&lt;/NoPE&gt;&lt;Version&gt;</w:t>
    </w:r>
    <w:r w:rsidRPr="00803EF5">
      <w:t>v02</w:t>
    </w:r>
    <w:r w:rsidRPr="00803EF5">
      <w:noBreakHyphen/>
      <w:t>00</w:t>
    </w:r>
    <w:r w:rsidRPr="00803EF5">
      <w:rPr>
        <w:rStyle w:val="HideTWBExt"/>
      </w:rPr>
      <w:t>&lt;/Version&gt;</w:t>
    </w:r>
  </w:p>
  <w:p w14:paraId="3D78148E" w14:textId="77777777" w:rsidR="007C1F6F" w:rsidRPr="00803EF5" w:rsidRDefault="007C1F6F" w:rsidP="005820EC">
    <w:pPr>
      <w:pStyle w:val="EPFooter2"/>
    </w:pPr>
    <w:r w:rsidRPr="00803EF5">
      <w:t>PT</w:t>
    </w:r>
    <w:r w:rsidRPr="00803EF5">
      <w:tab/>
    </w:r>
    <w:r w:rsidRPr="00803EF5">
      <w:rPr>
        <w:b w:val="0"/>
        <w:i/>
        <w:color w:val="C0C0C0"/>
        <w:sz w:val="22"/>
      </w:rPr>
      <w:t>Unida na diversidade</w:t>
    </w:r>
    <w:r w:rsidRPr="00803EF5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EDE83" w14:textId="77777777" w:rsidR="00064002" w:rsidRPr="00803EF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C1D6" w14:textId="77777777" w:rsidR="00064002" w:rsidRPr="00803EF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4757C" w14:textId="77777777" w:rsidR="00064002" w:rsidRPr="00803E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166BA" w14:textId="77777777" w:rsidR="000846FF" w:rsidRPr="00803EF5" w:rsidRDefault="000846FF">
      <w:r w:rsidRPr="00803EF5">
        <w:separator/>
      </w:r>
    </w:p>
  </w:footnote>
  <w:footnote w:type="continuationSeparator" w:id="0">
    <w:p w14:paraId="6EF0989D" w14:textId="77777777" w:rsidR="000846FF" w:rsidRPr="00803EF5" w:rsidRDefault="000846FF">
      <w:r w:rsidRPr="00803EF5">
        <w:continuationSeparator/>
      </w:r>
    </w:p>
  </w:footnote>
  <w:footnote w:id="1">
    <w:p w14:paraId="2A66A806" w14:textId="150355BE" w:rsidR="007C1F6F" w:rsidRPr="00803EF5" w:rsidRDefault="007C1F6F" w:rsidP="00803EF5">
      <w:pPr>
        <w:pStyle w:val="FootnoteText"/>
        <w:ind w:left="567" w:hanging="567"/>
        <w:rPr>
          <w:sz w:val="24"/>
          <w:lang w:val="pt-PT"/>
        </w:rPr>
      </w:pPr>
      <w:r w:rsidRPr="00803EF5">
        <w:rPr>
          <w:rStyle w:val="FootnoteReference"/>
          <w:sz w:val="24"/>
          <w:lang w:val="pt-PT"/>
        </w:rPr>
        <w:footnoteRef/>
      </w:r>
      <w:r w:rsidR="00803EF5" w:rsidRPr="00803EF5">
        <w:rPr>
          <w:sz w:val="24"/>
          <w:lang w:val="pt-PT"/>
        </w:rPr>
        <w:t xml:space="preserve"> </w:t>
      </w:r>
      <w:r w:rsidR="00803EF5" w:rsidRPr="00803EF5">
        <w:rPr>
          <w:sz w:val="24"/>
          <w:lang w:val="pt-PT"/>
        </w:rPr>
        <w:tab/>
      </w:r>
      <w:r w:rsidRPr="00803EF5">
        <w:rPr>
          <w:sz w:val="24"/>
          <w:lang w:val="pt-PT"/>
        </w:rPr>
        <w:t xml:space="preserve">JO L 153 de 3.5.2021, p. 48, ELI: </w:t>
      </w:r>
      <w:hyperlink r:id="rId1" w:history="1">
        <w:r w:rsidRPr="00803EF5">
          <w:rPr>
            <w:rStyle w:val="Hyperlink"/>
            <w:sz w:val="24"/>
            <w:lang w:val="pt-PT"/>
          </w:rPr>
          <w:t>http://data.europa.eu/eli/reg/2021/691/oj</w:t>
        </w:r>
      </w:hyperlink>
      <w:r w:rsidRPr="00803EF5">
        <w:rPr>
          <w:sz w:val="24"/>
          <w:lang w:val="pt-PT"/>
        </w:rPr>
        <w:t>.</w:t>
      </w:r>
    </w:p>
  </w:footnote>
  <w:footnote w:id="2">
    <w:p w14:paraId="3F48B836" w14:textId="77A24628" w:rsidR="007C1F6F" w:rsidRPr="00803EF5" w:rsidRDefault="007C1F6F" w:rsidP="00803EF5">
      <w:pPr>
        <w:pStyle w:val="FootnoteText"/>
        <w:ind w:left="567" w:hanging="567"/>
        <w:rPr>
          <w:sz w:val="24"/>
          <w:lang w:val="pt-PT"/>
        </w:rPr>
      </w:pPr>
      <w:r w:rsidRPr="00803EF5">
        <w:rPr>
          <w:rStyle w:val="FootnoteReference"/>
          <w:sz w:val="24"/>
          <w:lang w:val="pt-PT"/>
        </w:rPr>
        <w:footnoteRef/>
      </w:r>
      <w:r w:rsidR="00803EF5" w:rsidRPr="00803EF5">
        <w:rPr>
          <w:sz w:val="24"/>
          <w:lang w:val="pt-PT"/>
        </w:rPr>
        <w:t xml:space="preserve"> </w:t>
      </w:r>
      <w:r w:rsidR="00803EF5" w:rsidRPr="00803EF5">
        <w:rPr>
          <w:sz w:val="24"/>
          <w:lang w:val="pt-PT"/>
        </w:rPr>
        <w:tab/>
      </w:r>
      <w:r w:rsidRPr="00803EF5">
        <w:rPr>
          <w:sz w:val="24"/>
          <w:lang w:val="pt-PT"/>
        </w:rPr>
        <w:t xml:space="preserve">JO L 433 I de 22.12.2020, p. 11, ELI: </w:t>
      </w:r>
      <w:hyperlink r:id="rId2" w:history="1">
        <w:r w:rsidRPr="00803EF5">
          <w:rPr>
            <w:rStyle w:val="Hyperlink"/>
            <w:sz w:val="24"/>
            <w:lang w:val="pt-PT"/>
          </w:rPr>
          <w:t>http://data.europa.eu/eli/reg/2020/2093/oj</w:t>
        </w:r>
      </w:hyperlink>
      <w:r w:rsidRPr="00803EF5">
        <w:rPr>
          <w:sz w:val="24"/>
          <w:lang w:val="pt-PT"/>
        </w:rPr>
        <w:t>.</w:t>
      </w:r>
    </w:p>
  </w:footnote>
  <w:footnote w:id="3">
    <w:p w14:paraId="63CFB4C6" w14:textId="39FC8CE8" w:rsidR="007C1F6F" w:rsidRPr="00803EF5" w:rsidRDefault="007C1F6F" w:rsidP="00803EF5">
      <w:pPr>
        <w:pStyle w:val="FootnoteText"/>
        <w:ind w:left="567" w:hanging="567"/>
        <w:rPr>
          <w:sz w:val="24"/>
          <w:lang w:val="pt-PT"/>
        </w:rPr>
      </w:pPr>
      <w:r w:rsidRPr="00803EF5">
        <w:rPr>
          <w:rStyle w:val="FootnoteReference"/>
          <w:sz w:val="24"/>
          <w:lang w:val="pt-PT"/>
        </w:rPr>
        <w:footnoteRef/>
      </w:r>
      <w:r w:rsidR="00803EF5" w:rsidRPr="00803EF5">
        <w:rPr>
          <w:sz w:val="24"/>
          <w:shd w:val="clear" w:color="auto" w:fill="FFFFFF"/>
          <w:lang w:val="pt-PT"/>
        </w:rPr>
        <w:t xml:space="preserve"> </w:t>
      </w:r>
      <w:r w:rsidR="00803EF5" w:rsidRPr="00803EF5">
        <w:rPr>
          <w:sz w:val="24"/>
          <w:shd w:val="clear" w:color="auto" w:fill="FFFFFF"/>
          <w:lang w:val="pt-PT"/>
        </w:rPr>
        <w:tab/>
      </w:r>
      <w:r w:rsidRPr="00803EF5">
        <w:rPr>
          <w:sz w:val="24"/>
          <w:shd w:val="clear" w:color="auto" w:fill="FFFFFF"/>
          <w:lang w:val="pt-PT"/>
        </w:rPr>
        <w:t>Regulamento (UE, Euratom) 2024/765 do Conselho, de 29 de fevereiro de 2024, que altera o Regulamento (UE, Euratom) 2020/2093 que estabelece o quadro financeiro plurianual para o período de 2021 a 2027 (JO L, 2024/765, 29.2.2024, ELI:</w:t>
      </w:r>
      <w:r w:rsidRPr="00803EF5">
        <w:rPr>
          <w:color w:val="333333"/>
          <w:sz w:val="24"/>
          <w:shd w:val="clear" w:color="auto" w:fill="FFFFFF"/>
          <w:lang w:val="pt-PT"/>
        </w:rPr>
        <w:t xml:space="preserve"> </w:t>
      </w:r>
      <w:hyperlink r:id="rId3" w:history="1">
        <w:r w:rsidRPr="00803EF5">
          <w:rPr>
            <w:rStyle w:val="Hyperlink"/>
            <w:sz w:val="24"/>
            <w:shd w:val="clear" w:color="auto" w:fill="FFFFFF"/>
            <w:lang w:val="pt-PT"/>
          </w:rPr>
          <w:t>http://data.europa.eu/eli/reg/2024/765/oj</w:t>
        </w:r>
      </w:hyperlink>
      <w:r w:rsidRPr="00803EF5">
        <w:rPr>
          <w:sz w:val="24"/>
          <w:lang w:val="pt-PT"/>
        </w:rPr>
        <w:t>).</w:t>
      </w:r>
    </w:p>
  </w:footnote>
  <w:footnote w:id="4">
    <w:p w14:paraId="325702DF" w14:textId="7C43DFC0" w:rsidR="007C1F6F" w:rsidRPr="00C96EAD" w:rsidRDefault="007C1F6F" w:rsidP="00803EF5">
      <w:pPr>
        <w:pStyle w:val="FootnoteText"/>
        <w:ind w:left="567" w:hanging="567"/>
        <w:rPr>
          <w:sz w:val="24"/>
          <w:lang w:val="da-DK"/>
        </w:rPr>
      </w:pPr>
      <w:r w:rsidRPr="00803EF5">
        <w:rPr>
          <w:rStyle w:val="FootnoteReference"/>
          <w:sz w:val="24"/>
          <w:lang w:val="pt-PT"/>
        </w:rPr>
        <w:footnoteRef/>
      </w:r>
      <w:r w:rsidR="00803EF5" w:rsidRPr="00C96EAD">
        <w:rPr>
          <w:sz w:val="24"/>
          <w:lang w:val="da-DK"/>
        </w:rPr>
        <w:t xml:space="preserve"> </w:t>
      </w:r>
      <w:r w:rsidR="00803EF5" w:rsidRPr="00C96EAD">
        <w:rPr>
          <w:sz w:val="24"/>
          <w:lang w:val="da-DK"/>
        </w:rPr>
        <w:tab/>
      </w:r>
      <w:r w:rsidRPr="00C96EAD">
        <w:rPr>
          <w:sz w:val="24"/>
          <w:lang w:val="da-DK"/>
        </w:rPr>
        <w:t xml:space="preserve">JO L 433 I de 22.12.2020, p. 28, ELI: </w:t>
      </w:r>
      <w:hyperlink r:id="rId4" w:history="1">
        <w:r w:rsidRPr="00C96EAD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C96EAD">
        <w:rPr>
          <w:sz w:val="24"/>
          <w:lang w:val="da-DK"/>
        </w:rPr>
        <w:t>.</w:t>
      </w:r>
    </w:p>
  </w:footnote>
  <w:footnote w:id="5">
    <w:p w14:paraId="4F15F0EA" w14:textId="36DD149A" w:rsidR="007C1F6F" w:rsidRPr="00803EF5" w:rsidRDefault="007C1F6F" w:rsidP="00803EF5">
      <w:pPr>
        <w:pStyle w:val="FootnoteText"/>
        <w:ind w:left="567" w:hanging="567"/>
        <w:rPr>
          <w:sz w:val="24"/>
          <w:lang w:val="pt-PT"/>
        </w:rPr>
      </w:pPr>
      <w:r w:rsidRPr="00803EF5">
        <w:rPr>
          <w:rStyle w:val="FootnoteReference"/>
          <w:sz w:val="24"/>
          <w:lang w:val="pt-PT"/>
        </w:rPr>
        <w:footnoteRef/>
      </w:r>
      <w:r w:rsidR="00803EF5" w:rsidRPr="00803EF5">
        <w:rPr>
          <w:sz w:val="24"/>
          <w:lang w:val="pt-PT"/>
        </w:rPr>
        <w:t xml:space="preserve"> </w:t>
      </w:r>
      <w:r w:rsidR="00803EF5" w:rsidRPr="00803EF5">
        <w:rPr>
          <w:sz w:val="24"/>
          <w:lang w:val="pt-PT"/>
        </w:rPr>
        <w:tab/>
      </w:r>
      <w:r w:rsidRPr="00803EF5">
        <w:rPr>
          <w:sz w:val="24"/>
          <w:lang w:val="pt-PT"/>
        </w:rPr>
        <w:t>Na aceção do artigo 3.º do Regulamento FEG.</w:t>
      </w:r>
    </w:p>
  </w:footnote>
  <w:footnote w:id="6">
    <w:p w14:paraId="17C81AED" w14:textId="04685611" w:rsidR="007C1F6F" w:rsidRPr="00803EF5" w:rsidRDefault="007C1F6F" w:rsidP="00803EF5">
      <w:pPr>
        <w:pStyle w:val="FootnoteText"/>
        <w:ind w:left="567" w:hanging="567"/>
        <w:rPr>
          <w:sz w:val="24"/>
          <w:lang w:val="pt-PT"/>
        </w:rPr>
      </w:pPr>
      <w:r w:rsidRPr="00803EF5">
        <w:rPr>
          <w:rStyle w:val="FootnoteReference"/>
          <w:sz w:val="24"/>
          <w:lang w:val="pt-PT"/>
        </w:rPr>
        <w:footnoteRef/>
      </w:r>
      <w:r w:rsidR="00803EF5" w:rsidRPr="00803EF5">
        <w:rPr>
          <w:sz w:val="24"/>
          <w:lang w:val="pt-PT"/>
        </w:rPr>
        <w:t xml:space="preserve"> </w:t>
      </w:r>
      <w:r w:rsidR="00803EF5" w:rsidRPr="00803EF5">
        <w:rPr>
          <w:sz w:val="24"/>
          <w:lang w:val="pt-PT"/>
        </w:rPr>
        <w:tab/>
      </w:r>
      <w:r w:rsidRPr="00803EF5">
        <w:rPr>
          <w:sz w:val="24"/>
          <w:lang w:val="pt-PT"/>
        </w:rPr>
        <w:t>Artigo 8.º do Regulamento 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2ECF9" w14:textId="77777777" w:rsidR="00064002" w:rsidRPr="00803E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140A" w14:textId="77777777" w:rsidR="00064002" w:rsidRPr="00803E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22089" w14:textId="77777777" w:rsidR="00064002" w:rsidRPr="00803E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4573987">
    <w:abstractNumId w:val="9"/>
  </w:num>
  <w:num w:numId="2" w16cid:durableId="608896045">
    <w:abstractNumId w:val="9"/>
  </w:num>
  <w:num w:numId="3" w16cid:durableId="1923098306">
    <w:abstractNumId w:val="7"/>
  </w:num>
  <w:num w:numId="4" w16cid:durableId="1538153692">
    <w:abstractNumId w:val="7"/>
  </w:num>
  <w:num w:numId="5" w16cid:durableId="1613630748">
    <w:abstractNumId w:val="6"/>
  </w:num>
  <w:num w:numId="6" w16cid:durableId="1354191864">
    <w:abstractNumId w:val="6"/>
  </w:num>
  <w:num w:numId="7" w16cid:durableId="1494418600">
    <w:abstractNumId w:val="5"/>
  </w:num>
  <w:num w:numId="8" w16cid:durableId="418257338">
    <w:abstractNumId w:val="5"/>
  </w:num>
  <w:num w:numId="9" w16cid:durableId="865485029">
    <w:abstractNumId w:val="4"/>
  </w:num>
  <w:num w:numId="10" w16cid:durableId="208344220">
    <w:abstractNumId w:val="4"/>
  </w:num>
  <w:num w:numId="11" w16cid:durableId="493184201">
    <w:abstractNumId w:val="8"/>
  </w:num>
  <w:num w:numId="12" w16cid:durableId="1638729551">
    <w:abstractNumId w:val="8"/>
  </w:num>
  <w:num w:numId="13" w16cid:durableId="1374650033">
    <w:abstractNumId w:val="3"/>
  </w:num>
  <w:num w:numId="14" w16cid:durableId="41103924">
    <w:abstractNumId w:val="3"/>
  </w:num>
  <w:num w:numId="15" w16cid:durableId="1366759906">
    <w:abstractNumId w:val="2"/>
  </w:num>
  <w:num w:numId="16" w16cid:durableId="1634285869">
    <w:abstractNumId w:val="2"/>
  </w:num>
  <w:num w:numId="17" w16cid:durableId="822506041">
    <w:abstractNumId w:val="1"/>
  </w:num>
  <w:num w:numId="18" w16cid:durableId="1048066467">
    <w:abstractNumId w:val="1"/>
  </w:num>
  <w:num w:numId="19" w16cid:durableId="2125029402">
    <w:abstractNumId w:val="0"/>
  </w:num>
  <w:num w:numId="20" w16cid:durableId="1830247363">
    <w:abstractNumId w:val="0"/>
  </w:num>
  <w:num w:numId="21" w16cid:durableId="1774324766">
    <w:abstractNumId w:val="9"/>
  </w:num>
  <w:num w:numId="22" w16cid:durableId="809438661">
    <w:abstractNumId w:val="7"/>
  </w:num>
  <w:num w:numId="23" w16cid:durableId="604386191">
    <w:abstractNumId w:val="6"/>
  </w:num>
  <w:num w:numId="24" w16cid:durableId="1871920402">
    <w:abstractNumId w:val="5"/>
  </w:num>
  <w:num w:numId="25" w16cid:durableId="1433476655">
    <w:abstractNumId w:val="4"/>
  </w:num>
  <w:num w:numId="26" w16cid:durableId="1870023055">
    <w:abstractNumId w:val="8"/>
  </w:num>
  <w:num w:numId="27" w16cid:durableId="916940277">
    <w:abstractNumId w:val="3"/>
  </w:num>
  <w:num w:numId="28" w16cid:durableId="1447119892">
    <w:abstractNumId w:val="2"/>
  </w:num>
  <w:num w:numId="29" w16cid:durableId="1479492678">
    <w:abstractNumId w:val="1"/>
  </w:num>
  <w:num w:numId="30" w16cid:durableId="1280181479">
    <w:abstractNumId w:val="0"/>
  </w:num>
  <w:num w:numId="31" w16cid:durableId="811945955">
    <w:abstractNumId w:val="9"/>
  </w:num>
  <w:num w:numId="32" w16cid:durableId="2145269232">
    <w:abstractNumId w:val="7"/>
  </w:num>
  <w:num w:numId="33" w16cid:durableId="477264999">
    <w:abstractNumId w:val="6"/>
  </w:num>
  <w:num w:numId="34" w16cid:durableId="54815426">
    <w:abstractNumId w:val="5"/>
  </w:num>
  <w:num w:numId="35" w16cid:durableId="1990667693">
    <w:abstractNumId w:val="4"/>
  </w:num>
  <w:num w:numId="36" w16cid:durableId="2005470830">
    <w:abstractNumId w:val="8"/>
  </w:num>
  <w:num w:numId="37" w16cid:durableId="1883126034">
    <w:abstractNumId w:val="3"/>
  </w:num>
  <w:num w:numId="38" w16cid:durableId="935747651">
    <w:abstractNumId w:val="2"/>
  </w:num>
  <w:num w:numId="39" w16cid:durableId="1801412427">
    <w:abstractNumId w:val="1"/>
  </w:num>
  <w:num w:numId="40" w16cid:durableId="1696955685">
    <w:abstractNumId w:val="0"/>
  </w:num>
  <w:num w:numId="41" w16cid:durableId="989407762">
    <w:abstractNumId w:val="10"/>
  </w:num>
  <w:num w:numId="42" w16cid:durableId="1645698783">
    <w:abstractNumId w:val="10"/>
  </w:num>
  <w:num w:numId="43" w16cid:durableId="1726175051">
    <w:abstractNumId w:val="10"/>
  </w:num>
  <w:num w:numId="44" w16cid:durableId="19078374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0/2026"/>
    <w:docVar w:name="dvlangue" w:val="PT"/>
    <w:docVar w:name="dvnumam" w:val="0"/>
    <w:docVar w:name="dvpe" w:val="782.416"/>
    <w:docVar w:name="dvrapporteur" w:val="Relator: "/>
    <w:docVar w:name="dvtitre" w:val="Resolução do Parlamento Europeu, de ... de ... de 2026,_x000d__x000a_ sobre a proposta de decisão do Parlamento Europeu e do Conselho relativa à mobilização do Fundo Europeu de Ajustamento à Globalização a favor dos Trabalhadores Despedidos na sequência de uma candidatura da Bélgica - EGF/2025/004 BE/Tupperware (COM(2026)0001 – C10-0012/2026 – 2026/0004(BUD))"/>
  </w:docVars>
  <w:rsids>
    <w:rsidRoot w:val="000846FF"/>
    <w:rsid w:val="00002272"/>
    <w:rsid w:val="00064002"/>
    <w:rsid w:val="000677B9"/>
    <w:rsid w:val="000831BA"/>
    <w:rsid w:val="000846FF"/>
    <w:rsid w:val="000A42CC"/>
    <w:rsid w:val="000E7DD9"/>
    <w:rsid w:val="0010095E"/>
    <w:rsid w:val="00124574"/>
    <w:rsid w:val="00125B37"/>
    <w:rsid w:val="0014065C"/>
    <w:rsid w:val="00187494"/>
    <w:rsid w:val="001E7B0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0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2470"/>
    <w:rsid w:val="006469C5"/>
    <w:rsid w:val="006631B6"/>
    <w:rsid w:val="00680577"/>
    <w:rsid w:val="006C4536"/>
    <w:rsid w:val="006C61E4"/>
    <w:rsid w:val="006F74FA"/>
    <w:rsid w:val="00731ADD"/>
    <w:rsid w:val="00734777"/>
    <w:rsid w:val="00747932"/>
    <w:rsid w:val="00751A4A"/>
    <w:rsid w:val="00756632"/>
    <w:rsid w:val="00762C74"/>
    <w:rsid w:val="00786EC0"/>
    <w:rsid w:val="007C1F6F"/>
    <w:rsid w:val="007D1690"/>
    <w:rsid w:val="007E22AD"/>
    <w:rsid w:val="00803EF5"/>
    <w:rsid w:val="00817416"/>
    <w:rsid w:val="0082197C"/>
    <w:rsid w:val="00842779"/>
    <w:rsid w:val="00865F67"/>
    <w:rsid w:val="00881A7B"/>
    <w:rsid w:val="008840E5"/>
    <w:rsid w:val="00887B3E"/>
    <w:rsid w:val="008C2AC6"/>
    <w:rsid w:val="0093072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2A6"/>
    <w:rsid w:val="00B558F0"/>
    <w:rsid w:val="00BD48FE"/>
    <w:rsid w:val="00BD7BD8"/>
    <w:rsid w:val="00BE6ADC"/>
    <w:rsid w:val="00C05BFE"/>
    <w:rsid w:val="00C23CD4"/>
    <w:rsid w:val="00C61C0C"/>
    <w:rsid w:val="00C941CB"/>
    <w:rsid w:val="00C96EAD"/>
    <w:rsid w:val="00CA320B"/>
    <w:rsid w:val="00CC2357"/>
    <w:rsid w:val="00CF071A"/>
    <w:rsid w:val="00D058B8"/>
    <w:rsid w:val="00D56C11"/>
    <w:rsid w:val="00D834A0"/>
    <w:rsid w:val="00D872DF"/>
    <w:rsid w:val="00D91E21"/>
    <w:rsid w:val="00DA7FCD"/>
    <w:rsid w:val="00E26109"/>
    <w:rsid w:val="00E365E1"/>
    <w:rsid w:val="00E43113"/>
    <w:rsid w:val="00E8107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A4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49CB8D"/>
  <w15:chartTrackingRefBased/>
  <w15:docId w15:val="{5BBE297F-85FF-4913-B6D1-C7397EF8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C1F6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7C1F6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C1F6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C1F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C1F6F"/>
    <w:rPr>
      <w:sz w:val="24"/>
      <w:lang w:val="pt-PT"/>
    </w:rPr>
  </w:style>
  <w:style w:type="paragraph" w:customStyle="1" w:styleId="EPFooter">
    <w:name w:val="EPFooter"/>
    <w:basedOn w:val="Normal"/>
    <w:rsid w:val="007C1F6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C1F6F"/>
    <w:pPr>
      <w:spacing w:before="480" w:after="240"/>
    </w:pPr>
  </w:style>
  <w:style w:type="character" w:styleId="Hyperlink">
    <w:name w:val="Hyperlink"/>
    <w:basedOn w:val="DefaultParagraphFont"/>
    <w:uiPriority w:val="99"/>
    <w:rsid w:val="007C1F6F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7C1F6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C1F6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7C1F6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C1F6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C1F6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C1F6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7C1F6F"/>
    <w:rPr>
      <w:rFonts w:ascii="Arial" w:hAnsi="Arial" w:cs="Arial"/>
      <w:b/>
      <w:sz w:val="24"/>
      <w:lang w:val="pt-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7C1F6F"/>
    <w:rPr>
      <w:sz w:val="24"/>
      <w:lang w:val="pt-PT"/>
    </w:rPr>
  </w:style>
  <w:style w:type="paragraph" w:customStyle="1" w:styleId="Personnequisigne">
    <w:name w:val="Personne qui signe"/>
    <w:basedOn w:val="Normal"/>
    <w:next w:val="Institutionquisigne"/>
    <w:rsid w:val="007C1F6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Revision">
    <w:name w:val="Revision"/>
    <w:hidden/>
    <w:uiPriority w:val="99"/>
    <w:semiHidden/>
    <w:rsid w:val="0082197C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12457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1406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065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065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406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065C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1698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2026-05-22T09:43:00Z</dcterms:created>
  <dcterms:modified xsi:type="dcterms:W3CDTF">2026-05-22T09:43:00Z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P10_TA(2026)0073_</vt:lpwstr>
  </property>
  <property fmtid="{D5CDD505-2E9C-101B-9397-08002B2CF9AE}" pid="4" name="&lt;Type&gt;">
    <vt:lpwstr>RR</vt:lpwstr>
  </property>
</Properties>
</file>