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51A3" w14:paraId="603DD036" w14:textId="77777777" w:rsidTr="0010095E">
        <w:trPr>
          <w:trHeight w:hRule="exact" w:val="1418"/>
        </w:trPr>
        <w:tc>
          <w:tcPr>
            <w:tcW w:w="6804" w:type="dxa"/>
            <w:shd w:val="clear" w:color="auto" w:fill="auto"/>
            <w:vAlign w:val="center"/>
          </w:tcPr>
          <w:p w14:paraId="45685B96" w14:textId="617B97D2" w:rsidR="00751A4A" w:rsidRPr="00D751A3" w:rsidRDefault="00086732" w:rsidP="0010095E">
            <w:pPr>
              <w:pStyle w:val="EPName"/>
            </w:pPr>
            <w:r w:rsidRPr="00D751A3">
              <w:t>Parlamentul European</w:t>
            </w:r>
          </w:p>
          <w:p w14:paraId="4F8E735E" w14:textId="77777777" w:rsidR="00751A4A" w:rsidRPr="00D751A3" w:rsidRDefault="005F1B17" w:rsidP="005F1B17">
            <w:pPr>
              <w:pStyle w:val="EPTerm"/>
              <w:rPr>
                <w:rStyle w:val="HideTWBExt"/>
                <w:noProof w:val="0"/>
                <w:vanish w:val="0"/>
                <w:color w:val="auto"/>
              </w:rPr>
            </w:pPr>
            <w:r w:rsidRPr="00D751A3">
              <w:t>2024</w:t>
            </w:r>
            <w:r w:rsidR="00817416" w:rsidRPr="00D751A3">
              <w:t>-202</w:t>
            </w:r>
            <w:r w:rsidRPr="00D751A3">
              <w:t>9</w:t>
            </w:r>
          </w:p>
        </w:tc>
        <w:tc>
          <w:tcPr>
            <w:tcW w:w="2268" w:type="dxa"/>
            <w:shd w:val="clear" w:color="auto" w:fill="auto"/>
          </w:tcPr>
          <w:p w14:paraId="26ECA9E0" w14:textId="77777777" w:rsidR="00751A4A" w:rsidRPr="00D751A3" w:rsidRDefault="00187494" w:rsidP="0010095E">
            <w:pPr>
              <w:pStyle w:val="EPLogo"/>
            </w:pPr>
            <w:r w:rsidRPr="00D751A3">
              <w:rPr>
                <w:noProof/>
                <w:lang w:eastAsia="ja-JP"/>
              </w:rPr>
              <w:drawing>
                <wp:inline distT="0" distB="0" distL="0" distR="0" wp14:anchorId="76CA4B08" wp14:editId="49AD5D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699FA7" w14:textId="77777777" w:rsidR="00D058B8" w:rsidRPr="00D751A3" w:rsidRDefault="00D058B8" w:rsidP="004C5D52">
      <w:pPr>
        <w:pStyle w:val="LineTop"/>
      </w:pPr>
    </w:p>
    <w:p w14:paraId="751EA30E" w14:textId="00A8337B" w:rsidR="00680577" w:rsidRPr="00D751A3" w:rsidRDefault="00086732" w:rsidP="00680577">
      <w:pPr>
        <w:pStyle w:val="EPBodyTA1"/>
      </w:pPr>
      <w:r w:rsidRPr="00D751A3">
        <w:t>TEXTE ADOPTATE</w:t>
      </w:r>
    </w:p>
    <w:p w14:paraId="336244AD" w14:textId="77777777" w:rsidR="00D058B8" w:rsidRPr="00D751A3" w:rsidRDefault="00D058B8" w:rsidP="00D058B8">
      <w:pPr>
        <w:pStyle w:val="LineBottom"/>
      </w:pPr>
    </w:p>
    <w:p w14:paraId="24EC280E" w14:textId="2A3D50BC" w:rsidR="00086732" w:rsidRPr="00D751A3" w:rsidRDefault="00086732" w:rsidP="00086732">
      <w:pPr>
        <w:pStyle w:val="ATHeading1"/>
      </w:pPr>
      <w:bookmarkStart w:id="0" w:name="TANumber"/>
      <w:r w:rsidRPr="00D751A3">
        <w:t>P10_TA(2026)00</w:t>
      </w:r>
      <w:bookmarkEnd w:id="0"/>
      <w:r w:rsidR="00256B0D" w:rsidRPr="00D751A3">
        <w:t>73</w:t>
      </w:r>
    </w:p>
    <w:p w14:paraId="42336CFC" w14:textId="77777777" w:rsidR="00086732" w:rsidRPr="00D751A3" w:rsidRDefault="00086732" w:rsidP="00086732">
      <w:pPr>
        <w:pStyle w:val="ATHeading2"/>
      </w:pPr>
      <w:bookmarkStart w:id="1" w:name="title"/>
      <w:r w:rsidRPr="00D751A3">
        <w:t>Mobilizarea Fondului european de ajustare la globalizare pentru lucrătorii disponibilizați: cererea EGF/2025/004 BE/</w:t>
      </w:r>
      <w:proofErr w:type="spellStart"/>
      <w:r w:rsidRPr="00D751A3">
        <w:t>Tupperware</w:t>
      </w:r>
      <w:proofErr w:type="spellEnd"/>
      <w:r w:rsidRPr="00D751A3">
        <w:t xml:space="preserve"> – Belgia</w:t>
      </w:r>
      <w:bookmarkEnd w:id="1"/>
    </w:p>
    <w:p w14:paraId="05DEAF88" w14:textId="77777777" w:rsidR="00086732" w:rsidRPr="00D751A3" w:rsidRDefault="00086732" w:rsidP="00086732">
      <w:pPr>
        <w:rPr>
          <w:i/>
          <w:vanish/>
        </w:rPr>
      </w:pPr>
      <w:r w:rsidRPr="00D751A3">
        <w:rPr>
          <w:i/>
        </w:rPr>
        <w:fldChar w:fldCharType="begin"/>
      </w:r>
      <w:r w:rsidRPr="00D751A3">
        <w:rPr>
          <w:i/>
        </w:rPr>
        <w:instrText xml:space="preserve"> TC"(</w:instrText>
      </w:r>
      <w:bookmarkStart w:id="2" w:name="DocNumber"/>
      <w:r w:rsidRPr="00D751A3">
        <w:rPr>
          <w:i/>
        </w:rPr>
        <w:instrText>A10-0030/2026</w:instrText>
      </w:r>
      <w:bookmarkEnd w:id="2"/>
      <w:r w:rsidRPr="00D751A3">
        <w:rPr>
          <w:i/>
        </w:rPr>
        <w:instrText xml:space="preserve"> - Raportor: Jean-Marc Germain)"\l3 \n&gt; \* MERGEFORMAT </w:instrText>
      </w:r>
      <w:r w:rsidRPr="00D751A3">
        <w:rPr>
          <w:i/>
        </w:rPr>
        <w:fldChar w:fldCharType="end"/>
      </w:r>
    </w:p>
    <w:p w14:paraId="0A100FBC" w14:textId="77777777" w:rsidR="00086732" w:rsidRPr="00D751A3" w:rsidRDefault="00086732" w:rsidP="00086732">
      <w:pPr>
        <w:rPr>
          <w:vanish/>
        </w:rPr>
      </w:pPr>
      <w:bookmarkStart w:id="3" w:name="Commission"/>
      <w:r w:rsidRPr="00D751A3">
        <w:rPr>
          <w:vanish/>
        </w:rPr>
        <w:t>Comisia pentru bugete</w:t>
      </w:r>
      <w:bookmarkEnd w:id="3"/>
    </w:p>
    <w:p w14:paraId="2E7B7735" w14:textId="77777777" w:rsidR="00086732" w:rsidRPr="00D751A3" w:rsidRDefault="00086732" w:rsidP="00086732">
      <w:pPr>
        <w:rPr>
          <w:vanish/>
        </w:rPr>
      </w:pPr>
      <w:bookmarkStart w:id="4" w:name="PE"/>
      <w:r w:rsidRPr="00D751A3">
        <w:rPr>
          <w:vanish/>
        </w:rPr>
        <w:t>PE782.416</w:t>
      </w:r>
      <w:bookmarkEnd w:id="4"/>
    </w:p>
    <w:p w14:paraId="62767B63" w14:textId="384EFAFD" w:rsidR="00086732" w:rsidRPr="00D751A3" w:rsidRDefault="00086732" w:rsidP="00086732">
      <w:pPr>
        <w:pStyle w:val="ATHeading3"/>
      </w:pPr>
      <w:bookmarkStart w:id="5" w:name="Sujet"/>
      <w:r w:rsidRPr="00D751A3">
        <w:t xml:space="preserve">Rezoluția Parlamentului European din </w:t>
      </w:r>
      <w:r w:rsidR="007D66BF" w:rsidRPr="00D751A3">
        <w:t>11</w:t>
      </w:r>
      <w:r w:rsidRPr="00D751A3">
        <w:t xml:space="preserve"> martie 2026 referitoare la propunerea de decizie a Parlamentului European și a Consiliului privind mobilizarea Fondului european de ajustare la globalizare pentru lucrătorii disponibilizați în urma unei cereri din partea Belgiei - EGF/2025/004 BE/</w:t>
      </w:r>
      <w:proofErr w:type="spellStart"/>
      <w:r w:rsidRPr="00D751A3">
        <w:t>Tupperware</w:t>
      </w:r>
      <w:proofErr w:type="spellEnd"/>
      <w:r w:rsidRPr="00D751A3">
        <w:t xml:space="preserve"> – Belgia</w:t>
      </w:r>
      <w:bookmarkEnd w:id="5"/>
      <w:r w:rsidRPr="00D751A3">
        <w:t xml:space="preserve"> </w:t>
      </w:r>
      <w:bookmarkStart w:id="6" w:name="References"/>
      <w:r w:rsidRPr="00D751A3">
        <w:t>(COM(2026)0001 – C10-0012/2026 – 2026/0004(BUD))</w:t>
      </w:r>
      <w:bookmarkEnd w:id="6"/>
    </w:p>
    <w:p w14:paraId="6E83D820" w14:textId="77777777" w:rsidR="00937E9D" w:rsidRPr="00D751A3" w:rsidRDefault="00937E9D" w:rsidP="00937E9D">
      <w:pPr>
        <w:pStyle w:val="EPComma"/>
        <w:rPr>
          <w:noProof/>
        </w:rPr>
      </w:pPr>
      <w:r w:rsidRPr="00D751A3">
        <w:rPr>
          <w:i/>
          <w:iCs/>
        </w:rPr>
        <w:t>Parlamentul European</w:t>
      </w:r>
      <w:r w:rsidRPr="00D751A3">
        <w:t>,</w:t>
      </w:r>
    </w:p>
    <w:p w14:paraId="5307372A" w14:textId="77777777" w:rsidR="00937E9D" w:rsidRPr="00D751A3" w:rsidRDefault="00937E9D" w:rsidP="00937E9D">
      <w:pPr>
        <w:pStyle w:val="NormalHanging12a"/>
        <w:rPr>
          <w:noProof/>
        </w:rPr>
      </w:pPr>
      <w:r w:rsidRPr="00D751A3">
        <w:t>–</w:t>
      </w:r>
      <w:r w:rsidRPr="00D751A3">
        <w:tab/>
        <w:t>având în vedere propunerea Comisiei prezentată Parlamentului European și Consiliului (COM(2026)0001 – C10</w:t>
      </w:r>
      <w:r w:rsidRPr="00D751A3">
        <w:noBreakHyphen/>
        <w:t>0012/2026),</w:t>
      </w:r>
    </w:p>
    <w:p w14:paraId="56DC23B1" w14:textId="77777777" w:rsidR="00937E9D" w:rsidRPr="00D751A3" w:rsidRDefault="00937E9D" w:rsidP="00937E9D">
      <w:pPr>
        <w:pStyle w:val="NormalHanging12a"/>
      </w:pPr>
      <w:r w:rsidRPr="00D751A3">
        <w:t>–</w:t>
      </w:r>
      <w:r w:rsidRPr="00D751A3">
        <w:tab/>
        <w:t>având în vedere Regulamentul (UE) 2021/691 al Parlamentului European și al Consiliului din 28 aprilie 2021 privind Fondul european de ajustare la globalizare pentru lucrătorii disponibilizați (FEG) și de abrogare a Regulamentului (UE) nr. 1309/2013</w:t>
      </w:r>
      <w:r w:rsidRPr="00D751A3">
        <w:rPr>
          <w:vertAlign w:val="superscript"/>
        </w:rPr>
        <w:footnoteReference w:id="1"/>
      </w:r>
      <w:r w:rsidRPr="00D751A3">
        <w:t xml:space="preserve"> (denumit în continuare „Regulamentul privind FEG”), </w:t>
      </w:r>
    </w:p>
    <w:p w14:paraId="56522A8C" w14:textId="77777777" w:rsidR="00937E9D" w:rsidRPr="00D751A3" w:rsidRDefault="00937E9D" w:rsidP="00937E9D">
      <w:pPr>
        <w:pStyle w:val="NormalHanging12a"/>
        <w:rPr>
          <w:noProof/>
        </w:rPr>
      </w:pPr>
      <w:r w:rsidRPr="00D751A3">
        <w:t>–</w:t>
      </w:r>
      <w:r w:rsidRPr="00D751A3">
        <w:tab/>
        <w:t>având în vedere Regulamentul (UE, Euratom) 2020/2093 al Consiliului din 17 decembrie 2020 de stabilire a cadrului financiar multianual pentru perioada 2021-2027</w:t>
      </w:r>
      <w:r w:rsidRPr="00D751A3">
        <w:rPr>
          <w:noProof/>
          <w:vertAlign w:val="superscript"/>
        </w:rPr>
        <w:footnoteReference w:id="2"/>
      </w:r>
      <w:r w:rsidRPr="00D751A3">
        <w:t xml:space="preserve"> , astfel cum a fost modificat prin Regulamentul (UE, Euratom) 2024/765</w:t>
      </w:r>
      <w:r w:rsidRPr="00D751A3">
        <w:rPr>
          <w:noProof/>
          <w:vertAlign w:val="superscript"/>
        </w:rPr>
        <w:footnoteReference w:id="3"/>
      </w:r>
      <w:r w:rsidRPr="00D751A3">
        <w:t xml:space="preserve"> (denumit în continuare „Regulamentul privind CFM”), în special articolul 8, </w:t>
      </w:r>
    </w:p>
    <w:p w14:paraId="29371042" w14:textId="77777777" w:rsidR="00937E9D" w:rsidRPr="00D751A3" w:rsidRDefault="00937E9D" w:rsidP="00937E9D">
      <w:pPr>
        <w:pStyle w:val="NormalHanging12a"/>
        <w:rPr>
          <w:noProof/>
        </w:rPr>
      </w:pPr>
      <w:r w:rsidRPr="00D751A3">
        <w:t>–</w:t>
      </w:r>
      <w:r w:rsidRPr="00D751A3">
        <w:tab/>
        <w:t xml:space="preserve">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w:t>
      </w:r>
      <w:r w:rsidRPr="00D751A3">
        <w:lastRenderedPageBreak/>
        <w:t>proprii</w:t>
      </w:r>
      <w:r w:rsidRPr="00D751A3">
        <w:rPr>
          <w:rStyle w:val="FootnoteReference"/>
          <w:noProof/>
        </w:rPr>
        <w:footnoteReference w:id="4"/>
      </w:r>
      <w:r w:rsidRPr="00D751A3">
        <w:t>, în special punctul 9,</w:t>
      </w:r>
    </w:p>
    <w:p w14:paraId="40776DD2" w14:textId="77777777" w:rsidR="00937E9D" w:rsidRPr="00D751A3" w:rsidRDefault="00937E9D" w:rsidP="00937E9D">
      <w:pPr>
        <w:pStyle w:val="NormalHanging12a"/>
        <w:rPr>
          <w:noProof/>
        </w:rPr>
      </w:pPr>
      <w:r w:rsidRPr="00D751A3">
        <w:t>–</w:t>
      </w:r>
      <w:r w:rsidRPr="00D751A3">
        <w:tab/>
        <w:t>având în vedere Pilonul european al drepturilor sociale,</w:t>
      </w:r>
    </w:p>
    <w:p w14:paraId="40BCF3D2" w14:textId="77777777" w:rsidR="00937E9D" w:rsidRPr="00D751A3" w:rsidRDefault="00937E9D" w:rsidP="00937E9D">
      <w:pPr>
        <w:pStyle w:val="NormalHanging12a"/>
        <w:rPr>
          <w:noProof/>
        </w:rPr>
      </w:pPr>
      <w:r w:rsidRPr="00D751A3">
        <w:t>–</w:t>
      </w:r>
      <w:r w:rsidRPr="00D751A3">
        <w:tab/>
        <w:t>având în vedere avizul Comisiei pentru ocuparea forței de muncă și afaceri sociale,</w:t>
      </w:r>
    </w:p>
    <w:p w14:paraId="2BE293A9" w14:textId="77777777" w:rsidR="00937E9D" w:rsidRPr="00D751A3" w:rsidRDefault="00937E9D" w:rsidP="00937E9D">
      <w:pPr>
        <w:pStyle w:val="NormalHanging12a"/>
      </w:pPr>
      <w:r w:rsidRPr="00D751A3">
        <w:t>–</w:t>
      </w:r>
      <w:r w:rsidRPr="00D751A3">
        <w:tab/>
        <w:t>având în vedere raportul Comisiei pentru bugete (A10-0030/2026),</w:t>
      </w:r>
    </w:p>
    <w:p w14:paraId="2E47821A" w14:textId="77777777" w:rsidR="00937E9D" w:rsidRPr="00D751A3" w:rsidRDefault="00937E9D" w:rsidP="00937E9D">
      <w:pPr>
        <w:pStyle w:val="NormalHanging12a"/>
        <w:rPr>
          <w:noProof/>
        </w:rPr>
      </w:pPr>
      <w:r w:rsidRPr="00D751A3">
        <w:t>A.</w:t>
      </w:r>
      <w:r w:rsidRPr="00D751A3">
        <w:tab/>
        <w:t>întrucât Uniunea a instituit instrumente legislative și bugetare pentru a oferi un sprijin suplimentar lucrătorilor afectați de consecințele unor evenimente și schimbări majore intervenite în structura comerțului internațional și pentru a le acorda asistență în procesul de reintegrare pe piața muncii; întrucât acest ajutor se acordă sub forma unui sprijin financiar destinat lucrătorilor;</w:t>
      </w:r>
    </w:p>
    <w:p w14:paraId="0856F2C5" w14:textId="13174B25" w:rsidR="00937E9D" w:rsidRPr="00D751A3" w:rsidRDefault="00937E9D" w:rsidP="00937E9D">
      <w:pPr>
        <w:pStyle w:val="NormalHanging12a"/>
        <w:rPr>
          <w:noProof/>
        </w:rPr>
      </w:pPr>
      <w:r w:rsidRPr="00D751A3">
        <w:t>B.</w:t>
      </w:r>
      <w:r w:rsidRPr="00D751A3">
        <w:tab/>
        <w:t>întrucât Belgia a depus cererea EGF/2025/004 BE/</w:t>
      </w:r>
      <w:proofErr w:type="spellStart"/>
      <w:r w:rsidRPr="00D751A3">
        <w:t>Tupperware</w:t>
      </w:r>
      <w:proofErr w:type="spellEnd"/>
      <w:r w:rsidRPr="00D751A3">
        <w:t xml:space="preserve"> pentru o contribuție financiară din partea </w:t>
      </w:r>
      <w:r w:rsidR="00E938B4" w:rsidRPr="00D751A3">
        <w:t>Fondului european de ajustare la globalizare (</w:t>
      </w:r>
      <w:r w:rsidRPr="00D751A3">
        <w:t>FEG</w:t>
      </w:r>
      <w:r w:rsidR="00E938B4" w:rsidRPr="00D751A3">
        <w:t>)</w:t>
      </w:r>
      <w:r w:rsidRPr="00D751A3">
        <w:t xml:space="preserve"> ca urmare a disponibilizării a 267 </w:t>
      </w:r>
      <w:r w:rsidR="007D66BF" w:rsidRPr="00D751A3">
        <w:t xml:space="preserve">de </w:t>
      </w:r>
      <w:r w:rsidRPr="00D751A3">
        <w:t>lucrători</w:t>
      </w:r>
      <w:r w:rsidRPr="00D751A3">
        <w:rPr>
          <w:noProof/>
          <w:vertAlign w:val="superscript"/>
        </w:rPr>
        <w:footnoteReference w:id="5"/>
      </w:r>
      <w:r w:rsidRPr="00D751A3">
        <w:t xml:space="preserve"> de la </w:t>
      </w:r>
      <w:proofErr w:type="spellStart"/>
      <w:r w:rsidRPr="00D751A3">
        <w:t>Tupperware</w:t>
      </w:r>
      <w:proofErr w:type="spellEnd"/>
      <w:r w:rsidRPr="00D751A3">
        <w:t xml:space="preserve"> General Services NV (</w:t>
      </w:r>
      <w:proofErr w:type="spellStart"/>
      <w:r w:rsidRPr="00D751A3">
        <w:t>Tupperware</w:t>
      </w:r>
      <w:proofErr w:type="spellEnd"/>
      <w:r w:rsidRPr="00D751A3">
        <w:t xml:space="preserve">), în sectorul economic încadrat la diviziunea 2 (Fabricarea produselor din cauciuc și plastic) a NACE Rev. 22, în provincia </w:t>
      </w:r>
      <w:proofErr w:type="spellStart"/>
      <w:r w:rsidRPr="00D751A3">
        <w:t>Flandra</w:t>
      </w:r>
      <w:proofErr w:type="spellEnd"/>
      <w:r w:rsidRPr="00D751A3">
        <w:t xml:space="preserve"> de Est (BE23), într-o perioadă de referință cuprinsă între 17 februarie 2025 și 17 iunie 2025; </w:t>
      </w:r>
    </w:p>
    <w:p w14:paraId="0AAC2272" w14:textId="77777777" w:rsidR="00937E9D" w:rsidRPr="00D751A3" w:rsidRDefault="00937E9D" w:rsidP="00937E9D">
      <w:pPr>
        <w:pStyle w:val="NormalHanging12a"/>
        <w:rPr>
          <w:noProof/>
        </w:rPr>
      </w:pPr>
      <w:r w:rsidRPr="00D751A3">
        <w:t>C.</w:t>
      </w:r>
      <w:r w:rsidRPr="00D751A3">
        <w:tab/>
        <w:t xml:space="preserve">întrucât cererea se bazează pe criteriile de intervenție stabilite la articolul 4 alineatul (2) litera (a) din Regulamentul privind FEG, care prevăd drept condiție încetarea activității a cel puțin 200 de lucrători sau lucrători independenți disponibilizați într-o perioadă de referință de patru luni într-o întreprindere dintr-un stat membru; </w:t>
      </w:r>
    </w:p>
    <w:p w14:paraId="08B22FB5" w14:textId="77777777" w:rsidR="00937E9D" w:rsidRPr="00D751A3" w:rsidRDefault="00937E9D" w:rsidP="00937E9D">
      <w:pPr>
        <w:pStyle w:val="NormalHanging12a"/>
        <w:rPr>
          <w:noProof/>
        </w:rPr>
      </w:pPr>
      <w:r w:rsidRPr="00D751A3">
        <w:t>D.</w:t>
      </w:r>
      <w:r w:rsidRPr="00D751A3">
        <w:tab/>
        <w:t xml:space="preserve">întrucât </w:t>
      </w:r>
      <w:proofErr w:type="spellStart"/>
      <w:r w:rsidRPr="00D751A3">
        <w:t>Tupperware</w:t>
      </w:r>
      <w:proofErr w:type="spellEnd"/>
      <w:r w:rsidRPr="00D751A3">
        <w:t xml:space="preserve"> a declarat falimentul la 17 februarie 2025; întrucât, în Belgia, falimentele sunt în creștere din 2022;</w:t>
      </w:r>
    </w:p>
    <w:p w14:paraId="36DCE063" w14:textId="77777777" w:rsidR="00937E9D" w:rsidRPr="00D751A3" w:rsidRDefault="00937E9D" w:rsidP="00937E9D">
      <w:pPr>
        <w:pStyle w:val="NormalHanging12a"/>
        <w:rPr>
          <w:noProof/>
        </w:rPr>
      </w:pPr>
      <w:r w:rsidRPr="00D751A3">
        <w:t>E.</w:t>
      </w:r>
      <w:r w:rsidRPr="00D751A3">
        <w:tab/>
        <w:t xml:space="preserve">întrucât Belgia a indicat că VDAB asigură </w:t>
      </w:r>
      <w:proofErr w:type="spellStart"/>
      <w:r w:rsidRPr="00D751A3">
        <w:t>prefinanțarea</w:t>
      </w:r>
      <w:proofErr w:type="spellEnd"/>
      <w:r w:rsidRPr="00D751A3">
        <w:t xml:space="preserve"> și cofinanțarea națională a măsurilor;</w:t>
      </w:r>
    </w:p>
    <w:p w14:paraId="52990131" w14:textId="77777777" w:rsidR="00937E9D" w:rsidRPr="00D751A3" w:rsidRDefault="00937E9D" w:rsidP="00937E9D">
      <w:pPr>
        <w:pStyle w:val="NormalHanging12a"/>
        <w:rPr>
          <w:noProof/>
        </w:rPr>
      </w:pPr>
      <w:r w:rsidRPr="00D751A3">
        <w:t>F.</w:t>
      </w:r>
      <w:r w:rsidRPr="00D751A3">
        <w:tab/>
        <w:t>întrucât au fost îndeplinite cerințele prevăzute de legislația națională și de legislația Uniunii în ceea ce privește concedierile colective;</w:t>
      </w:r>
    </w:p>
    <w:p w14:paraId="52CF9CBA" w14:textId="77777777" w:rsidR="00937E9D" w:rsidRPr="00D751A3" w:rsidRDefault="00937E9D" w:rsidP="00937E9D">
      <w:pPr>
        <w:pStyle w:val="NormalHanging12a"/>
        <w:rPr>
          <w:noProof/>
        </w:rPr>
      </w:pPr>
      <w:r w:rsidRPr="00D751A3">
        <w:t>G.</w:t>
      </w:r>
      <w:r w:rsidRPr="00D751A3">
        <w:tab/>
        <w:t>întrucât contribuțiile financiare din FEG ar trebui să fie canalizate în primul rând spre măsuri de politică active pe piața muncii și spre servicii personalizate menite să-i reintegreze rapid pe beneficiari în posturi decente și sustenabile, pregătindu-i în același timp pentru o economie europeană mai verde și mai digitală;</w:t>
      </w:r>
    </w:p>
    <w:p w14:paraId="01BC62F1" w14:textId="77777777" w:rsidR="00937E9D" w:rsidRPr="00D751A3" w:rsidRDefault="00937E9D" w:rsidP="00937E9D">
      <w:pPr>
        <w:pStyle w:val="NormalHanging12a"/>
        <w:rPr>
          <w:noProof/>
        </w:rPr>
      </w:pPr>
      <w:r w:rsidRPr="00D751A3">
        <w:t>H.</w:t>
      </w:r>
      <w:r w:rsidRPr="00D751A3">
        <w:tab/>
        <w:t>întrucât FEG nu poate depăși o sumă anuală maximă de 30 de milioane EUR (la prețurile din 2018)</w:t>
      </w:r>
      <w:r w:rsidRPr="00D751A3">
        <w:rPr>
          <w:noProof/>
          <w:vertAlign w:val="superscript"/>
        </w:rPr>
        <w:footnoteReference w:id="6"/>
      </w:r>
      <w:r w:rsidRPr="00D751A3">
        <w:t xml:space="preserve">, </w:t>
      </w:r>
    </w:p>
    <w:p w14:paraId="332C6316" w14:textId="77777777" w:rsidR="00937E9D" w:rsidRPr="00D751A3" w:rsidRDefault="00937E9D" w:rsidP="00937E9D">
      <w:pPr>
        <w:pStyle w:val="NormalHanging12a"/>
        <w:rPr>
          <w:noProof/>
        </w:rPr>
      </w:pPr>
      <w:r w:rsidRPr="00D751A3">
        <w:t>1.</w:t>
      </w:r>
      <w:r w:rsidRPr="00D751A3">
        <w:tab/>
        <w:t xml:space="preserve">este de acord cu Comisia că sunt îndeplinite condițiile prevăzute în Regulamentul privind FEG, în special cele de la articolul 4 alineatul (2) litera (a) din acesta, și că Belgia are dreptul la o contribuție financiară în valoare de 1 622 650 EUR în temeiul regulamentului respectiv, ceea ce reprezintă 85 % din costul total de 1 909 000 EUR, compus din cheltuieli pentru servicii personalizate în valoare de 1 843 500 EUR și </w:t>
      </w:r>
      <w:r w:rsidRPr="00D751A3">
        <w:lastRenderedPageBreak/>
        <w:t>cheltuieli pentru activități de pregătire, gestionare, informare și publicitate, control și raportare în valoare de 65 500 EUR;</w:t>
      </w:r>
    </w:p>
    <w:p w14:paraId="48E20AED" w14:textId="77777777" w:rsidR="00937E9D" w:rsidRPr="00D751A3" w:rsidRDefault="00937E9D" w:rsidP="00937E9D">
      <w:pPr>
        <w:pStyle w:val="NormalHanging12a"/>
        <w:rPr>
          <w:noProof/>
        </w:rPr>
      </w:pPr>
      <w:r w:rsidRPr="00D751A3">
        <w:t>2.</w:t>
      </w:r>
      <w:r w:rsidRPr="00D751A3">
        <w:tab/>
        <w:t>observă că autoritățile belgiene au depus cererea la 28 august 2025 și că, în urma primirii de informații suplimentare din partea Belgiei, Comisia și-a finalizat evaluarea la 20 ianuarie 2026, aproape cinci luni mai târziu, și a adus-o la cunoștința Parlamentului în aceeași zi; subliniază că este important să se scurteze intervalul de timp dintre depunerea unei cereri de asistență din partea FEG și decizia de finanțare, garantând totodată pe deplin drepturile Parlamentului European în calitate de componentă a autorității bugetare;</w:t>
      </w:r>
    </w:p>
    <w:p w14:paraId="22C9FEF7" w14:textId="77777777" w:rsidR="00937E9D" w:rsidRPr="00D751A3" w:rsidRDefault="00937E9D" w:rsidP="00937E9D">
      <w:pPr>
        <w:pStyle w:val="NormalHanging12a"/>
        <w:rPr>
          <w:noProof/>
        </w:rPr>
      </w:pPr>
      <w:r w:rsidRPr="00D751A3">
        <w:t>3.</w:t>
      </w:r>
      <w:r w:rsidRPr="00D751A3">
        <w:tab/>
        <w:t xml:space="preserve">observă că cererea se referă la un număr de 267 de beneficiari vizați, concediați de </w:t>
      </w:r>
      <w:proofErr w:type="spellStart"/>
      <w:r w:rsidRPr="00D751A3">
        <w:t>Tupperware</w:t>
      </w:r>
      <w:proofErr w:type="spellEnd"/>
      <w:r w:rsidRPr="00D751A3">
        <w:t>;</w:t>
      </w:r>
    </w:p>
    <w:p w14:paraId="3A470D8B" w14:textId="77777777" w:rsidR="00937E9D" w:rsidRPr="00D751A3" w:rsidRDefault="00937E9D" w:rsidP="00937E9D">
      <w:pPr>
        <w:pStyle w:val="NormalHanging12a"/>
        <w:rPr>
          <w:noProof/>
        </w:rPr>
      </w:pPr>
      <w:r w:rsidRPr="00D751A3">
        <w:t>4.</w:t>
      </w:r>
      <w:r w:rsidRPr="00D751A3">
        <w:tab/>
        <w:t xml:space="preserve">constată că </w:t>
      </w:r>
      <w:proofErr w:type="spellStart"/>
      <w:r w:rsidRPr="00D751A3">
        <w:t>Tupperware</w:t>
      </w:r>
      <w:proofErr w:type="spellEnd"/>
      <w:r w:rsidRPr="00D751A3">
        <w:t xml:space="preserve"> este situat în </w:t>
      </w:r>
      <w:proofErr w:type="spellStart"/>
      <w:r w:rsidRPr="00D751A3">
        <w:t>Aalst</w:t>
      </w:r>
      <w:proofErr w:type="spellEnd"/>
      <w:r w:rsidRPr="00D751A3">
        <w:t xml:space="preserve">, în provincia </w:t>
      </w:r>
      <w:proofErr w:type="spellStart"/>
      <w:r w:rsidRPr="00D751A3">
        <w:t>Flandra</w:t>
      </w:r>
      <w:proofErr w:type="spellEnd"/>
      <w:r w:rsidRPr="00D751A3">
        <w:t xml:space="preserve"> de Est, unde doar una din două persoane are un loc de muncă, comparativ cu două din trei, în medie, în regiunea </w:t>
      </w:r>
      <w:proofErr w:type="spellStart"/>
      <w:r w:rsidRPr="00D751A3">
        <w:t>Flandra</w:t>
      </w:r>
      <w:proofErr w:type="spellEnd"/>
      <w:r w:rsidRPr="00D751A3">
        <w:t xml:space="preserve">, deja înainte de falimentul </w:t>
      </w:r>
      <w:proofErr w:type="spellStart"/>
      <w:r w:rsidRPr="00D751A3">
        <w:t>Tupperware</w:t>
      </w:r>
      <w:proofErr w:type="spellEnd"/>
      <w:r w:rsidRPr="00D751A3">
        <w:t>; regretă că aceste disponibilizări vor agrava și mai mult situația; subliniază că sunt necesare acțiuni rapide pentru a preveni declinul regional structural;</w:t>
      </w:r>
    </w:p>
    <w:p w14:paraId="52DF4FBB" w14:textId="77777777" w:rsidR="00937E9D" w:rsidRPr="00D751A3" w:rsidRDefault="00937E9D" w:rsidP="00937E9D">
      <w:pPr>
        <w:pStyle w:val="NormalHanging12a"/>
        <w:rPr>
          <w:noProof/>
        </w:rPr>
      </w:pPr>
      <w:r w:rsidRPr="00D751A3">
        <w:t>5.</w:t>
      </w:r>
      <w:r w:rsidRPr="00D751A3">
        <w:tab/>
        <w:t xml:space="preserve">regretă că societatea-mamă americană </w:t>
      </w:r>
      <w:proofErr w:type="spellStart"/>
      <w:r w:rsidRPr="00D751A3">
        <w:t>Tupperware</w:t>
      </w:r>
      <w:proofErr w:type="spellEnd"/>
      <w:r w:rsidRPr="00D751A3">
        <w:t xml:space="preserve"> </w:t>
      </w:r>
      <w:proofErr w:type="spellStart"/>
      <w:r w:rsidRPr="00D751A3">
        <w:t>Brands</w:t>
      </w:r>
      <w:proofErr w:type="spellEnd"/>
      <w:r w:rsidRPr="00D751A3">
        <w:t xml:space="preserve"> a fost preluată de creditori în octombrie 2024 și, din cauza unei restructurări semnificative, a revocat producția și licențele acordate </w:t>
      </w:r>
      <w:proofErr w:type="spellStart"/>
      <w:r w:rsidRPr="00D751A3">
        <w:t>Tupperware</w:t>
      </w:r>
      <w:proofErr w:type="spellEnd"/>
      <w:r w:rsidRPr="00D751A3">
        <w:t xml:space="preserve"> General Services NV, ceea ce a făcut ca filiala belgiană să devină neviabilă financiar și a condus la falimentul ei la 17 februarie 2025; </w:t>
      </w:r>
    </w:p>
    <w:p w14:paraId="5C02A8A6" w14:textId="267388C1" w:rsidR="00937E9D" w:rsidRPr="00D751A3" w:rsidRDefault="00937E9D" w:rsidP="00E938B4">
      <w:pPr>
        <w:pStyle w:val="NormalHanging12a"/>
      </w:pPr>
      <w:r w:rsidRPr="00D751A3">
        <w:t>6.</w:t>
      </w:r>
      <w:r w:rsidRPr="00D751A3">
        <w:tab/>
        <w:t>salută inițiativ</w:t>
      </w:r>
      <w:r w:rsidR="00E938B4" w:rsidRPr="00D751A3">
        <w:t>a</w:t>
      </w:r>
      <w:r w:rsidRPr="00D751A3">
        <w:t xml:space="preserve"> </w:t>
      </w:r>
      <w:r w:rsidR="00E938B4" w:rsidRPr="00D751A3">
        <w:t>unui</w:t>
      </w:r>
      <w:r w:rsidRPr="00D751A3">
        <w:t xml:space="preserve"> grup de antreprenori europeni care vizează revitalizarea mărcii în Germania, Franța, Belgia, Italia și Polonia;</w:t>
      </w:r>
    </w:p>
    <w:p w14:paraId="6D0CE1D6" w14:textId="77777777" w:rsidR="00937E9D" w:rsidRPr="00D751A3" w:rsidRDefault="00937E9D" w:rsidP="00937E9D">
      <w:pPr>
        <w:pStyle w:val="NormalHanging12a"/>
        <w:rPr>
          <w:noProof/>
        </w:rPr>
      </w:pPr>
      <w:r w:rsidRPr="00D751A3">
        <w:t>7.</w:t>
      </w:r>
      <w:r w:rsidRPr="00D751A3">
        <w:tab/>
        <w:t xml:space="preserve">subliniază că, în </w:t>
      </w:r>
      <w:proofErr w:type="spellStart"/>
      <w:r w:rsidRPr="00D751A3">
        <w:t>Flandra</w:t>
      </w:r>
      <w:proofErr w:type="spellEnd"/>
      <w:r w:rsidRPr="00D751A3">
        <w:t>, riscul de șomaj este de peste două ori mai mare pentru persoanele cu un nivel scăzut de educație; constată că o treime din lucrătorii disponibilizați nu au mai mult de un nivel de învățământ secundar inferior; invită autoritățile belgiene să ofere sprijin specific adaptat acestor profiluri pentru a-i ajuta pe lucrători să-și depășească deficiențele și să-și găsească noi locuri de muncă, luând, în același timp, măsuri pentru a reduce falimentele și a aborda disparitățile sociale care conduc la excluziunea forței de muncă;</w:t>
      </w:r>
    </w:p>
    <w:p w14:paraId="2240C069" w14:textId="77777777" w:rsidR="00937E9D" w:rsidRPr="00D751A3" w:rsidRDefault="00937E9D" w:rsidP="00937E9D">
      <w:pPr>
        <w:pStyle w:val="NormalHanging12a"/>
        <w:rPr>
          <w:noProof/>
        </w:rPr>
      </w:pPr>
      <w:r w:rsidRPr="00D751A3">
        <w:t>8.</w:t>
      </w:r>
      <w:r w:rsidRPr="00D751A3">
        <w:tab/>
        <w:t xml:space="preserve">reamintește că serviciile personalizate care urmează să fie furnizate lucrătorilor, stabilite de comun acord cu sindicatele, experții și partenerii sociali, constau în următoarele măsuri: sesiuni de informare pentru reintegrarea pe piața muncii, servicii de plasare pe piața muncii a personalului disponibilizat, inclusiv formare în domeniul TIC; asistență pentru găsirea unui loc de muncă prin orientare și ajutor pentru căutarea unui loc de muncă, formare și recalificare, târguri de locuri de muncă, servicii de recrutare activă și corelarea cererii și a ofertei de locuri de muncă; subliniază importanța promovării unor locuri de muncă de înaltă calitate, orientate spre viitor, pentru a se asigura reziliența economică și socială pe termen lung; invită autoritățile belgiene să stabilească un dialog cu noii reprezentanți europeni ai </w:t>
      </w:r>
      <w:proofErr w:type="spellStart"/>
      <w:r w:rsidRPr="00D751A3">
        <w:t>Tupperware</w:t>
      </w:r>
      <w:proofErr w:type="spellEnd"/>
      <w:r w:rsidRPr="00D751A3">
        <w:t xml:space="preserve"> pentru a analiza posibilitățile de reintegrare a lucrătorilor disponibilizați în activitățile lor economice;</w:t>
      </w:r>
    </w:p>
    <w:p w14:paraId="292244C0" w14:textId="77777777" w:rsidR="00937E9D" w:rsidRPr="00D751A3" w:rsidRDefault="00937E9D" w:rsidP="00937E9D">
      <w:pPr>
        <w:pStyle w:val="NormalHanging12a"/>
        <w:rPr>
          <w:noProof/>
        </w:rPr>
      </w:pPr>
      <w:r w:rsidRPr="00D751A3">
        <w:t>9.</w:t>
      </w:r>
      <w:r w:rsidRPr="00D751A3">
        <w:tab/>
        <w:t xml:space="preserve">subliniază că calificările și competențele lucrătorilor disponibilizați rămân esențiale pentru o economie europeană adaptată exigențelor viitorului; consideră, prin urmare, că mobilizarea FEG trebuie integrată într-un răspuns mai amplu în materie de politici, la toate nivelurile politice, pentru a garanta că lucrătorii afectați au acces la oportunități </w:t>
      </w:r>
      <w:r w:rsidRPr="00D751A3">
        <w:lastRenderedPageBreak/>
        <w:t xml:space="preserve">adecvate, în conformitate cu calificările și competențele lor; reamintește, de asemenea, că FEG reprezintă un instrument de solidaritate și de tranziție justă și că sarcina principală a Uniunii trebuie să fie, în primul rând, prevenirea unor astfel de închideri; consideră că, deși FEG oferă sprijinul necesar lucrătorilor afectați, o politică industrială mai puternică, o economie mai solidă, mai sustenabilă și mai </w:t>
      </w:r>
      <w:proofErr w:type="spellStart"/>
      <w:r w:rsidRPr="00D751A3">
        <w:t>rezilientă</w:t>
      </w:r>
      <w:proofErr w:type="spellEnd"/>
      <w:r w:rsidRPr="00D751A3">
        <w:t xml:space="preserve"> și diminuarea dependențelor strategice sunt esențiale pentru a proteja baza industrială europeană de locuri de muncă;</w:t>
      </w:r>
    </w:p>
    <w:p w14:paraId="22B453F7" w14:textId="77777777" w:rsidR="00937E9D" w:rsidRPr="00D751A3" w:rsidRDefault="00937E9D" w:rsidP="00937E9D">
      <w:pPr>
        <w:pStyle w:val="NormalHanging12a"/>
        <w:rPr>
          <w:bCs/>
          <w:iCs/>
          <w:noProof/>
        </w:rPr>
      </w:pPr>
      <w:r w:rsidRPr="00D751A3">
        <w:t>10.</w:t>
      </w:r>
      <w:r w:rsidRPr="00D751A3">
        <w:tab/>
        <w:t>subliniază că autoritățile belgiene trebuie să asigure vizibilitatea finanțării din partea Uniunii și să evidențieze valoarea adăugată a acesteia, furnizând informații eficiente și specifice beneficiarilor, autorităților regionale și locale, partenerilor sociali și publicului larg;</w:t>
      </w:r>
    </w:p>
    <w:p w14:paraId="7B05F8E1" w14:textId="77777777" w:rsidR="00937E9D" w:rsidRPr="00D751A3" w:rsidRDefault="00937E9D" w:rsidP="00937E9D">
      <w:pPr>
        <w:pStyle w:val="NormalHanging12a"/>
        <w:rPr>
          <w:noProof/>
        </w:rPr>
      </w:pPr>
      <w:r w:rsidRPr="00D751A3">
        <w:t>11.</w:t>
      </w:r>
      <w:r w:rsidRPr="00D751A3">
        <w:tab/>
        <w:t>solicită evaluări finale aprofundate ale măsurilor aplicate, inclusiv informații clare care să precizeze cum au fost utilizate fondurile și dacă acestea au fost cheltuite în conformitate cu planurile aprobate; subliniază că astfel de evaluări ar trebui să se bazeze pe obiective clar definite și pe rezultate măsurabile, permițând o evaluare a rezultatelor obținute pentru lucrătorii în cauză; subliniază importanța asigurării unor intervenții mai rapide și mai eficace și reamintește, în acest context, necesitatea de a analiza modalități de asigurare a sustenabilității FEG sau a programului care îi va succeda, în cadrul următorului cadru financiar multianual 2028-2034;</w:t>
      </w:r>
    </w:p>
    <w:p w14:paraId="2F29BAE3" w14:textId="77777777" w:rsidR="00937E9D" w:rsidRPr="00D751A3" w:rsidRDefault="00937E9D" w:rsidP="00937E9D">
      <w:pPr>
        <w:pStyle w:val="NormalHanging12a"/>
        <w:rPr>
          <w:noProof/>
        </w:rPr>
      </w:pPr>
      <w:r w:rsidRPr="00D751A3">
        <w:t>12.</w:t>
      </w:r>
      <w:r w:rsidRPr="00D751A3">
        <w:tab/>
        <w:t>constată că Belgia a început să ofere servicii personalizate beneficiarilor vizați la 17 februarie 2025 și că perioada de eligibilitate pentru o contribuție financiară din FEG va începe așadar la această dată și va dura 24 de luni de la data intrării în vigoare a deciziei de finanțare;</w:t>
      </w:r>
    </w:p>
    <w:p w14:paraId="6EF366B6" w14:textId="77777777" w:rsidR="00937E9D" w:rsidRPr="00D751A3" w:rsidRDefault="00937E9D" w:rsidP="00937E9D">
      <w:pPr>
        <w:pStyle w:val="NormalHanging12a"/>
        <w:rPr>
          <w:noProof/>
        </w:rPr>
      </w:pPr>
      <w:r w:rsidRPr="00D751A3">
        <w:t>13.</w:t>
      </w:r>
      <w:r w:rsidRPr="00D751A3">
        <w:tab/>
        <w:t>observă că Belgia a început să suporte cheltuieli administrative pentru execuția FEG la 17 februarie 2025 și că aceste cheltuieli vor fi, prin urmare, eligibile pentru o contribuție financiară din FEG de la această dată pentru o perioadă de 31 de luni de la data intrării în vigoare a deciziei de finanțare;</w:t>
      </w:r>
    </w:p>
    <w:p w14:paraId="0AB84291" w14:textId="77777777" w:rsidR="00937E9D" w:rsidRPr="00D751A3" w:rsidRDefault="00937E9D" w:rsidP="00937E9D">
      <w:pPr>
        <w:pStyle w:val="NormalHanging12a"/>
        <w:rPr>
          <w:noProof/>
        </w:rPr>
      </w:pPr>
      <w:r w:rsidRPr="00D751A3">
        <w:t>14.</w:t>
      </w:r>
      <w:r w:rsidRPr="00D751A3">
        <w:tab/>
        <w:t>observă că autoritățile belgiene au dat asigurări că, pentru accesul la acțiunile propuse și pentru punerea lor în aplicare, se vor respecta principiile egalității de tratament și nediscriminării și se va evita orice formă de dublă finanțare;</w:t>
      </w:r>
    </w:p>
    <w:p w14:paraId="59DE5E42" w14:textId="77777777" w:rsidR="00937E9D" w:rsidRPr="00D751A3" w:rsidRDefault="00937E9D" w:rsidP="00937E9D">
      <w:pPr>
        <w:pStyle w:val="NormalHanging12a"/>
        <w:rPr>
          <w:noProof/>
        </w:rPr>
      </w:pPr>
      <w:r w:rsidRPr="00D751A3">
        <w:t>15.</w:t>
      </w:r>
      <w:r w:rsidRPr="00D751A3">
        <w:tab/>
        <w:t>reafirmă că asistența din partea FEG nu trebuie să înlocuiască acțiunile care intră în responsabilitatea întreprinderilor, în temeiul legislației naționale sau al acordurilor colective;</w:t>
      </w:r>
    </w:p>
    <w:p w14:paraId="42D302E9" w14:textId="77777777" w:rsidR="00937E9D" w:rsidRPr="00D751A3" w:rsidRDefault="00937E9D" w:rsidP="00937E9D">
      <w:pPr>
        <w:pStyle w:val="NormalHanging12a"/>
        <w:rPr>
          <w:noProof/>
        </w:rPr>
      </w:pPr>
      <w:r w:rsidRPr="00D751A3">
        <w:t>16.</w:t>
      </w:r>
      <w:r w:rsidRPr="00D751A3">
        <w:tab/>
        <w:t>aprobă decizia anexată la prezenta rezoluție;</w:t>
      </w:r>
    </w:p>
    <w:p w14:paraId="342384EE" w14:textId="77777777" w:rsidR="00937E9D" w:rsidRPr="00D751A3" w:rsidRDefault="00937E9D" w:rsidP="00937E9D">
      <w:pPr>
        <w:pStyle w:val="NormalHanging12a"/>
        <w:rPr>
          <w:noProof/>
        </w:rPr>
      </w:pPr>
      <w:r w:rsidRPr="00D751A3">
        <w:t>17.</w:t>
      </w:r>
      <w:r w:rsidRPr="00D751A3">
        <w:tab/>
        <w:t xml:space="preserve">încredințează Președintei sarcina de a semna această decizie împreună cu Președintele Consiliului și de a asigura publicarea sa în </w:t>
      </w:r>
      <w:r w:rsidRPr="00D751A3">
        <w:rPr>
          <w:i/>
          <w:iCs/>
        </w:rPr>
        <w:t>Jurnalul Oficial al Uniunii Europene</w:t>
      </w:r>
      <w:r w:rsidRPr="00D751A3">
        <w:t>;</w:t>
      </w:r>
    </w:p>
    <w:p w14:paraId="51AF6199" w14:textId="77777777" w:rsidR="00937E9D" w:rsidRPr="00D751A3" w:rsidRDefault="00937E9D" w:rsidP="00937E9D">
      <w:pPr>
        <w:pStyle w:val="NormalHanging12a"/>
        <w:rPr>
          <w:noProof/>
        </w:rPr>
      </w:pPr>
      <w:r w:rsidRPr="00D751A3">
        <w:t>18.</w:t>
      </w:r>
      <w:r w:rsidRPr="00D751A3">
        <w:tab/>
        <w:t>încredințează Președintei sarcina de a transmite prezenta rezoluție, împreună cu anexa, Consiliului și Comisiei.</w:t>
      </w:r>
    </w:p>
    <w:p w14:paraId="503FFAD4" w14:textId="77777777" w:rsidR="00937E9D" w:rsidRPr="00D751A3" w:rsidRDefault="00937E9D" w:rsidP="00937E9D">
      <w:pPr>
        <w:pStyle w:val="NormalHanging12a"/>
        <w:rPr>
          <w:noProof/>
        </w:rPr>
      </w:pPr>
    </w:p>
    <w:p w14:paraId="60BACFAA" w14:textId="77777777" w:rsidR="00937E9D" w:rsidRPr="00D751A3" w:rsidRDefault="00937E9D" w:rsidP="00E938B4">
      <w:pPr>
        <w:pStyle w:val="PageHeading"/>
        <w:jc w:val="left"/>
        <w:rPr>
          <w:noProof/>
        </w:rPr>
        <w:sectPr w:rsidR="00937E9D" w:rsidRPr="00D751A3" w:rsidSect="000B269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533E00D" w14:textId="77777777" w:rsidR="000D7668" w:rsidRPr="000D7668" w:rsidRDefault="00937E9D" w:rsidP="00937E9D">
      <w:pPr>
        <w:pStyle w:val="PageHeading"/>
        <w:rPr>
          <w:rFonts w:ascii="Times New Roman" w:hAnsi="Times New Roman" w:cs="Times New Roman"/>
        </w:rPr>
      </w:pPr>
      <w:bookmarkStart w:id="7" w:name="_Toc223445424"/>
      <w:r w:rsidRPr="000D7668">
        <w:rPr>
          <w:rFonts w:ascii="Times New Roman" w:hAnsi="Times New Roman" w:cs="Times New Roman"/>
        </w:rPr>
        <w:lastRenderedPageBreak/>
        <w:t>ANEXĂ</w:t>
      </w:r>
    </w:p>
    <w:p w14:paraId="79BD97C1" w14:textId="39A8A0F6" w:rsidR="00937E9D" w:rsidRPr="000D7668" w:rsidRDefault="00937E9D" w:rsidP="00937E9D">
      <w:pPr>
        <w:pStyle w:val="PageHeading"/>
        <w:rPr>
          <w:rFonts w:ascii="Times New Roman" w:hAnsi="Times New Roman" w:cs="Times New Roman"/>
          <w:noProof/>
        </w:rPr>
      </w:pPr>
      <w:r w:rsidRPr="000D7668">
        <w:rPr>
          <w:rFonts w:ascii="Times New Roman" w:hAnsi="Times New Roman" w:cs="Times New Roman"/>
        </w:rPr>
        <w:t>DECIZIE A PARLAMENTULUI EUROPEAN ȘI A CONSILIULUI</w:t>
      </w:r>
      <w:bookmarkEnd w:id="7"/>
    </w:p>
    <w:p w14:paraId="7973AFA3" w14:textId="77777777" w:rsidR="00937E9D" w:rsidRDefault="00937E9D" w:rsidP="00937E9D">
      <w:pPr>
        <w:pStyle w:val="Institutionquiagit"/>
        <w:rPr>
          <w:b/>
        </w:rPr>
      </w:pPr>
      <w:r w:rsidRPr="000D7668">
        <w:rPr>
          <w:b/>
        </w:rPr>
        <w:t>privind mobilizarea Fondului european de ajustare la globalizare pentru lucrătorii disponibilizați în urma unei cereri din partea Belgiei ‐ EGF/2025/004 BE/</w:t>
      </w:r>
      <w:proofErr w:type="spellStart"/>
      <w:r w:rsidRPr="000D7668">
        <w:rPr>
          <w:b/>
        </w:rPr>
        <w:t>Tupperware</w:t>
      </w:r>
      <w:proofErr w:type="spellEnd"/>
    </w:p>
    <w:p w14:paraId="2572062F" w14:textId="77777777" w:rsidR="000D7668" w:rsidRDefault="000D7668" w:rsidP="000D7668">
      <w:pPr>
        <w:rPr>
          <w:lang w:eastAsia="en-US"/>
        </w:rPr>
      </w:pPr>
    </w:p>
    <w:p w14:paraId="2AA84A72" w14:textId="0C281896" w:rsidR="000D7668" w:rsidRPr="000D7668" w:rsidRDefault="000D7668" w:rsidP="000D7668">
      <w:pPr>
        <w:spacing w:before="120"/>
        <w:rPr>
          <w:b/>
          <w:bCs/>
          <w:i/>
          <w:noProof/>
        </w:rPr>
      </w:pPr>
      <w:r w:rsidRPr="00272DA5">
        <w:rPr>
          <w:i/>
          <w:noProof/>
        </w:rPr>
        <w:t xml:space="preserve">(Textul prezentei anexe nu este reprodus aici, întrucât corespunde cu actul final, Decizia </w:t>
      </w:r>
      <w:r w:rsidRPr="000D7668">
        <w:rPr>
          <w:rStyle w:val="ATHeading3Char"/>
          <w:b w:val="0"/>
          <w:bCs/>
          <w:i/>
        </w:rPr>
        <w:t>(UE) 2026/</w:t>
      </w:r>
      <w:r>
        <w:rPr>
          <w:rStyle w:val="ATHeading3Char"/>
          <w:b w:val="0"/>
          <w:bCs/>
          <w:i/>
        </w:rPr>
        <w:t>723</w:t>
      </w:r>
      <w:r w:rsidRPr="000D7668">
        <w:rPr>
          <w:rStyle w:val="ATHeading3Char"/>
          <w:b w:val="0"/>
          <w:bCs/>
          <w:i/>
        </w:rPr>
        <w:t>.</w:t>
      </w:r>
      <w:r w:rsidRPr="000170E2">
        <w:rPr>
          <w:i/>
          <w:noProof/>
        </w:rPr>
        <w:t>)</w:t>
      </w:r>
    </w:p>
    <w:p w14:paraId="6FB5C089" w14:textId="77777777" w:rsidR="000D7668" w:rsidRPr="000D7668" w:rsidRDefault="000D7668" w:rsidP="000D7668">
      <w:pPr>
        <w:rPr>
          <w:lang w:eastAsia="en-US"/>
        </w:rPr>
      </w:pPr>
    </w:p>
    <w:sectPr w:rsidR="000D7668" w:rsidRPr="000D7668" w:rsidSect="007D66B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E8333" w14:textId="77777777" w:rsidR="00086732" w:rsidRPr="000B269F" w:rsidRDefault="00086732">
      <w:r w:rsidRPr="000B269F">
        <w:separator/>
      </w:r>
    </w:p>
  </w:endnote>
  <w:endnote w:type="continuationSeparator" w:id="0">
    <w:p w14:paraId="50152E95" w14:textId="77777777" w:rsidR="00086732" w:rsidRPr="000B269F" w:rsidRDefault="00086732">
      <w:r w:rsidRPr="000B26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548AC" w14:textId="77777777" w:rsidR="00937E9D" w:rsidRPr="000B269F" w:rsidRDefault="00937E9D" w:rsidP="00C72D6D">
    <w:pPr>
      <w:pStyle w:val="EPFooter"/>
    </w:pPr>
    <w:r w:rsidRPr="000B269F">
      <w:t>PE</w:t>
    </w:r>
    <w:r w:rsidRPr="000B269F">
      <w:rPr>
        <w:rStyle w:val="HideTWBExt"/>
      </w:rPr>
      <w:t>&lt;</w:t>
    </w:r>
    <w:proofErr w:type="spellStart"/>
    <w:r w:rsidRPr="000B269F">
      <w:rPr>
        <w:rStyle w:val="HideTWBExt"/>
      </w:rPr>
      <w:t>NoPE</w:t>
    </w:r>
    <w:proofErr w:type="spellEnd"/>
    <w:r w:rsidRPr="000B269F">
      <w:rPr>
        <w:rStyle w:val="HideTWBExt"/>
      </w:rPr>
      <w:t>&gt;</w:t>
    </w:r>
    <w:r w:rsidRPr="000B269F">
      <w:t>782.416</w:t>
    </w:r>
    <w:r w:rsidRPr="000B269F">
      <w:rPr>
        <w:rStyle w:val="HideTWBExt"/>
      </w:rPr>
      <w:t>&lt;/</w:t>
    </w:r>
    <w:proofErr w:type="spellStart"/>
    <w:r w:rsidRPr="000B269F">
      <w:rPr>
        <w:rStyle w:val="HideTWBExt"/>
      </w:rPr>
      <w:t>NoPE</w:t>
    </w:r>
    <w:proofErr w:type="spellEnd"/>
    <w:r w:rsidRPr="000B269F">
      <w:rPr>
        <w:rStyle w:val="HideTWBExt"/>
      </w:rPr>
      <w:t>&gt;&lt;Version&gt;</w:t>
    </w:r>
    <w:r w:rsidRPr="000B269F">
      <w:t>v02-00</w:t>
    </w:r>
    <w:r w:rsidRPr="000B269F">
      <w:rPr>
        <w:rStyle w:val="HideTWBExt"/>
      </w:rPr>
      <w:t>&lt;/</w:t>
    </w:r>
    <w:proofErr w:type="spellStart"/>
    <w:r w:rsidRPr="000B269F">
      <w:rPr>
        <w:rStyle w:val="HideTWBExt"/>
      </w:rPr>
      <w:t>Version</w:t>
    </w:r>
    <w:proofErr w:type="spellEnd"/>
    <w:r w:rsidRPr="000B269F">
      <w:rPr>
        <w:rStyle w:val="HideTWBExt"/>
      </w:rPr>
      <w:t>&gt;</w:t>
    </w:r>
    <w:r w:rsidRPr="000B269F">
      <w:tab/>
    </w:r>
    <w:r w:rsidRPr="000B269F">
      <w:fldChar w:fldCharType="begin"/>
    </w:r>
    <w:r w:rsidRPr="000B269F">
      <w:instrText xml:space="preserve"> PAGE  \* MERGEFORMAT </w:instrText>
    </w:r>
    <w:r w:rsidRPr="000B269F">
      <w:fldChar w:fldCharType="separate"/>
    </w:r>
    <w:r w:rsidRPr="000B269F">
      <w:rPr>
        <w:noProof/>
      </w:rPr>
      <w:t>2</w:t>
    </w:r>
    <w:r w:rsidRPr="000B269F">
      <w:fldChar w:fldCharType="end"/>
    </w:r>
    <w:r w:rsidRPr="000B269F">
      <w:t>/</w:t>
    </w:r>
    <w:fldSimple w:instr=" NUMPAGES  \* MERGEFORMAT ">
      <w:r w:rsidRPr="000B269F">
        <w:rPr>
          <w:noProof/>
        </w:rPr>
        <w:t>19</w:t>
      </w:r>
    </w:fldSimple>
    <w:r w:rsidRPr="000B269F">
      <w:tab/>
    </w:r>
    <w:r w:rsidRPr="000B269F">
      <w:rPr>
        <w:rStyle w:val="HideTWBExt"/>
      </w:rPr>
      <w:t>&lt;PathFdR&gt;</w:t>
    </w:r>
    <w:r w:rsidRPr="000B269F">
      <w:t>RR\1338392RO.docx</w:t>
    </w:r>
    <w:r w:rsidRPr="000B269F">
      <w:rPr>
        <w:rStyle w:val="HideTWBExt"/>
      </w:rPr>
      <w:t>&lt;/</w:t>
    </w:r>
    <w:proofErr w:type="spellStart"/>
    <w:r w:rsidRPr="000B269F">
      <w:rPr>
        <w:rStyle w:val="HideTWBExt"/>
      </w:rPr>
      <w:t>PathFdR</w:t>
    </w:r>
    <w:proofErr w:type="spellEnd"/>
    <w:r w:rsidRPr="000B269F">
      <w:rPr>
        <w:rStyle w:val="HideTWBExt"/>
      </w:rPr>
      <w:t>&gt;</w:t>
    </w:r>
  </w:p>
  <w:p w14:paraId="3851D104" w14:textId="77777777" w:rsidR="00937E9D" w:rsidRPr="000B269F" w:rsidRDefault="00937E9D" w:rsidP="00C72D6D">
    <w:pPr>
      <w:pStyle w:val="EPFooter2"/>
    </w:pPr>
    <w:r w:rsidRPr="000B269F">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7540A" w14:textId="77777777" w:rsidR="00937E9D" w:rsidRPr="000B269F" w:rsidRDefault="00937E9D" w:rsidP="00C72D6D">
    <w:pPr>
      <w:pStyle w:val="EPFooter"/>
    </w:pPr>
    <w:r w:rsidRPr="000B269F">
      <w:rPr>
        <w:rStyle w:val="HideTWBExt"/>
      </w:rPr>
      <w:t>&lt;PathFdR&gt;</w:t>
    </w:r>
    <w:r w:rsidRPr="000B269F">
      <w:t>RR\1338392RO.docx</w:t>
    </w:r>
    <w:r w:rsidRPr="000B269F">
      <w:rPr>
        <w:rStyle w:val="HideTWBExt"/>
      </w:rPr>
      <w:t>&lt;/</w:t>
    </w:r>
    <w:proofErr w:type="spellStart"/>
    <w:r w:rsidRPr="000B269F">
      <w:rPr>
        <w:rStyle w:val="HideTWBExt"/>
      </w:rPr>
      <w:t>PathFdR</w:t>
    </w:r>
    <w:proofErr w:type="spellEnd"/>
    <w:r w:rsidRPr="000B269F">
      <w:rPr>
        <w:rStyle w:val="HideTWBExt"/>
      </w:rPr>
      <w:t>&gt;</w:t>
    </w:r>
    <w:r w:rsidRPr="000B269F">
      <w:tab/>
    </w:r>
    <w:r w:rsidRPr="000B269F">
      <w:tab/>
      <w:t>PE</w:t>
    </w:r>
    <w:r w:rsidRPr="000B269F">
      <w:rPr>
        <w:rStyle w:val="HideTWBExt"/>
      </w:rPr>
      <w:t>&lt;</w:t>
    </w:r>
    <w:proofErr w:type="spellStart"/>
    <w:r w:rsidRPr="000B269F">
      <w:rPr>
        <w:rStyle w:val="HideTWBExt"/>
      </w:rPr>
      <w:t>NoPE</w:t>
    </w:r>
    <w:proofErr w:type="spellEnd"/>
    <w:r w:rsidRPr="000B269F">
      <w:rPr>
        <w:rStyle w:val="HideTWBExt"/>
      </w:rPr>
      <w:t>&gt;</w:t>
    </w:r>
    <w:r w:rsidRPr="000B269F">
      <w:t>782.416</w:t>
    </w:r>
    <w:r w:rsidRPr="000B269F">
      <w:rPr>
        <w:rStyle w:val="HideTWBExt"/>
      </w:rPr>
      <w:t>&lt;/</w:t>
    </w:r>
    <w:proofErr w:type="spellStart"/>
    <w:r w:rsidRPr="000B269F">
      <w:rPr>
        <w:rStyle w:val="HideTWBExt"/>
      </w:rPr>
      <w:t>NoPE</w:t>
    </w:r>
    <w:proofErr w:type="spellEnd"/>
    <w:r w:rsidRPr="000B269F">
      <w:rPr>
        <w:rStyle w:val="HideTWBExt"/>
      </w:rPr>
      <w:t>&gt;&lt;Version&gt;</w:t>
    </w:r>
    <w:r w:rsidRPr="000B269F">
      <w:t>v02-00</w:t>
    </w:r>
    <w:r w:rsidRPr="000B269F">
      <w:rPr>
        <w:rStyle w:val="HideTWBExt"/>
      </w:rPr>
      <w:t>&lt;/</w:t>
    </w:r>
    <w:proofErr w:type="spellStart"/>
    <w:r w:rsidRPr="000B269F">
      <w:rPr>
        <w:rStyle w:val="HideTWBExt"/>
      </w:rPr>
      <w:t>Version</w:t>
    </w:r>
    <w:proofErr w:type="spellEnd"/>
    <w:r w:rsidRPr="000B269F">
      <w:rPr>
        <w:rStyle w:val="HideTWBExt"/>
      </w:rPr>
      <w:t>&gt;</w:t>
    </w:r>
  </w:p>
  <w:p w14:paraId="72FFBCF3" w14:textId="77777777" w:rsidR="00937E9D" w:rsidRPr="000B269F" w:rsidRDefault="00937E9D" w:rsidP="00C72D6D">
    <w:pPr>
      <w:pStyle w:val="EPFooter2"/>
    </w:pPr>
    <w:r w:rsidRPr="000B269F">
      <w:t>RO</w:t>
    </w:r>
    <w:r w:rsidRPr="000B269F">
      <w:tab/>
    </w:r>
    <w:r w:rsidRPr="000B269F">
      <w:rPr>
        <w:b w:val="0"/>
        <w:i/>
        <w:color w:val="C0C0C0"/>
        <w:sz w:val="22"/>
      </w:rPr>
      <w:t>Unită în diversitate</w:t>
    </w:r>
    <w:r w:rsidRPr="000B269F">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13863" w14:textId="77777777" w:rsidR="00064002" w:rsidRPr="000B269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8B29A" w14:textId="77777777" w:rsidR="00064002" w:rsidRPr="000B269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C4781" w14:textId="77777777" w:rsidR="00064002" w:rsidRPr="000B26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BB87D" w14:textId="77777777" w:rsidR="00086732" w:rsidRPr="000B269F" w:rsidRDefault="00086732">
      <w:r w:rsidRPr="000B269F">
        <w:separator/>
      </w:r>
    </w:p>
  </w:footnote>
  <w:footnote w:type="continuationSeparator" w:id="0">
    <w:p w14:paraId="7D13BE8E" w14:textId="77777777" w:rsidR="00086732" w:rsidRPr="000B269F" w:rsidRDefault="00086732">
      <w:r w:rsidRPr="000B269F">
        <w:continuationSeparator/>
      </w:r>
    </w:p>
  </w:footnote>
  <w:footnote w:id="1">
    <w:p w14:paraId="6970567B" w14:textId="6EE75DF8" w:rsidR="00937E9D" w:rsidRPr="000B269F" w:rsidRDefault="00937E9D" w:rsidP="000B269F">
      <w:pPr>
        <w:pStyle w:val="FootnoteText"/>
        <w:ind w:left="567" w:hanging="567"/>
        <w:rPr>
          <w:sz w:val="24"/>
          <w:lang w:val="ro-RO"/>
        </w:rPr>
      </w:pPr>
      <w:r w:rsidRPr="000B269F">
        <w:rPr>
          <w:rStyle w:val="FootnoteReference"/>
          <w:sz w:val="24"/>
          <w:lang w:val="ro-RO"/>
        </w:rPr>
        <w:footnoteRef/>
      </w:r>
      <w:r w:rsidR="000B269F" w:rsidRPr="000B269F">
        <w:rPr>
          <w:sz w:val="24"/>
          <w:lang w:val="ro-RO"/>
        </w:rPr>
        <w:t xml:space="preserve"> </w:t>
      </w:r>
      <w:r w:rsidR="000B269F" w:rsidRPr="000B269F">
        <w:rPr>
          <w:sz w:val="24"/>
          <w:lang w:val="ro-RO"/>
        </w:rPr>
        <w:tab/>
      </w:r>
      <w:r w:rsidRPr="000B269F">
        <w:rPr>
          <w:sz w:val="24"/>
          <w:lang w:val="ro-RO"/>
        </w:rPr>
        <w:t xml:space="preserve">JO L 153, 3.5.2021, p. 48, ELI: </w:t>
      </w:r>
      <w:hyperlink r:id="rId1" w:history="1">
        <w:r w:rsidRPr="000B269F">
          <w:rPr>
            <w:rStyle w:val="Hyperlink"/>
            <w:sz w:val="24"/>
            <w:lang w:val="ro-RO"/>
          </w:rPr>
          <w:t>http://data.europa.eu/eli/reg/2021/691/oj</w:t>
        </w:r>
      </w:hyperlink>
      <w:r w:rsidRPr="000B269F">
        <w:rPr>
          <w:sz w:val="24"/>
          <w:lang w:val="ro-RO"/>
        </w:rPr>
        <w:t>.</w:t>
      </w:r>
    </w:p>
  </w:footnote>
  <w:footnote w:id="2">
    <w:p w14:paraId="15B29FED" w14:textId="342F2452" w:rsidR="00937E9D" w:rsidRPr="000B269F" w:rsidRDefault="00937E9D" w:rsidP="000B269F">
      <w:pPr>
        <w:pStyle w:val="FootnoteText"/>
        <w:ind w:left="567" w:hanging="567"/>
        <w:rPr>
          <w:sz w:val="24"/>
          <w:lang w:val="ro-RO"/>
        </w:rPr>
      </w:pPr>
      <w:r w:rsidRPr="000B269F">
        <w:rPr>
          <w:rStyle w:val="FootnoteReference"/>
          <w:sz w:val="24"/>
          <w:lang w:val="ro-RO"/>
        </w:rPr>
        <w:footnoteRef/>
      </w:r>
      <w:r w:rsidR="000B269F" w:rsidRPr="000B269F">
        <w:rPr>
          <w:sz w:val="24"/>
          <w:lang w:val="ro-RO"/>
        </w:rPr>
        <w:t xml:space="preserve"> </w:t>
      </w:r>
      <w:r w:rsidR="000B269F" w:rsidRPr="000B269F">
        <w:rPr>
          <w:sz w:val="24"/>
          <w:lang w:val="ro-RO"/>
        </w:rPr>
        <w:tab/>
      </w:r>
      <w:r w:rsidRPr="000B269F">
        <w:rPr>
          <w:sz w:val="24"/>
          <w:lang w:val="ro-RO"/>
        </w:rPr>
        <w:t xml:space="preserve">JO L 433 I, 22.12.2020, p. 11, ELI: </w:t>
      </w:r>
      <w:hyperlink r:id="rId2" w:history="1">
        <w:r w:rsidRPr="000B269F">
          <w:rPr>
            <w:rStyle w:val="Hyperlink"/>
            <w:sz w:val="24"/>
            <w:lang w:val="ro-RO"/>
          </w:rPr>
          <w:t>http://data.europa.eu/eli/reg/2020/2093/oj</w:t>
        </w:r>
      </w:hyperlink>
      <w:r w:rsidRPr="000B269F">
        <w:rPr>
          <w:sz w:val="24"/>
          <w:lang w:val="ro-RO"/>
        </w:rPr>
        <w:t>.</w:t>
      </w:r>
    </w:p>
  </w:footnote>
  <w:footnote w:id="3">
    <w:p w14:paraId="00AE0884" w14:textId="5083137F" w:rsidR="00937E9D" w:rsidRPr="000B269F" w:rsidRDefault="00937E9D" w:rsidP="000B269F">
      <w:pPr>
        <w:pStyle w:val="FootnoteText"/>
        <w:ind w:left="567" w:hanging="567"/>
        <w:rPr>
          <w:sz w:val="24"/>
          <w:lang w:val="ro-RO"/>
        </w:rPr>
      </w:pPr>
      <w:r w:rsidRPr="000B269F">
        <w:rPr>
          <w:rStyle w:val="FootnoteReference"/>
          <w:sz w:val="24"/>
          <w:lang w:val="ro-RO"/>
        </w:rPr>
        <w:footnoteRef/>
      </w:r>
      <w:r w:rsidR="000B269F" w:rsidRPr="000B269F">
        <w:rPr>
          <w:sz w:val="24"/>
          <w:shd w:val="clear" w:color="auto" w:fill="FFFFFF"/>
          <w:lang w:val="ro-RO"/>
        </w:rPr>
        <w:t xml:space="preserve"> </w:t>
      </w:r>
      <w:r w:rsidR="000B269F" w:rsidRPr="000B269F">
        <w:rPr>
          <w:sz w:val="24"/>
          <w:shd w:val="clear" w:color="auto" w:fill="FFFFFF"/>
          <w:lang w:val="ro-RO"/>
        </w:rPr>
        <w:tab/>
      </w:r>
      <w:r w:rsidRPr="000B269F">
        <w:rPr>
          <w:sz w:val="24"/>
          <w:shd w:val="clear" w:color="auto" w:fill="FFFFFF"/>
          <w:lang w:val="ro-RO"/>
        </w:rPr>
        <w:t>Regulamentul (UE, Euratom) 2024/765 al Consiliului din 29 februarie 2024 de modificare a Regulamentului (UE, Euratom) 2020/2093 de stabilire a cadrului financiar multianual pentru perioada 2021-2027 (JO L, 2024/765, 29.2.2024, ELI:</w:t>
      </w:r>
      <w:r w:rsidRPr="000B269F">
        <w:rPr>
          <w:color w:val="333333"/>
          <w:sz w:val="24"/>
          <w:shd w:val="clear" w:color="auto" w:fill="FFFFFF"/>
          <w:lang w:val="ro-RO"/>
        </w:rPr>
        <w:t xml:space="preserve"> </w:t>
      </w:r>
      <w:hyperlink r:id="rId3" w:history="1">
        <w:r w:rsidRPr="000B269F">
          <w:rPr>
            <w:rStyle w:val="Hyperlink"/>
            <w:sz w:val="24"/>
            <w:shd w:val="clear" w:color="auto" w:fill="FFFFFF"/>
            <w:lang w:val="ro-RO"/>
          </w:rPr>
          <w:t>http://data.europa.eu/eli/reg/2024/765/oj</w:t>
        </w:r>
      </w:hyperlink>
      <w:r w:rsidRPr="000B269F">
        <w:rPr>
          <w:i/>
          <w:color w:val="333333"/>
          <w:sz w:val="24"/>
          <w:shd w:val="clear" w:color="auto" w:fill="FFFFFF"/>
          <w:lang w:val="ro-RO"/>
        </w:rPr>
        <w:t>).</w:t>
      </w:r>
    </w:p>
  </w:footnote>
  <w:footnote w:id="4">
    <w:p w14:paraId="2F895305" w14:textId="5B90BFCF" w:rsidR="00937E9D" w:rsidRPr="000B269F" w:rsidRDefault="00937E9D" w:rsidP="000B269F">
      <w:pPr>
        <w:pStyle w:val="FootnoteText"/>
        <w:ind w:left="567" w:hanging="567"/>
        <w:rPr>
          <w:sz w:val="24"/>
          <w:lang w:val="ro-RO"/>
        </w:rPr>
      </w:pPr>
      <w:r w:rsidRPr="000B269F">
        <w:rPr>
          <w:rStyle w:val="FootnoteReference"/>
          <w:sz w:val="24"/>
          <w:lang w:val="ro-RO"/>
        </w:rPr>
        <w:footnoteRef/>
      </w:r>
      <w:r w:rsidR="000B269F" w:rsidRPr="000B269F">
        <w:rPr>
          <w:sz w:val="24"/>
          <w:lang w:val="ro-RO"/>
        </w:rPr>
        <w:t xml:space="preserve"> </w:t>
      </w:r>
      <w:r w:rsidR="000B269F" w:rsidRPr="000B269F">
        <w:rPr>
          <w:sz w:val="24"/>
          <w:lang w:val="ro-RO"/>
        </w:rPr>
        <w:tab/>
      </w:r>
      <w:r w:rsidRPr="000B269F">
        <w:rPr>
          <w:sz w:val="24"/>
          <w:lang w:val="ro-RO"/>
        </w:rPr>
        <w:t xml:space="preserve">JO L 433 I, 22.12.2020, p. 28, ELI: </w:t>
      </w:r>
      <w:hyperlink r:id="rId4" w:history="1">
        <w:r w:rsidRPr="000B269F">
          <w:rPr>
            <w:rStyle w:val="Hyperlink"/>
            <w:sz w:val="24"/>
            <w:lang w:val="ro-RO"/>
          </w:rPr>
          <w:t>http://data.europa.eu/eli/agree_interinstit/2020/1222/oj</w:t>
        </w:r>
      </w:hyperlink>
      <w:r w:rsidRPr="000B269F">
        <w:rPr>
          <w:sz w:val="24"/>
          <w:lang w:val="ro-RO"/>
        </w:rPr>
        <w:t>.</w:t>
      </w:r>
    </w:p>
  </w:footnote>
  <w:footnote w:id="5">
    <w:p w14:paraId="4242C0F5" w14:textId="4081E2A4" w:rsidR="00937E9D" w:rsidRPr="000B269F" w:rsidRDefault="00937E9D" w:rsidP="000B269F">
      <w:pPr>
        <w:pStyle w:val="FootnoteText"/>
        <w:ind w:left="567" w:hanging="567"/>
        <w:rPr>
          <w:sz w:val="24"/>
          <w:lang w:val="ro-RO"/>
        </w:rPr>
      </w:pPr>
      <w:r w:rsidRPr="000B269F">
        <w:rPr>
          <w:rStyle w:val="FootnoteReference"/>
          <w:sz w:val="24"/>
          <w:lang w:val="ro-RO"/>
        </w:rPr>
        <w:footnoteRef/>
      </w:r>
      <w:r w:rsidR="000B269F" w:rsidRPr="000B269F">
        <w:rPr>
          <w:sz w:val="24"/>
          <w:lang w:val="ro-RO"/>
        </w:rPr>
        <w:t xml:space="preserve"> </w:t>
      </w:r>
      <w:r w:rsidR="000B269F" w:rsidRPr="000B269F">
        <w:rPr>
          <w:sz w:val="24"/>
          <w:lang w:val="ro-RO"/>
        </w:rPr>
        <w:tab/>
      </w:r>
      <w:r w:rsidRPr="000B269F">
        <w:rPr>
          <w:sz w:val="24"/>
          <w:lang w:val="ro-RO"/>
        </w:rPr>
        <w:t>În sensul articolului 3 din Regulamentul privind FEG.</w:t>
      </w:r>
    </w:p>
  </w:footnote>
  <w:footnote w:id="6">
    <w:p w14:paraId="15F149B1" w14:textId="2C845362" w:rsidR="00937E9D" w:rsidRPr="000B269F" w:rsidRDefault="00937E9D" w:rsidP="000B269F">
      <w:pPr>
        <w:pStyle w:val="FootnoteText"/>
        <w:ind w:left="567" w:hanging="567"/>
        <w:rPr>
          <w:sz w:val="24"/>
          <w:lang w:val="ro-RO"/>
        </w:rPr>
      </w:pPr>
      <w:r w:rsidRPr="000B269F">
        <w:rPr>
          <w:rStyle w:val="FootnoteReference"/>
          <w:sz w:val="24"/>
          <w:lang w:val="ro-RO"/>
        </w:rPr>
        <w:footnoteRef/>
      </w:r>
      <w:r w:rsidR="000B269F" w:rsidRPr="000B269F">
        <w:rPr>
          <w:sz w:val="24"/>
          <w:lang w:val="ro-RO"/>
        </w:rPr>
        <w:t xml:space="preserve"> </w:t>
      </w:r>
      <w:r w:rsidR="000B269F" w:rsidRPr="000B269F">
        <w:rPr>
          <w:sz w:val="24"/>
          <w:lang w:val="ro-RO"/>
        </w:rPr>
        <w:tab/>
      </w:r>
      <w:r w:rsidRPr="000B269F">
        <w:rPr>
          <w:sz w:val="24"/>
          <w:lang w:val="ro-RO"/>
        </w:rPr>
        <w:t>Articolul 8 din Regulamentul privind CFM.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F5AF9" w14:textId="77777777" w:rsidR="00064002" w:rsidRPr="000B269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514C0" w14:textId="77777777" w:rsidR="00064002" w:rsidRPr="000B269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C36B" w14:textId="77777777" w:rsidR="00064002" w:rsidRPr="000B26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8617533">
    <w:abstractNumId w:val="9"/>
  </w:num>
  <w:num w:numId="2" w16cid:durableId="473839926">
    <w:abstractNumId w:val="9"/>
  </w:num>
  <w:num w:numId="3" w16cid:durableId="131994198">
    <w:abstractNumId w:val="7"/>
  </w:num>
  <w:num w:numId="4" w16cid:durableId="792404314">
    <w:abstractNumId w:val="7"/>
  </w:num>
  <w:num w:numId="5" w16cid:durableId="1808468058">
    <w:abstractNumId w:val="6"/>
  </w:num>
  <w:num w:numId="6" w16cid:durableId="828669547">
    <w:abstractNumId w:val="6"/>
  </w:num>
  <w:num w:numId="7" w16cid:durableId="569004294">
    <w:abstractNumId w:val="5"/>
  </w:num>
  <w:num w:numId="8" w16cid:durableId="569775589">
    <w:abstractNumId w:val="5"/>
  </w:num>
  <w:num w:numId="9" w16cid:durableId="982661734">
    <w:abstractNumId w:val="4"/>
  </w:num>
  <w:num w:numId="10" w16cid:durableId="1393383739">
    <w:abstractNumId w:val="4"/>
  </w:num>
  <w:num w:numId="11" w16cid:durableId="563486568">
    <w:abstractNumId w:val="8"/>
  </w:num>
  <w:num w:numId="12" w16cid:durableId="2037777305">
    <w:abstractNumId w:val="8"/>
  </w:num>
  <w:num w:numId="13" w16cid:durableId="793712321">
    <w:abstractNumId w:val="3"/>
  </w:num>
  <w:num w:numId="14" w16cid:durableId="297105098">
    <w:abstractNumId w:val="3"/>
  </w:num>
  <w:num w:numId="15" w16cid:durableId="1136026946">
    <w:abstractNumId w:val="2"/>
  </w:num>
  <w:num w:numId="16" w16cid:durableId="772211951">
    <w:abstractNumId w:val="2"/>
  </w:num>
  <w:num w:numId="17" w16cid:durableId="119883017">
    <w:abstractNumId w:val="1"/>
  </w:num>
  <w:num w:numId="18" w16cid:durableId="966160234">
    <w:abstractNumId w:val="1"/>
  </w:num>
  <w:num w:numId="19" w16cid:durableId="58289257">
    <w:abstractNumId w:val="0"/>
  </w:num>
  <w:num w:numId="20" w16cid:durableId="1681423534">
    <w:abstractNumId w:val="0"/>
  </w:num>
  <w:num w:numId="21" w16cid:durableId="656347329">
    <w:abstractNumId w:val="9"/>
  </w:num>
  <w:num w:numId="22" w16cid:durableId="918565781">
    <w:abstractNumId w:val="7"/>
  </w:num>
  <w:num w:numId="23" w16cid:durableId="1432897966">
    <w:abstractNumId w:val="6"/>
  </w:num>
  <w:num w:numId="24" w16cid:durableId="961615624">
    <w:abstractNumId w:val="5"/>
  </w:num>
  <w:num w:numId="25" w16cid:durableId="1528300290">
    <w:abstractNumId w:val="4"/>
  </w:num>
  <w:num w:numId="26" w16cid:durableId="15544733">
    <w:abstractNumId w:val="8"/>
  </w:num>
  <w:num w:numId="27" w16cid:durableId="1752968114">
    <w:abstractNumId w:val="3"/>
  </w:num>
  <w:num w:numId="28" w16cid:durableId="147283211">
    <w:abstractNumId w:val="2"/>
  </w:num>
  <w:num w:numId="29" w16cid:durableId="873691320">
    <w:abstractNumId w:val="1"/>
  </w:num>
  <w:num w:numId="30" w16cid:durableId="244270880">
    <w:abstractNumId w:val="0"/>
  </w:num>
  <w:num w:numId="31" w16cid:durableId="462039593">
    <w:abstractNumId w:val="9"/>
  </w:num>
  <w:num w:numId="32" w16cid:durableId="94718748">
    <w:abstractNumId w:val="7"/>
  </w:num>
  <w:num w:numId="33" w16cid:durableId="1113670612">
    <w:abstractNumId w:val="6"/>
  </w:num>
  <w:num w:numId="34" w16cid:durableId="1877694583">
    <w:abstractNumId w:val="5"/>
  </w:num>
  <w:num w:numId="35" w16cid:durableId="1603604624">
    <w:abstractNumId w:val="4"/>
  </w:num>
  <w:num w:numId="36" w16cid:durableId="987628878">
    <w:abstractNumId w:val="8"/>
  </w:num>
  <w:num w:numId="37" w16cid:durableId="162858180">
    <w:abstractNumId w:val="3"/>
  </w:num>
  <w:num w:numId="38" w16cid:durableId="1024986613">
    <w:abstractNumId w:val="2"/>
  </w:num>
  <w:num w:numId="39" w16cid:durableId="2040427138">
    <w:abstractNumId w:val="1"/>
  </w:num>
  <w:num w:numId="40" w16cid:durableId="688992953">
    <w:abstractNumId w:val="0"/>
  </w:num>
  <w:num w:numId="41" w16cid:durableId="568618037">
    <w:abstractNumId w:val="10"/>
  </w:num>
  <w:num w:numId="42" w16cid:durableId="1767842145">
    <w:abstractNumId w:val="10"/>
  </w:num>
  <w:num w:numId="43" w16cid:durableId="1072318345">
    <w:abstractNumId w:val="10"/>
  </w:num>
  <w:num w:numId="44" w16cid:durableId="16960386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0/2026"/>
    <w:docVar w:name="dvlangue" w:val="RO"/>
    <w:docVar w:name="dvnumam" w:val="0"/>
    <w:docVar w:name="dvpe" w:val="782.416"/>
    <w:docVar w:name="dvrapporteur" w:val="Raportor: "/>
    <w:docVar w:name="dvtitre" w:val="Rezoluția legislativă a Parlamentului European din ... martie 2026 referitoare la propunerea de decizie a Parlamentului European și a Consiliului privind mobilizarea Fondului european de ajustare la globalizare pentru lucrătorii disponibilizați în urma unei cereri din partea Belgiei - EGF/2025/004 BE/Tupperware – Belgia(COM(2026)0001 – C10-0012/2026 – 2026/0004(BUD))"/>
  </w:docVars>
  <w:rsids>
    <w:rsidRoot w:val="00086732"/>
    <w:rsid w:val="00002272"/>
    <w:rsid w:val="000170E2"/>
    <w:rsid w:val="00064002"/>
    <w:rsid w:val="000677B9"/>
    <w:rsid w:val="000831BA"/>
    <w:rsid w:val="00086732"/>
    <w:rsid w:val="000A42CC"/>
    <w:rsid w:val="000B269F"/>
    <w:rsid w:val="000D7668"/>
    <w:rsid w:val="000E7DD9"/>
    <w:rsid w:val="0010095E"/>
    <w:rsid w:val="00125B37"/>
    <w:rsid w:val="00135E44"/>
    <w:rsid w:val="00187494"/>
    <w:rsid w:val="001F32AE"/>
    <w:rsid w:val="00256B0D"/>
    <w:rsid w:val="002767FF"/>
    <w:rsid w:val="002B18FE"/>
    <w:rsid w:val="002B5493"/>
    <w:rsid w:val="00343214"/>
    <w:rsid w:val="00346C52"/>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115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66BF"/>
    <w:rsid w:val="007E22AD"/>
    <w:rsid w:val="00817416"/>
    <w:rsid w:val="00842779"/>
    <w:rsid w:val="00865F67"/>
    <w:rsid w:val="00881A7B"/>
    <w:rsid w:val="008840E5"/>
    <w:rsid w:val="00887B3E"/>
    <w:rsid w:val="008C2AC6"/>
    <w:rsid w:val="008F0D26"/>
    <w:rsid w:val="00930C23"/>
    <w:rsid w:val="0093193B"/>
    <w:rsid w:val="00937E9D"/>
    <w:rsid w:val="009509D8"/>
    <w:rsid w:val="00950B64"/>
    <w:rsid w:val="00981893"/>
    <w:rsid w:val="00A1687D"/>
    <w:rsid w:val="00A43E52"/>
    <w:rsid w:val="00A4678D"/>
    <w:rsid w:val="00A778C7"/>
    <w:rsid w:val="00AA1EC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51A3"/>
    <w:rsid w:val="00D834A0"/>
    <w:rsid w:val="00D843FB"/>
    <w:rsid w:val="00D872DF"/>
    <w:rsid w:val="00D91E21"/>
    <w:rsid w:val="00DA7FCD"/>
    <w:rsid w:val="00E365E1"/>
    <w:rsid w:val="00E820A4"/>
    <w:rsid w:val="00E938B4"/>
    <w:rsid w:val="00EB006A"/>
    <w:rsid w:val="00EB4772"/>
    <w:rsid w:val="00ED169E"/>
    <w:rsid w:val="00ED4235"/>
    <w:rsid w:val="00F04346"/>
    <w:rsid w:val="00F075DC"/>
    <w:rsid w:val="00F149E9"/>
    <w:rsid w:val="00F5134D"/>
    <w:rsid w:val="00F74202"/>
    <w:rsid w:val="00F87713"/>
    <w:rsid w:val="00FB067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2E44E4"/>
  <w15:chartTrackingRefBased/>
  <w15:docId w15:val="{C4A32CF0-3775-41FF-B40F-ACABBCAE8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37E9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937E9D"/>
    <w:pPr>
      <w:keepNext/>
      <w:spacing w:after="480"/>
      <w:jc w:val="center"/>
    </w:pPr>
    <w:rPr>
      <w:rFonts w:ascii="Arial" w:hAnsi="Arial" w:cs="Arial"/>
      <w:b/>
    </w:rPr>
  </w:style>
  <w:style w:type="paragraph" w:customStyle="1" w:styleId="NormalHanging12a">
    <w:name w:val="NormalHanging12a"/>
    <w:basedOn w:val="Normal"/>
    <w:link w:val="NormalHanging12aChar"/>
    <w:rsid w:val="00937E9D"/>
    <w:pPr>
      <w:spacing w:after="240"/>
      <w:ind w:left="567" w:hanging="567"/>
    </w:pPr>
  </w:style>
  <w:style w:type="paragraph" w:styleId="Header">
    <w:name w:val="header"/>
    <w:basedOn w:val="Normal"/>
    <w:link w:val="HeaderChar"/>
    <w:rsid w:val="00937E9D"/>
    <w:pPr>
      <w:tabs>
        <w:tab w:val="center" w:pos="4513"/>
        <w:tab w:val="right" w:pos="9026"/>
      </w:tabs>
    </w:pPr>
  </w:style>
  <w:style w:type="character" w:customStyle="1" w:styleId="HeaderChar">
    <w:name w:val="Header Char"/>
    <w:basedOn w:val="DefaultParagraphFont"/>
    <w:link w:val="Header"/>
    <w:rsid w:val="00937E9D"/>
    <w:rPr>
      <w:sz w:val="24"/>
      <w:lang w:val="ro-RO"/>
    </w:rPr>
  </w:style>
  <w:style w:type="paragraph" w:customStyle="1" w:styleId="EPFooter">
    <w:name w:val="EPFooter"/>
    <w:basedOn w:val="Normal"/>
    <w:rsid w:val="00937E9D"/>
    <w:pPr>
      <w:tabs>
        <w:tab w:val="center" w:pos="4535"/>
        <w:tab w:val="right" w:pos="9071"/>
      </w:tabs>
      <w:spacing w:before="240" w:after="240"/>
    </w:pPr>
    <w:rPr>
      <w:color w:val="010000"/>
      <w:sz w:val="22"/>
    </w:rPr>
  </w:style>
  <w:style w:type="paragraph" w:customStyle="1" w:styleId="EPComma">
    <w:name w:val="EPComma"/>
    <w:basedOn w:val="Normal"/>
    <w:rsid w:val="00937E9D"/>
    <w:pPr>
      <w:spacing w:before="480" w:after="240"/>
    </w:pPr>
  </w:style>
  <w:style w:type="character" w:styleId="Hyperlink">
    <w:name w:val="Hyperlink"/>
    <w:basedOn w:val="DefaultParagraphFont"/>
    <w:uiPriority w:val="99"/>
    <w:rsid w:val="00937E9D"/>
    <w:rPr>
      <w:color w:val="0563C1" w:themeColor="hyperlink"/>
      <w:u w:val="single"/>
    </w:rPr>
  </w:style>
  <w:style w:type="paragraph" w:customStyle="1" w:styleId="Institutionquiagit">
    <w:name w:val="Institution qui agit"/>
    <w:basedOn w:val="Normal"/>
    <w:next w:val="Normal"/>
    <w:rsid w:val="00937E9D"/>
    <w:pPr>
      <w:keepNext/>
      <w:widowControl/>
      <w:spacing w:before="600" w:after="120"/>
      <w:jc w:val="both"/>
    </w:pPr>
    <w:rPr>
      <w:rFonts w:eastAsiaTheme="minorHAnsi"/>
      <w:szCs w:val="22"/>
      <w:lang w:eastAsia="en-US"/>
    </w:rPr>
  </w:style>
  <w:style w:type="character" w:customStyle="1" w:styleId="PageHeadingChar">
    <w:name w:val="PageHeading Char"/>
    <w:basedOn w:val="DefaultParagraphFont"/>
    <w:link w:val="PageHeading"/>
    <w:locked/>
    <w:rsid w:val="00937E9D"/>
    <w:rPr>
      <w:rFonts w:ascii="Arial" w:hAnsi="Arial" w:cs="Arial"/>
      <w:b/>
      <w:sz w:val="24"/>
      <w:lang w:val="ro-RO"/>
    </w:rPr>
  </w:style>
  <w:style w:type="character" w:customStyle="1" w:styleId="NormalHanging12aChar">
    <w:name w:val="NormalHanging12a Char"/>
    <w:basedOn w:val="DefaultParagraphFont"/>
    <w:link w:val="NormalHanging12a"/>
    <w:locked/>
    <w:rsid w:val="00937E9D"/>
    <w:rPr>
      <w:sz w:val="24"/>
      <w:lang w:val="ro-RO"/>
    </w:rPr>
  </w:style>
  <w:style w:type="paragraph" w:styleId="Revision">
    <w:name w:val="Revision"/>
    <w:hidden/>
    <w:uiPriority w:val="99"/>
    <w:semiHidden/>
    <w:rsid w:val="00E938B4"/>
    <w:rPr>
      <w:sz w:val="24"/>
      <w:lang w:val="ro-RO"/>
    </w:rPr>
  </w:style>
  <w:style w:type="character" w:styleId="CommentReference">
    <w:name w:val="annotation reference"/>
    <w:basedOn w:val="DefaultParagraphFont"/>
    <w:rsid w:val="007D66BF"/>
    <w:rPr>
      <w:sz w:val="16"/>
      <w:szCs w:val="16"/>
    </w:rPr>
  </w:style>
  <w:style w:type="paragraph" w:styleId="CommentText">
    <w:name w:val="annotation text"/>
    <w:basedOn w:val="Normal"/>
    <w:link w:val="CommentTextChar"/>
    <w:rsid w:val="007D66BF"/>
    <w:rPr>
      <w:sz w:val="20"/>
    </w:rPr>
  </w:style>
  <w:style w:type="character" w:customStyle="1" w:styleId="CommentTextChar">
    <w:name w:val="Comment Text Char"/>
    <w:basedOn w:val="DefaultParagraphFont"/>
    <w:link w:val="CommentText"/>
    <w:rsid w:val="007D66BF"/>
    <w:rPr>
      <w:lang w:val="ro-RO"/>
    </w:rPr>
  </w:style>
  <w:style w:type="paragraph" w:styleId="CommentSubject">
    <w:name w:val="annotation subject"/>
    <w:basedOn w:val="CommentText"/>
    <w:next w:val="CommentText"/>
    <w:link w:val="CommentSubjectChar"/>
    <w:rsid w:val="007D66BF"/>
    <w:rPr>
      <w:b/>
      <w:bCs/>
    </w:rPr>
  </w:style>
  <w:style w:type="character" w:customStyle="1" w:styleId="CommentSubjectChar">
    <w:name w:val="Comment Subject Char"/>
    <w:basedOn w:val="CommentTextChar"/>
    <w:link w:val="CommentSubject"/>
    <w:rsid w:val="007D66BF"/>
    <w:rPr>
      <w:b/>
      <w:bCs/>
      <w:lang w:val="ro-RO"/>
    </w:rPr>
  </w:style>
  <w:style w:type="paragraph" w:styleId="Footer">
    <w:name w:val="footer"/>
    <w:basedOn w:val="Normal"/>
    <w:link w:val="FooterChar"/>
    <w:rsid w:val="00135E44"/>
    <w:pPr>
      <w:tabs>
        <w:tab w:val="center" w:pos="4513"/>
        <w:tab w:val="right" w:pos="9026"/>
      </w:tabs>
    </w:pPr>
  </w:style>
  <w:style w:type="character" w:customStyle="1" w:styleId="FooterChar">
    <w:name w:val="Footer Char"/>
    <w:basedOn w:val="DefaultParagraphFont"/>
    <w:link w:val="Footer"/>
    <w:rsid w:val="00135E44"/>
    <w:rPr>
      <w:sz w:val="24"/>
      <w:lang w:val="ro-RO"/>
    </w:rPr>
  </w:style>
  <w:style w:type="character" w:customStyle="1" w:styleId="ATHeading3Char">
    <w:name w:val="AT Heading 3 Char"/>
    <w:link w:val="ATHeading3"/>
    <w:locked/>
    <w:rsid w:val="000D7668"/>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1600</Words>
  <Characters>9609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GHERMAN Laura-Mirona</cp:lastModifiedBy>
  <cp:revision>2</cp:revision>
  <cp:lastPrinted>2004-11-19T15:42:00Z</cp:lastPrinted>
  <dcterms:created xsi:type="dcterms:W3CDTF">2026-05-22T15:35:00Z</dcterms:created>
  <dcterms:modified xsi:type="dcterms:W3CDTF">2026-05-22T15:35:00Z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P10_TA(2026)0073_</vt:lpwstr>
  </property>
  <property fmtid="{D5CDD505-2E9C-101B-9397-08002B2CF9AE}" pid="4" name="&lt;Type&gt;">
    <vt:lpwstr>RR</vt:lpwstr>
  </property>
</Properties>
</file>