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016E" w14:paraId="5B44A98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5BA3C4" w14:textId="77777777" w:rsidR="00751A4A" w:rsidRPr="0044016E" w:rsidRDefault="00BA24B2" w:rsidP="0010095E">
            <w:pPr>
              <w:pStyle w:val="EPName"/>
            </w:pPr>
            <w:r w:rsidRPr="0044016E">
              <w:t>Európsky parlament</w:t>
            </w:r>
          </w:p>
          <w:p w14:paraId="3FA68D6A" w14:textId="77777777" w:rsidR="00751A4A" w:rsidRPr="0044016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016E">
              <w:t>2024</w:t>
            </w:r>
            <w:r w:rsidR="00817416" w:rsidRPr="0044016E">
              <w:t>-202</w:t>
            </w:r>
            <w:r w:rsidRPr="0044016E">
              <w:t>9</w:t>
            </w:r>
          </w:p>
        </w:tc>
        <w:tc>
          <w:tcPr>
            <w:tcW w:w="2268" w:type="dxa"/>
            <w:shd w:val="clear" w:color="auto" w:fill="auto"/>
          </w:tcPr>
          <w:p w14:paraId="738BF50B" w14:textId="77777777" w:rsidR="00751A4A" w:rsidRPr="0044016E" w:rsidRDefault="00187494" w:rsidP="0010095E">
            <w:pPr>
              <w:pStyle w:val="EPLogo"/>
            </w:pPr>
            <w:r w:rsidRPr="0044016E">
              <w:rPr>
                <w:noProof/>
                <w:lang w:eastAsia="ja-JP"/>
              </w:rPr>
              <w:drawing>
                <wp:inline distT="0" distB="0" distL="0" distR="0" wp14:anchorId="1F224472" wp14:editId="00A887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283D56" w14:textId="77777777" w:rsidR="00D058B8" w:rsidRPr="0044016E" w:rsidRDefault="00D058B8" w:rsidP="004C5D52">
      <w:pPr>
        <w:pStyle w:val="LineTop"/>
      </w:pPr>
    </w:p>
    <w:p w14:paraId="46C60D45" w14:textId="77777777" w:rsidR="00680577" w:rsidRPr="0044016E" w:rsidRDefault="00BA24B2" w:rsidP="00680577">
      <w:pPr>
        <w:pStyle w:val="EPBodyTA1"/>
      </w:pPr>
      <w:r w:rsidRPr="0044016E">
        <w:t>PRIJATÉ TEXTY</w:t>
      </w:r>
    </w:p>
    <w:p w14:paraId="36F7E1D0" w14:textId="77777777" w:rsidR="00D058B8" w:rsidRPr="0044016E" w:rsidRDefault="00D058B8" w:rsidP="00D058B8">
      <w:pPr>
        <w:pStyle w:val="LineBottom"/>
      </w:pPr>
    </w:p>
    <w:p w14:paraId="5E9EC8EB" w14:textId="6634B8DC" w:rsidR="00BA24B2" w:rsidRPr="0044016E" w:rsidRDefault="00BA24B2" w:rsidP="00BA24B2">
      <w:pPr>
        <w:pStyle w:val="ATHeading1"/>
      </w:pPr>
      <w:bookmarkStart w:id="0" w:name="TANumber"/>
      <w:r w:rsidRPr="0044016E">
        <w:t>P10_TA(2026)00</w:t>
      </w:r>
      <w:r w:rsidR="00B64679">
        <w:t>73</w:t>
      </w:r>
      <w:bookmarkEnd w:id="0"/>
    </w:p>
    <w:p w14:paraId="5DC8373B" w14:textId="61D39CFF" w:rsidR="00BA24B2" w:rsidRPr="0044016E" w:rsidRDefault="00BA24B2" w:rsidP="00BA24B2">
      <w:pPr>
        <w:pStyle w:val="ATHeading2"/>
      </w:pPr>
      <w:bookmarkStart w:id="1" w:name="title"/>
      <w:r w:rsidRPr="0044016E">
        <w:t>Mobilizácia Európskeho fondu na prispôsobenie sa globalizácii na pomoc pracovníkom, ktorí prišli o</w:t>
      </w:r>
      <w:r w:rsidR="006208D2" w:rsidRPr="0044016E">
        <w:t xml:space="preserve"> </w:t>
      </w:r>
      <w:r w:rsidRPr="0044016E">
        <w:t>zamestnanie: žiadosť EGF/2025/004 BE/</w:t>
      </w:r>
      <w:proofErr w:type="spellStart"/>
      <w:r w:rsidRPr="0044016E">
        <w:t>Tupperware</w:t>
      </w:r>
      <w:proofErr w:type="spellEnd"/>
      <w:r w:rsidRPr="0044016E">
        <w:t xml:space="preserve"> – Belgicko</w:t>
      </w:r>
      <w:bookmarkEnd w:id="1"/>
    </w:p>
    <w:p w14:paraId="64FBC140" w14:textId="77777777" w:rsidR="00BA24B2" w:rsidRPr="0044016E" w:rsidRDefault="00BA24B2" w:rsidP="00BA24B2">
      <w:pPr>
        <w:rPr>
          <w:i/>
          <w:vanish/>
        </w:rPr>
      </w:pPr>
      <w:r w:rsidRPr="0044016E">
        <w:rPr>
          <w:i/>
        </w:rPr>
        <w:fldChar w:fldCharType="begin"/>
      </w:r>
      <w:r w:rsidRPr="0044016E">
        <w:rPr>
          <w:i/>
        </w:rPr>
        <w:instrText xml:space="preserve"> TC"(</w:instrText>
      </w:r>
      <w:bookmarkStart w:id="2" w:name="DocNumber"/>
      <w:r w:rsidRPr="0044016E">
        <w:rPr>
          <w:i/>
        </w:rPr>
        <w:instrText>A10-0030/2026</w:instrText>
      </w:r>
      <w:bookmarkEnd w:id="2"/>
      <w:r w:rsidRPr="0044016E">
        <w:rPr>
          <w:i/>
        </w:rPr>
        <w:instrText xml:space="preserve"> - Spravodajca: Jean-Marc Germain)"\l3 \n&gt; \* MERGEFORMAT </w:instrText>
      </w:r>
      <w:r w:rsidRPr="0044016E">
        <w:rPr>
          <w:i/>
        </w:rPr>
        <w:fldChar w:fldCharType="end"/>
      </w:r>
    </w:p>
    <w:p w14:paraId="2931A6E4" w14:textId="77777777" w:rsidR="00BA24B2" w:rsidRPr="0044016E" w:rsidRDefault="00BA24B2" w:rsidP="00BA24B2">
      <w:pPr>
        <w:rPr>
          <w:vanish/>
        </w:rPr>
      </w:pPr>
      <w:bookmarkStart w:id="3" w:name="Commission"/>
      <w:r w:rsidRPr="0044016E">
        <w:rPr>
          <w:vanish/>
        </w:rPr>
        <w:t>Výbor pre rozpočet</w:t>
      </w:r>
      <w:bookmarkEnd w:id="3"/>
    </w:p>
    <w:p w14:paraId="70DC4F38" w14:textId="77777777" w:rsidR="00BA24B2" w:rsidRPr="0044016E" w:rsidRDefault="00BA24B2" w:rsidP="00BA24B2">
      <w:pPr>
        <w:rPr>
          <w:vanish/>
        </w:rPr>
      </w:pPr>
      <w:bookmarkStart w:id="4" w:name="PE"/>
      <w:r w:rsidRPr="0044016E">
        <w:rPr>
          <w:vanish/>
        </w:rPr>
        <w:t>PE782.416</w:t>
      </w:r>
      <w:bookmarkEnd w:id="4"/>
    </w:p>
    <w:p w14:paraId="4ED801BE" w14:textId="2D4979F3" w:rsidR="00BA24B2" w:rsidRPr="0044016E" w:rsidRDefault="00BA24B2" w:rsidP="00BA24B2">
      <w:pPr>
        <w:pStyle w:val="ATHeading3"/>
      </w:pPr>
      <w:bookmarkStart w:id="5" w:name="Sujet"/>
      <w:r w:rsidRPr="0044016E">
        <w:t xml:space="preserve">Uznesenie Európskeho parlamentu z </w:t>
      </w:r>
      <w:r w:rsidR="00E94724" w:rsidRPr="0044016E">
        <w:t>11</w:t>
      </w:r>
      <w:r w:rsidRPr="0044016E">
        <w:t xml:space="preserve">. </w:t>
      </w:r>
      <w:r w:rsidR="00E94724" w:rsidRPr="0044016E">
        <w:t>marca</w:t>
      </w:r>
      <w:r w:rsidRPr="0044016E">
        <w:t xml:space="preserve"> 2026 o návrhu rozhodnutia Európskeho parlamentu a Rady o mobilizácii Európskeho fondu na prispôsobenie sa globalizácii na pomoc pracovníkom, ktorí prišli o zamestnanie, na základe žiadosti Belgicka – EGF/2025/004 BE/</w:t>
      </w:r>
      <w:proofErr w:type="spellStart"/>
      <w:r w:rsidRPr="0044016E">
        <w:t>Tupperware</w:t>
      </w:r>
      <w:proofErr w:type="spellEnd"/>
      <w:r w:rsidRPr="0044016E">
        <w:t xml:space="preserve"> </w:t>
      </w:r>
      <w:bookmarkStart w:id="6" w:name="References"/>
      <w:bookmarkEnd w:id="5"/>
      <w:r w:rsidRPr="0044016E">
        <w:t>(COM(2026)0001 – C10-0012/2026 – 2026/0004(BUD))</w:t>
      </w:r>
      <w:bookmarkEnd w:id="6"/>
    </w:p>
    <w:p w14:paraId="23E712C8" w14:textId="77777777" w:rsidR="005C5EAA" w:rsidRPr="0044016E" w:rsidRDefault="005C5EAA" w:rsidP="005C5EAA">
      <w:pPr>
        <w:pStyle w:val="EPComma"/>
        <w:rPr>
          <w:noProof/>
        </w:rPr>
      </w:pPr>
      <w:r w:rsidRPr="0044016E">
        <w:rPr>
          <w:i/>
        </w:rPr>
        <w:t>Európsky parlament</w:t>
      </w:r>
      <w:r w:rsidRPr="0044016E">
        <w:t>,</w:t>
      </w:r>
    </w:p>
    <w:p w14:paraId="72C85513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–</w:t>
      </w:r>
      <w:r w:rsidRPr="0044016E">
        <w:tab/>
        <w:t>so zreteľom na návrh Komisie pre Európsky parlament a Radu (COM(2026)0001 – C10</w:t>
      </w:r>
      <w:r w:rsidRPr="0044016E">
        <w:noBreakHyphen/>
        <w:t>0012/2026),</w:t>
      </w:r>
    </w:p>
    <w:p w14:paraId="0A74B29E" w14:textId="77777777" w:rsidR="005C5EAA" w:rsidRPr="0044016E" w:rsidRDefault="005C5EAA" w:rsidP="005C5EAA">
      <w:pPr>
        <w:pStyle w:val="NormalHanging12a"/>
      </w:pPr>
      <w:r w:rsidRPr="0044016E">
        <w:t>–</w:t>
      </w:r>
      <w:r w:rsidRPr="0044016E">
        <w:tab/>
        <w:t>so zreteľom na nariadenie Európskeho parlamentu a Rady (EÚ) 2021/691 z 28. apríla 2021 o Európskom fonde na prispôsobenie sa globalizácii na pomoc pracovníkom, ktorí prišli o zamestnanie (EGF), ktorým sa zrušuje nariadenie (EÚ) č. 1309/2013</w:t>
      </w:r>
      <w:r w:rsidRPr="0044016E">
        <w:rPr>
          <w:vertAlign w:val="superscript"/>
        </w:rPr>
        <w:footnoteReference w:id="1"/>
      </w:r>
      <w:r w:rsidRPr="0044016E">
        <w:t xml:space="preserve"> (ďalej len „nariadenie o EGF“), </w:t>
      </w:r>
    </w:p>
    <w:p w14:paraId="39F4FC7D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–</w:t>
      </w:r>
      <w:r w:rsidRPr="0044016E">
        <w:tab/>
        <w:t xml:space="preserve">so zreteľom na nariadenie Rady (EÚ, </w:t>
      </w:r>
      <w:proofErr w:type="spellStart"/>
      <w:r w:rsidRPr="0044016E">
        <w:t>Euratom</w:t>
      </w:r>
      <w:proofErr w:type="spellEnd"/>
      <w:r w:rsidRPr="0044016E">
        <w:t>) 2020/2093 zo 17. decembra 2020, ktorým sa stanovuje viacročný finančný rámec na roky 2021 až 2027</w:t>
      </w:r>
      <w:r w:rsidRPr="0044016E">
        <w:rPr>
          <w:noProof/>
          <w:vertAlign w:val="superscript"/>
        </w:rPr>
        <w:footnoteReference w:id="2"/>
      </w:r>
      <w:r w:rsidRPr="0044016E">
        <w:t xml:space="preserve">, zmenené nariadením (EÚ, </w:t>
      </w:r>
      <w:proofErr w:type="spellStart"/>
      <w:r w:rsidRPr="0044016E">
        <w:t>Euratom</w:t>
      </w:r>
      <w:proofErr w:type="spellEnd"/>
      <w:r w:rsidRPr="0044016E">
        <w:t>) 2024/765</w:t>
      </w:r>
      <w:r w:rsidRPr="0044016E">
        <w:rPr>
          <w:noProof/>
          <w:vertAlign w:val="superscript"/>
        </w:rPr>
        <w:footnoteReference w:id="3"/>
      </w:r>
      <w:r w:rsidRPr="0044016E">
        <w:t xml:space="preserve"> (ďalej len „nariadenie o VFR“), a najmä na jeho článok 8, </w:t>
      </w:r>
    </w:p>
    <w:p w14:paraId="06871DE2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–</w:t>
      </w:r>
      <w:r w:rsidRPr="0044016E">
        <w:tab/>
        <w:t xml:space="preserve">so zreteľom na </w:t>
      </w:r>
      <w:proofErr w:type="spellStart"/>
      <w:r w:rsidRPr="0044016E">
        <w:t>Medziinštitucionálnu</w:t>
      </w:r>
      <w:proofErr w:type="spellEnd"/>
      <w:r w:rsidRPr="0044016E">
        <w:t xml:space="preserve"> dohodu zo 16. decembra 2020 medzi Európskym parlamentom, Radou Európskej únie a Európskou komisiou o rozpočtovej disciplíne, spolupráci v rozpočtových záležitostiach a správnom finančnom riadení, ako aj o nových vlastných zdrojoch vrátane plánu na zavedenie nových vlastných zdrojov</w:t>
      </w:r>
      <w:r w:rsidRPr="0044016E">
        <w:rPr>
          <w:rStyle w:val="FootnoteReference"/>
          <w:noProof/>
        </w:rPr>
        <w:footnoteReference w:id="4"/>
      </w:r>
      <w:r w:rsidRPr="0044016E">
        <w:t xml:space="preserve">, a </w:t>
      </w:r>
      <w:r w:rsidRPr="0044016E">
        <w:lastRenderedPageBreak/>
        <w:t>najmä na jej bod 9,</w:t>
      </w:r>
    </w:p>
    <w:p w14:paraId="08920BBF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–</w:t>
      </w:r>
      <w:r w:rsidRPr="0044016E">
        <w:tab/>
        <w:t>so zreteľom na Európsky pilier sociálnych práv,</w:t>
      </w:r>
    </w:p>
    <w:p w14:paraId="65D94B0B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–</w:t>
      </w:r>
      <w:r w:rsidRPr="0044016E">
        <w:tab/>
        <w:t>so zreteľom na stanovisko Výboru pre zamestnanosť a sociálne veci,</w:t>
      </w:r>
    </w:p>
    <w:p w14:paraId="5C20C8B9" w14:textId="77777777" w:rsidR="005C5EAA" w:rsidRPr="0044016E" w:rsidRDefault="005C5EAA" w:rsidP="005C5EAA">
      <w:pPr>
        <w:pStyle w:val="NormalHanging12a"/>
      </w:pPr>
      <w:r w:rsidRPr="0044016E">
        <w:t>–</w:t>
      </w:r>
      <w:r w:rsidRPr="0044016E">
        <w:tab/>
        <w:t>so zreteľom na správu Výboru pre rozpočet (A10-0030/2026),</w:t>
      </w:r>
    </w:p>
    <w:p w14:paraId="70C15857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A.</w:t>
      </w:r>
      <w:r w:rsidRPr="0044016E">
        <w:tab/>
        <w:t>keďže Únia vytvorila legislatívne a rozpočtové nástroje s cieľom poskytovať dodatočnú podporu pracovníkom postihnutým dôsledkami veľkých štrukturálnych udalostí a zmien v usporiadaní svetového obchodu a pomáhať im pri opätovnom začleňovaní do trhu práce; keďže táto pomoc sa uskutočňuje formou finančnej podpory poskytovanej pracovníkom;</w:t>
      </w:r>
    </w:p>
    <w:p w14:paraId="4466FA77" w14:textId="794DB695" w:rsidR="005C5EAA" w:rsidRPr="0044016E" w:rsidRDefault="005C5EAA" w:rsidP="005C5EAA">
      <w:pPr>
        <w:pStyle w:val="NormalHanging12a"/>
        <w:rPr>
          <w:noProof/>
        </w:rPr>
      </w:pPr>
      <w:r w:rsidRPr="0044016E">
        <w:t>B.</w:t>
      </w:r>
      <w:r w:rsidRPr="0044016E">
        <w:tab/>
        <w:t>keďže Belgicko predložilo žiadosť EGF/2025/004 BE/</w:t>
      </w:r>
      <w:proofErr w:type="spellStart"/>
      <w:r w:rsidRPr="0044016E">
        <w:t>Tupperware</w:t>
      </w:r>
      <w:proofErr w:type="spellEnd"/>
      <w:r w:rsidRPr="0044016E">
        <w:t xml:space="preserve"> o finančný príspevok z </w:t>
      </w:r>
      <w:r w:rsidR="00E94724" w:rsidRPr="0044016E">
        <w:t>Európskeho fondu na prispôsobenie sa globalizácii (ďalej len „</w:t>
      </w:r>
      <w:r w:rsidRPr="0044016E">
        <w:t>EGF</w:t>
      </w:r>
      <w:r w:rsidR="00E94724" w:rsidRPr="0044016E">
        <w:t>“)</w:t>
      </w:r>
      <w:r w:rsidRPr="0044016E">
        <w:t xml:space="preserve"> po prepustení 267 pracovníkov</w:t>
      </w:r>
      <w:r w:rsidRPr="0044016E">
        <w:rPr>
          <w:noProof/>
          <w:vertAlign w:val="superscript"/>
        </w:rPr>
        <w:footnoteReference w:id="5"/>
      </w:r>
      <w:r w:rsidRPr="0044016E">
        <w:t xml:space="preserve"> spoločnosti </w:t>
      </w:r>
      <w:proofErr w:type="spellStart"/>
      <w:r w:rsidRPr="0044016E">
        <w:t>Tupperware</w:t>
      </w:r>
      <w:proofErr w:type="spellEnd"/>
      <w:r w:rsidRPr="0044016E">
        <w:t xml:space="preserve"> General Services NV (</w:t>
      </w:r>
      <w:r w:rsidR="00E94724" w:rsidRPr="0044016E">
        <w:t>ďalej len „</w:t>
      </w:r>
      <w:proofErr w:type="spellStart"/>
      <w:r w:rsidRPr="0044016E">
        <w:t>Tupperware</w:t>
      </w:r>
      <w:proofErr w:type="spellEnd"/>
      <w:r w:rsidR="00E94724" w:rsidRPr="0044016E">
        <w:t>“</w:t>
      </w:r>
      <w:r w:rsidRPr="0044016E">
        <w:t xml:space="preserve">) v odvetví ekonomickej činnosti v rámci divízie 22 NACE </w:t>
      </w:r>
      <w:proofErr w:type="spellStart"/>
      <w:r w:rsidRPr="0044016E">
        <w:t>Revision</w:t>
      </w:r>
      <w:proofErr w:type="spellEnd"/>
      <w:r w:rsidRPr="0044016E">
        <w:t xml:space="preserve"> 2 (výroba výrobkov z gumy a plastu) v provincii Východné Flámsko (BE23) v referenčnom období od 17. februára 2025 do 17. júna 2025; </w:t>
      </w:r>
    </w:p>
    <w:p w14:paraId="3DA3809F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C.</w:t>
      </w:r>
      <w:r w:rsidRPr="0044016E">
        <w:tab/>
        <w:t xml:space="preserve">keďže žiadosť vychádza z intervenčných kritérií uvedených v článku 4 ods. 2 písm. a) nariadenia o EGF, podľa ktorého je potrebné ukončenie činnosti najmenej 200 pracovníkov, ktorí prišli o zamestnanie, alebo samostatne zárobkovo činných osôb v referenčnom období štyroch mesiacov v podniku v členskom štáte; </w:t>
      </w:r>
    </w:p>
    <w:p w14:paraId="448A21FD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D.</w:t>
      </w:r>
      <w:r w:rsidRPr="0044016E">
        <w:tab/>
        <w:t xml:space="preserve">keďže spoločnosť </w:t>
      </w:r>
      <w:proofErr w:type="spellStart"/>
      <w:r w:rsidRPr="0044016E">
        <w:t>Tupperware</w:t>
      </w:r>
      <w:proofErr w:type="spellEnd"/>
      <w:r w:rsidRPr="0044016E">
        <w:t xml:space="preserve"> podala 17. februára 2025 návrh na vyhlásenie konkurzu; keďže v Belgicku od roku 2022 narastá počet konkurzov podnikov;</w:t>
      </w:r>
    </w:p>
    <w:p w14:paraId="0246B2AB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E.</w:t>
      </w:r>
      <w:r w:rsidRPr="0044016E">
        <w:tab/>
        <w:t>keďže Belgicko uviedlo, že flámske služby zamestnanosti (ďalej len „VDAB“) poskytujú vnútroštátne predbežné financovanie a spolufinancovanie opatrení;</w:t>
      </w:r>
    </w:p>
    <w:p w14:paraId="6D40EFBC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F.</w:t>
      </w:r>
      <w:r w:rsidRPr="0044016E">
        <w:tab/>
        <w:t>keďže boli splnené požiadavky stanovené v právnych predpisoch Únie a vo vnútroštátnych právnych predpisoch, ktoré sa týkajú hromadného prepúšťania;</w:t>
      </w:r>
    </w:p>
    <w:p w14:paraId="6F39E02E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G.</w:t>
      </w:r>
      <w:r w:rsidRPr="0044016E">
        <w:tab/>
        <w:t xml:space="preserve">keďže finančné príspevky z EGF by mali byť zacielené predovšetkým na aktívne opatrenia politiky trhu práce a </w:t>
      </w:r>
      <w:proofErr w:type="spellStart"/>
      <w:r w:rsidRPr="0044016E">
        <w:t>personalizované</w:t>
      </w:r>
      <w:proofErr w:type="spellEnd"/>
      <w:r w:rsidRPr="0044016E">
        <w:t xml:space="preserve"> služby zamerané na rýchle opätovné začlenenie prijímateľov do dôstojného a udržateľného zamestnania a zároveň na ich prípravu na ekologickejšie a digitálnejšie európske hospodárstvo;</w:t>
      </w:r>
    </w:p>
    <w:p w14:paraId="1A5A303C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H.</w:t>
      </w:r>
      <w:r w:rsidRPr="0044016E">
        <w:tab/>
        <w:t>keďže EGF nesmie prekročiť maximálnu ročnú sumu 30 miliónov EUR (v cenách roku 2018)</w:t>
      </w:r>
      <w:r w:rsidRPr="0044016E">
        <w:rPr>
          <w:noProof/>
          <w:vertAlign w:val="superscript"/>
        </w:rPr>
        <w:footnoteReference w:id="6"/>
      </w:r>
      <w:r w:rsidRPr="0044016E">
        <w:t xml:space="preserve">; </w:t>
      </w:r>
    </w:p>
    <w:p w14:paraId="10F93A74" w14:textId="213286C7" w:rsidR="005C5EAA" w:rsidRPr="0044016E" w:rsidRDefault="005C5EAA" w:rsidP="005C5EAA">
      <w:pPr>
        <w:pStyle w:val="NormalHanging12a"/>
        <w:rPr>
          <w:noProof/>
        </w:rPr>
      </w:pPr>
      <w:r w:rsidRPr="0044016E">
        <w:t>1.</w:t>
      </w:r>
      <w:r w:rsidRPr="0044016E">
        <w:tab/>
        <w:t>súhlasí s Komisiou, že podmienky stanovené v nariadení o EGF, a najmä v jeho článku 4 ods. 2 písm. a), sú splnené a že Belgicko má podľa uvedeného nariadenia nárok na finančný príspevok vo výške 1 622 650 EUR, čo predstavuje 85 % celkových nákladov vo výške 1</w:t>
      </w:r>
      <w:r w:rsidR="00E94724" w:rsidRPr="0044016E">
        <w:t> </w:t>
      </w:r>
      <w:r w:rsidRPr="0044016E">
        <w:t>909</w:t>
      </w:r>
      <w:r w:rsidR="00E94724" w:rsidRPr="0044016E">
        <w:t> </w:t>
      </w:r>
      <w:r w:rsidRPr="0044016E">
        <w:t>000</w:t>
      </w:r>
      <w:r w:rsidR="00E94724" w:rsidRPr="0044016E">
        <w:t> </w:t>
      </w:r>
      <w:r w:rsidRPr="0044016E">
        <w:t xml:space="preserve">EUR zahŕňajúcich výdavky na </w:t>
      </w:r>
      <w:proofErr w:type="spellStart"/>
      <w:r w:rsidRPr="0044016E">
        <w:t>personalizované</w:t>
      </w:r>
      <w:proofErr w:type="spellEnd"/>
      <w:r w:rsidRPr="0044016E">
        <w:t xml:space="preserve"> služby vo výške 1</w:t>
      </w:r>
      <w:r w:rsidR="00E94724" w:rsidRPr="0044016E">
        <w:t> </w:t>
      </w:r>
      <w:r w:rsidRPr="0044016E">
        <w:t>843</w:t>
      </w:r>
      <w:r w:rsidR="00E94724" w:rsidRPr="0044016E">
        <w:t> </w:t>
      </w:r>
      <w:r w:rsidRPr="0044016E">
        <w:t>500</w:t>
      </w:r>
      <w:r w:rsidR="00E94724" w:rsidRPr="0044016E">
        <w:t> </w:t>
      </w:r>
      <w:r w:rsidRPr="0044016E">
        <w:t>EUR a výdavky na činnosti prípravy, riadenia, informovania a propagácie, kontroly a podávania správ vo výške 65</w:t>
      </w:r>
      <w:r w:rsidR="00E94724" w:rsidRPr="0044016E">
        <w:t> </w:t>
      </w:r>
      <w:r w:rsidRPr="0044016E">
        <w:t>500</w:t>
      </w:r>
      <w:r w:rsidR="00E94724" w:rsidRPr="0044016E">
        <w:t> </w:t>
      </w:r>
      <w:r w:rsidRPr="0044016E">
        <w:t>EUR;</w:t>
      </w:r>
    </w:p>
    <w:p w14:paraId="444420A6" w14:textId="2A693E69" w:rsidR="005C5EAA" w:rsidRPr="0044016E" w:rsidRDefault="005C5EAA" w:rsidP="005C5EAA">
      <w:pPr>
        <w:pStyle w:val="NormalHanging12a"/>
        <w:rPr>
          <w:noProof/>
        </w:rPr>
      </w:pPr>
      <w:r w:rsidRPr="0044016E">
        <w:lastRenderedPageBreak/>
        <w:t>2.</w:t>
      </w:r>
      <w:r w:rsidRPr="0044016E">
        <w:tab/>
        <w:t xml:space="preserve">poznamenáva, že belgické orgány podali žiadosť 28. augusta 2025 a že na základe dodatočných informácií, ktoré Belgicko poskytlo, Komisia 20. januára 2026, teda takmer po piatich mesiacoch, dokončila svoje posúdenie a v ten istý deň o ňom informovala </w:t>
      </w:r>
      <w:r w:rsidR="00E94724" w:rsidRPr="0044016E">
        <w:t>Európsky p</w:t>
      </w:r>
      <w:r w:rsidRPr="0044016E">
        <w:t>arlament; zdôrazňuje, že je dôležité skrátiť čas medzi predložením žiadosti o pomoc z EGF a rozhodnutím o financovaní a zároveň v plnej miere chrániť práva Európskeho parlamentu ako jednej zo zložiek rozpočtového orgánu;</w:t>
      </w:r>
    </w:p>
    <w:p w14:paraId="04A5561A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3.</w:t>
      </w:r>
      <w:r w:rsidRPr="0044016E">
        <w:tab/>
        <w:t xml:space="preserve">konštatuje, že žiadosť sa týka 267 dotknutých prijímateľov, ktorí prišli o prácu v spoločnosti </w:t>
      </w:r>
      <w:proofErr w:type="spellStart"/>
      <w:r w:rsidRPr="0044016E">
        <w:t>Tupperware</w:t>
      </w:r>
      <w:proofErr w:type="spellEnd"/>
      <w:r w:rsidRPr="0044016E">
        <w:t>;</w:t>
      </w:r>
    </w:p>
    <w:p w14:paraId="55E4D619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4.</w:t>
      </w:r>
      <w:r w:rsidRPr="0044016E">
        <w:tab/>
        <w:t xml:space="preserve">konštatuje, že spoločnosť </w:t>
      </w:r>
      <w:proofErr w:type="spellStart"/>
      <w:r w:rsidRPr="0044016E">
        <w:t>Tupperware</w:t>
      </w:r>
      <w:proofErr w:type="spellEnd"/>
      <w:r w:rsidRPr="0044016E">
        <w:t xml:space="preserve"> sa nachádzala v meste </w:t>
      </w:r>
      <w:proofErr w:type="spellStart"/>
      <w:r w:rsidRPr="0044016E">
        <w:t>Aalst</w:t>
      </w:r>
      <w:proofErr w:type="spellEnd"/>
      <w:r w:rsidRPr="0044016E">
        <w:t xml:space="preserve"> v provincii Východné Flámsko, kde už pred vyhlásením konkurzu spoločnosťou </w:t>
      </w:r>
      <w:proofErr w:type="spellStart"/>
      <w:r w:rsidRPr="0044016E">
        <w:t>Tupperware</w:t>
      </w:r>
      <w:proofErr w:type="spellEnd"/>
      <w:r w:rsidRPr="0044016E">
        <w:t xml:space="preserve"> mal zamestnanie len jeden človek z dvoch v porovnaní s priemerom v regióne Flámsko, kde sú zamestnaní dvaja ľudia z troch; vyjadruje poľutovanie nad tým, že toto prepúšťanie situáciu ešte ďalej zhorší; zdôrazňuje, že je potrebné urýchlene konať, aby sa zabránilo štrukturálnemu regionálnemu úpadku;</w:t>
      </w:r>
    </w:p>
    <w:p w14:paraId="46F64ED4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5.</w:t>
      </w:r>
      <w:r w:rsidRPr="0044016E">
        <w:tab/>
        <w:t xml:space="preserve">vyjadruje poľutovanie nad tým, že americkú materskú spoločnosť </w:t>
      </w:r>
      <w:proofErr w:type="spellStart"/>
      <w:r w:rsidRPr="0044016E">
        <w:t>Tupperware</w:t>
      </w:r>
      <w:proofErr w:type="spellEnd"/>
      <w:r w:rsidRPr="0044016E">
        <w:t xml:space="preserve"> </w:t>
      </w:r>
      <w:proofErr w:type="spellStart"/>
      <w:r w:rsidRPr="0044016E">
        <w:t>Brands</w:t>
      </w:r>
      <w:proofErr w:type="spellEnd"/>
      <w:r w:rsidRPr="0044016E">
        <w:t xml:space="preserve"> prevzali v októbri 2024 veritelia a že táto spoločnosť v dôsledku významnej reštrukturalizácie zrušila výrobu a licencie udelené spoločnosti </w:t>
      </w:r>
      <w:proofErr w:type="spellStart"/>
      <w:r w:rsidRPr="0044016E">
        <w:t>Tupperware</w:t>
      </w:r>
      <w:proofErr w:type="spellEnd"/>
      <w:r w:rsidRPr="0044016E">
        <w:t xml:space="preserve"> General Services NV, čím belgická dcérska spoločnosť prestala byť finančne životaschopnou a 17. februára 2025 vyhlásila konkurz; </w:t>
      </w:r>
    </w:p>
    <w:p w14:paraId="723AFB5F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6.</w:t>
      </w:r>
      <w:r w:rsidRPr="0044016E">
        <w:tab/>
        <w:t>víta iniciatívu skupiny európskych podnikateľov zameranú na oživenie značky v Nemecku, Francúzsku, Belgicku, Taliansku a Poľsku;</w:t>
      </w:r>
    </w:p>
    <w:p w14:paraId="5BCA5BFA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7.</w:t>
      </w:r>
      <w:r w:rsidRPr="0044016E">
        <w:tab/>
        <w:t>zdôrazňuje, že vo Flámsku je riziko nezamestnanosti v prípade osôb s nízkou úrovňou vzdelania viac ako dvojnásobné; konštatuje, že tretina prepustených pracovníkov má len nižšie sekundárne vzdelanie; vyzýva belgické orgány, aby poskytli osobitnú podporu prispôsobenú týmto profilom s cieľom pomôcť pracovníkom prekonať ich nedostatky a nájsť si nové pracovné miesta a zároveň aby prijali opatrenia na zníženie počtu konkurzov a riešenie sociálnych rozdielov, ktoré vedú k vylúčeniu pracovnej sily;</w:t>
      </w:r>
    </w:p>
    <w:p w14:paraId="7D377862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8.</w:t>
      </w:r>
      <w:r w:rsidRPr="0044016E">
        <w:tab/>
        <w:t xml:space="preserve">pripomína, že po dohode s odborovými zväzmi, odborníkmi a sociálnymi partnermi pozostávajú </w:t>
      </w:r>
      <w:proofErr w:type="spellStart"/>
      <w:r w:rsidRPr="0044016E">
        <w:t>personalizované</w:t>
      </w:r>
      <w:proofErr w:type="spellEnd"/>
      <w:r w:rsidRPr="0044016E">
        <w:t xml:space="preserve"> služby, ktoré sa majú poskytovať pracovníkom, z týchto opatrení: informačných stretnutí zameraných na opätovné začlenenie do zamestnania, služieb poradenstva pri hľadaní nového zamestnania vrátane odbornej prípravy v oblasti IKT; pomoci pri hľadaní zamestnania prostredníctvom poradenstva a pomoci pri hľadaní práce, odbornej prípravy a rekvalifikácie, veľtrhu práce, vyhľadávania potenciálne voľných pracovných miest a párovania pracovných ponúk s uchádzačmi; zdôrazňuje význam podpory vysokokvalitných pracovných miest orientovaných na budúcnosť s cieľom zabezpečiť dlhodobú hospodársku a sociálnu odolnosť; vyzýva belgické orgány, aby nadviazali dialóg s novými európskymi zástupcami spoločnosti </w:t>
      </w:r>
      <w:proofErr w:type="spellStart"/>
      <w:r w:rsidRPr="0044016E">
        <w:t>Tupperware</w:t>
      </w:r>
      <w:proofErr w:type="spellEnd"/>
      <w:r w:rsidRPr="0044016E">
        <w:t xml:space="preserve"> s cieľom preskúmať možnosti opätovného začlenenia prepustených pracovníkov do ich hospodárskych činností;</w:t>
      </w:r>
    </w:p>
    <w:p w14:paraId="54123D63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9.</w:t>
      </w:r>
      <w:r w:rsidRPr="0044016E">
        <w:tab/>
        <w:t xml:space="preserve">zdôrazňuje, že kvalifikácia a zručnosti prepustených pracovníkov sú aj naďalej kľúčové pre budovanie európskeho hospodárstva, ktoré bude odolné voči budúcim zmenám; domnieva sa preto, že mobilizácia EGF musí byť súčasťou širšej politickej reakcie na všetkých politických úrovniach, aby sa zabezpečilo, že dotknutí pracovníci nájdu primerané príležitosti zodpovedajúce ich kvalifikácii a zručnostiam; ďalej pripomína, že EGF je nástrojom solidarity a spravodlivej transformácie a že hlavnou úlohou Únie </w:t>
      </w:r>
      <w:r w:rsidRPr="0044016E">
        <w:lastRenderedPageBreak/>
        <w:t>musí byť predovšetkým zabrániť takémuto zatváraniu podnikov; domnieva sa, že hoci EGF poskytuje potrebnú podporu dotknutým pracovníkom, na ochranu európskej priemyselnej zamestnaneckej základne sú nevyhnutné výraznejšia priemyselná politika, silnejšie, udržateľnejšie a odolnejšie hospodárstvo a zníženie strategických závislostí;</w:t>
      </w:r>
    </w:p>
    <w:p w14:paraId="5AC9ED7C" w14:textId="77777777" w:rsidR="005C5EAA" w:rsidRPr="0044016E" w:rsidRDefault="005C5EAA" w:rsidP="005C5EAA">
      <w:pPr>
        <w:pStyle w:val="NormalHanging12a"/>
        <w:rPr>
          <w:bCs/>
          <w:iCs/>
          <w:noProof/>
        </w:rPr>
      </w:pPr>
      <w:r w:rsidRPr="0044016E">
        <w:t>10.</w:t>
      </w:r>
      <w:r w:rsidRPr="0044016E">
        <w:tab/>
        <w:t>zdôrazňuje, že belgické orgány musia zabezpečiť viditeľnosť financovania z prostriedkov Únie a zdôrazniť ich pridanú hodnotu tým, že poskytnú účinné a cielené informácie prijímateľom, regionálnym a miestnym orgánom, sociálnym partnerom a širšej verejnosti;</w:t>
      </w:r>
    </w:p>
    <w:p w14:paraId="0FA884D1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11.</w:t>
      </w:r>
      <w:r w:rsidRPr="0044016E">
        <w:tab/>
        <w:t>požaduje dôkladné záverečné hodnotenie vykonaných opatrení vrátane jasných informácií o tom, ako sa finančné prostriedky použili a či boli vynaložené v súlade so schválenými plánmi; zdôrazňuje, že takéto hodnotenia by mali byť založené na jasne vymedzených cieľoch a merateľných výsledkoch, čo umožní posúdenie výsledkov dosiahnutých v prípade dotknutých pracovníkov; zdôrazňuje, že je dôležité zabezpečiť rýchlejšie a účinnejšie intervencie, a v tejto súvislosti pripomína potrebu preskúmať spôsoby, ako zabezpečiť udržateľnosť EGF alebo jeho nástupníckeho programu v rámci budúceho viacročného finančného rámca na roky 2028 – 2034;</w:t>
      </w:r>
    </w:p>
    <w:p w14:paraId="4EFC0670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12.</w:t>
      </w:r>
      <w:r w:rsidRPr="0044016E">
        <w:tab/>
        <w:t xml:space="preserve">poznamenáva, že Belgicko začalo poskytovať </w:t>
      </w:r>
      <w:proofErr w:type="spellStart"/>
      <w:r w:rsidRPr="0044016E">
        <w:t>personalizované</w:t>
      </w:r>
      <w:proofErr w:type="spellEnd"/>
      <w:r w:rsidRPr="0044016E">
        <w:t xml:space="preserve"> služby dotknutým prijímateľom 17. februára 2025 a že obdobie oprávnenosti na finančný príspevok z EGF preto potrvá od uvedeného dátumu až do 24 mesiacov odo dňa nadobudnutia účinnosti rozhodnutia o financovaní;</w:t>
      </w:r>
    </w:p>
    <w:p w14:paraId="358FDF97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13.</w:t>
      </w:r>
      <w:r w:rsidRPr="0044016E">
        <w:tab/>
        <w:t>poznamenáva, že Belgicku začali vznikať administratívne výdavky na využívanie EGF 17. februára 2025 a že tieto výdavky sú preto oprávnené na finančný príspevok z EGF od uvedeného dátumu až do 31 mesiacov odo dňa nadobudnutia účinnosti rozhodnutia o financovaní;</w:t>
      </w:r>
    </w:p>
    <w:p w14:paraId="6B8162B8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14.</w:t>
      </w:r>
      <w:r w:rsidRPr="0044016E">
        <w:tab/>
        <w:t>konštatuje, že belgické orgány poskytli uistenie, že pri prístupe k navrhovaným opatreniam a pri ich vykonávaní sa budú dodržiavať zásady rovnakého zaobchádzania a nediskriminácie a že sa zabráni akémukoľvek dvojitému financovaniu;</w:t>
      </w:r>
    </w:p>
    <w:p w14:paraId="5DB515E4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15.</w:t>
      </w:r>
      <w:r w:rsidRPr="0044016E">
        <w:tab/>
        <w:t>opakuje, že pomoc z EGF nesmie nahrádzať opatrenia, za ktoré na základe vnútroštátnych právnych predpisov alebo kolektívnych zmlúv zodpovedajú podniky;</w:t>
      </w:r>
    </w:p>
    <w:p w14:paraId="0715BF26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16.</w:t>
      </w:r>
      <w:r w:rsidRPr="0044016E">
        <w:tab/>
        <w:t>schvaľuje rozhodnutie, ktoré je uvedené v prílohe k tomuto uzneseniu;</w:t>
      </w:r>
    </w:p>
    <w:p w14:paraId="6852B6D2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17.</w:t>
      </w:r>
      <w:r w:rsidRPr="0044016E">
        <w:tab/>
        <w:t xml:space="preserve">poveruje svoju predsedníčku, aby podpísala toto rozhodnutie spoločne s predsedom Rady a aby zabezpečila jeho uverejnenie v </w:t>
      </w:r>
      <w:r w:rsidRPr="0044016E">
        <w:rPr>
          <w:i/>
          <w:iCs/>
        </w:rPr>
        <w:t>Úradnom vestníku Európskej únie</w:t>
      </w:r>
      <w:r w:rsidRPr="0044016E">
        <w:t>;</w:t>
      </w:r>
    </w:p>
    <w:p w14:paraId="483C81F6" w14:textId="77777777" w:rsidR="005C5EAA" w:rsidRPr="0044016E" w:rsidRDefault="005C5EAA" w:rsidP="005C5EAA">
      <w:pPr>
        <w:pStyle w:val="NormalHanging12a"/>
        <w:rPr>
          <w:noProof/>
        </w:rPr>
      </w:pPr>
      <w:r w:rsidRPr="0044016E">
        <w:t>18.</w:t>
      </w:r>
      <w:r w:rsidRPr="0044016E">
        <w:tab/>
        <w:t>poveruje svoju predsedníčku, aby postúpila toto uznesenie spolu s prílohou Rade a Komisii.</w:t>
      </w:r>
    </w:p>
    <w:p w14:paraId="545294E1" w14:textId="77777777" w:rsidR="005C5EAA" w:rsidRPr="0044016E" w:rsidRDefault="005C5EAA" w:rsidP="005C5EAA">
      <w:pPr>
        <w:pStyle w:val="NormalHanging12a"/>
        <w:rPr>
          <w:noProof/>
        </w:rPr>
      </w:pPr>
    </w:p>
    <w:p w14:paraId="7F2665C2" w14:textId="77777777" w:rsidR="005C5EAA" w:rsidRPr="0044016E" w:rsidRDefault="005C5EAA" w:rsidP="005C5EAA">
      <w:pPr>
        <w:rPr>
          <w:noProof/>
        </w:rPr>
      </w:pPr>
    </w:p>
    <w:p w14:paraId="7F1AC480" w14:textId="77777777" w:rsidR="005C5EAA" w:rsidRPr="0044016E" w:rsidRDefault="005C5EAA" w:rsidP="005C5EAA">
      <w:pPr>
        <w:pStyle w:val="PageHeading"/>
        <w:rPr>
          <w:noProof/>
        </w:rPr>
        <w:sectPr w:rsidR="005C5EAA" w:rsidRPr="0044016E" w:rsidSect="007C652E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3327EB9" w14:textId="228C0BE0" w:rsidR="00F62BD6" w:rsidRPr="00B64679" w:rsidRDefault="005C5EAA" w:rsidP="00446DF9">
      <w:pPr>
        <w:pStyle w:val="PageHeading"/>
        <w:jc w:val="right"/>
        <w:rPr>
          <w:rFonts w:ascii="Times New Roman" w:hAnsi="Times New Roman" w:cs="Times New Roman"/>
        </w:rPr>
      </w:pPr>
      <w:bookmarkStart w:id="7" w:name="_Toc223423430"/>
      <w:r w:rsidRPr="00B64679">
        <w:rPr>
          <w:rFonts w:ascii="Times New Roman" w:hAnsi="Times New Roman" w:cs="Times New Roman"/>
        </w:rPr>
        <w:lastRenderedPageBreak/>
        <w:t>PRÍLOHA</w:t>
      </w:r>
    </w:p>
    <w:p w14:paraId="40F15A9C" w14:textId="7BE8F601" w:rsidR="005C5EAA" w:rsidRPr="00B64679" w:rsidRDefault="005C5EAA" w:rsidP="005C5EAA">
      <w:pPr>
        <w:pStyle w:val="PageHeading"/>
        <w:rPr>
          <w:rFonts w:ascii="Times New Roman" w:hAnsi="Times New Roman" w:cs="Times New Roman"/>
          <w:noProof/>
        </w:rPr>
      </w:pPr>
      <w:r w:rsidRPr="00B64679">
        <w:rPr>
          <w:rFonts w:ascii="Times New Roman" w:hAnsi="Times New Roman" w:cs="Times New Roman"/>
        </w:rPr>
        <w:t>ROZHODNUTIE EURÓPSKEHO PARLAMENTU A RADY</w:t>
      </w:r>
      <w:bookmarkEnd w:id="7"/>
    </w:p>
    <w:p w14:paraId="062DF31C" w14:textId="77777777" w:rsidR="005C5EAA" w:rsidRDefault="005C5EAA" w:rsidP="005C5EAA">
      <w:pPr>
        <w:pStyle w:val="Institutionquiagit"/>
        <w:rPr>
          <w:b/>
        </w:rPr>
      </w:pPr>
      <w:r w:rsidRPr="0044016E">
        <w:rPr>
          <w:b/>
        </w:rPr>
        <w:t>o mobilizácii Európskeho fondu na prispôsobenie sa globalizácii na pomoc pracovníkom, ktorí prišli o zamestnanie, na základe žiadosti Belgicka – EGF/2025/004 BE/</w:t>
      </w:r>
      <w:proofErr w:type="spellStart"/>
      <w:r w:rsidRPr="0044016E">
        <w:rPr>
          <w:b/>
        </w:rPr>
        <w:t>Tupperware</w:t>
      </w:r>
      <w:proofErr w:type="spellEnd"/>
    </w:p>
    <w:p w14:paraId="3CC37BFC" w14:textId="77777777" w:rsidR="00B64679" w:rsidRDefault="00B64679" w:rsidP="00B64679">
      <w:pPr>
        <w:rPr>
          <w:lang w:eastAsia="en-US"/>
        </w:rPr>
      </w:pPr>
    </w:p>
    <w:p w14:paraId="4AC13307" w14:textId="77777777" w:rsidR="00B64679" w:rsidRDefault="00B64679" w:rsidP="00B64679">
      <w:pPr>
        <w:rPr>
          <w:lang w:eastAsia="en-US"/>
        </w:rPr>
      </w:pPr>
    </w:p>
    <w:p w14:paraId="20150BAA" w14:textId="33D16918" w:rsidR="00B64679" w:rsidRPr="00731EF8" w:rsidRDefault="00B64679" w:rsidP="00B64679">
      <w:pPr>
        <w:rPr>
          <w:i/>
          <w:iCs/>
        </w:rPr>
      </w:pPr>
      <w:bookmarkStart w:id="8" w:name="_Hlk211955531"/>
      <w:r w:rsidRPr="00731EF8">
        <w:rPr>
          <w:bCs/>
          <w:i/>
          <w:iCs/>
        </w:rPr>
        <w:t>(</w:t>
      </w:r>
      <w:r w:rsidRPr="00B64679">
        <w:rPr>
          <w:bCs/>
          <w:i/>
          <w:iCs/>
        </w:rPr>
        <w:t>Znenie tejto prílohy sa neuvádza, pretože zodpovedá konečnému aktu, rozhodnutiu (EÚ) 2026/</w:t>
      </w:r>
      <w:r>
        <w:rPr>
          <w:bCs/>
          <w:i/>
          <w:iCs/>
        </w:rPr>
        <w:t>723</w:t>
      </w:r>
      <w:r w:rsidRPr="00B64679">
        <w:rPr>
          <w:bCs/>
          <w:i/>
          <w:iCs/>
        </w:rPr>
        <w:t>.)</w:t>
      </w:r>
    </w:p>
    <w:bookmarkEnd w:id="8"/>
    <w:p w14:paraId="2737BB31" w14:textId="77777777" w:rsidR="00B64679" w:rsidRDefault="00B64679" w:rsidP="00B64679">
      <w:pPr>
        <w:rPr>
          <w:lang w:eastAsia="en-US"/>
        </w:rPr>
      </w:pPr>
    </w:p>
    <w:sectPr w:rsidR="00B64679" w:rsidSect="007C652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11F2E" w14:textId="77777777" w:rsidR="00BA24B2" w:rsidRPr="007C652E" w:rsidRDefault="00BA24B2">
      <w:r w:rsidRPr="007C652E">
        <w:separator/>
      </w:r>
    </w:p>
  </w:endnote>
  <w:endnote w:type="continuationSeparator" w:id="0">
    <w:p w14:paraId="3C3A8E46" w14:textId="77777777" w:rsidR="00BA24B2" w:rsidRPr="007C652E" w:rsidRDefault="00BA24B2">
      <w:r w:rsidRPr="007C65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66143" w14:textId="77777777" w:rsidR="005C5EAA" w:rsidRPr="007C652E" w:rsidRDefault="005C5EAA" w:rsidP="00FC15E9">
    <w:pPr>
      <w:pStyle w:val="EPFooter"/>
    </w:pPr>
    <w:r w:rsidRPr="007C652E">
      <w:t>PE</w:t>
    </w:r>
    <w:r w:rsidRPr="007C652E">
      <w:rPr>
        <w:rStyle w:val="HideTWBExt"/>
      </w:rPr>
      <w:t>&lt;NoPE&gt;</w:t>
    </w:r>
    <w:r w:rsidRPr="007C652E">
      <w:t>782.416</w:t>
    </w:r>
    <w:r w:rsidRPr="007C652E">
      <w:rPr>
        <w:rStyle w:val="HideTWBExt"/>
      </w:rPr>
      <w:t>&lt;/NoPE&gt;&lt;Version&gt;</w:t>
    </w:r>
    <w:r w:rsidRPr="007C652E">
      <w:t>v02-00</w:t>
    </w:r>
    <w:r w:rsidRPr="007C652E">
      <w:rPr>
        <w:rStyle w:val="HideTWBExt"/>
      </w:rPr>
      <w:t>&lt;/Version&gt;</w:t>
    </w:r>
    <w:r w:rsidRPr="007C652E">
      <w:tab/>
    </w:r>
    <w:r w:rsidRPr="007C652E">
      <w:fldChar w:fldCharType="begin"/>
    </w:r>
    <w:r w:rsidRPr="007C652E">
      <w:instrText xml:space="preserve"> PAGE  \* MERGEFORMAT </w:instrText>
    </w:r>
    <w:r w:rsidRPr="007C652E">
      <w:fldChar w:fldCharType="separate"/>
    </w:r>
    <w:r w:rsidRPr="007C652E">
      <w:rPr>
        <w:noProof/>
      </w:rPr>
      <w:t>20</w:t>
    </w:r>
    <w:r w:rsidRPr="007C652E">
      <w:fldChar w:fldCharType="end"/>
    </w:r>
    <w:r w:rsidRPr="007C652E">
      <w:t>/</w:t>
    </w:r>
    <w:fldSimple w:instr=" NUMPAGES  \* MERGEFORMAT ">
      <w:r w:rsidRPr="007C652E">
        <w:rPr>
          <w:noProof/>
        </w:rPr>
        <w:t>20</w:t>
      </w:r>
    </w:fldSimple>
    <w:r w:rsidRPr="007C652E">
      <w:tab/>
    </w:r>
    <w:r w:rsidRPr="007C652E">
      <w:rPr>
        <w:rStyle w:val="HideTWBExt"/>
      </w:rPr>
      <w:t>&lt;PathFdR&gt;</w:t>
    </w:r>
    <w:r w:rsidRPr="007C652E">
      <w:t>RR\1338392SK.docx</w:t>
    </w:r>
    <w:r w:rsidRPr="007C652E">
      <w:rPr>
        <w:rStyle w:val="HideTWBExt"/>
      </w:rPr>
      <w:t>&lt;/PathFdR&gt;</w:t>
    </w:r>
  </w:p>
  <w:p w14:paraId="7AADFD82" w14:textId="77777777" w:rsidR="005C5EAA" w:rsidRPr="007C652E" w:rsidRDefault="005C5EAA" w:rsidP="00FC15E9">
    <w:pPr>
      <w:pStyle w:val="EPFooter2"/>
    </w:pPr>
    <w:r w:rsidRPr="007C652E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0CDD6" w14:textId="77777777" w:rsidR="005C5EAA" w:rsidRPr="007C652E" w:rsidRDefault="005C5EAA" w:rsidP="00FC15E9">
    <w:pPr>
      <w:pStyle w:val="EPFooter"/>
    </w:pPr>
    <w:r w:rsidRPr="007C652E">
      <w:rPr>
        <w:rStyle w:val="HideTWBExt"/>
      </w:rPr>
      <w:t>&lt;PathFdR&gt;</w:t>
    </w:r>
    <w:r w:rsidRPr="007C652E">
      <w:t>RR\1338392SK.docx</w:t>
    </w:r>
    <w:r w:rsidRPr="007C652E">
      <w:rPr>
        <w:rStyle w:val="HideTWBExt"/>
      </w:rPr>
      <w:t>&lt;/PathFdR&gt;</w:t>
    </w:r>
    <w:r w:rsidRPr="007C652E">
      <w:tab/>
    </w:r>
    <w:r w:rsidRPr="007C652E">
      <w:tab/>
      <w:t>PE</w:t>
    </w:r>
    <w:r w:rsidRPr="007C652E">
      <w:rPr>
        <w:rStyle w:val="HideTWBExt"/>
      </w:rPr>
      <w:t>&lt;NoPE&gt;</w:t>
    </w:r>
    <w:r w:rsidRPr="007C652E">
      <w:t>782.416</w:t>
    </w:r>
    <w:r w:rsidRPr="007C652E">
      <w:rPr>
        <w:rStyle w:val="HideTWBExt"/>
      </w:rPr>
      <w:t>&lt;/NoPE&gt;&lt;Version&gt;</w:t>
    </w:r>
    <w:r w:rsidRPr="007C652E">
      <w:t>v02-00</w:t>
    </w:r>
    <w:r w:rsidRPr="007C652E">
      <w:rPr>
        <w:rStyle w:val="HideTWBExt"/>
      </w:rPr>
      <w:t>&lt;/Version&gt;</w:t>
    </w:r>
  </w:p>
  <w:p w14:paraId="7CA557B1" w14:textId="77777777" w:rsidR="005C5EAA" w:rsidRPr="007C652E" w:rsidRDefault="005C5EAA" w:rsidP="00FC15E9">
    <w:pPr>
      <w:pStyle w:val="EPFooter2"/>
    </w:pPr>
    <w:r w:rsidRPr="007C652E">
      <w:t>SK</w:t>
    </w:r>
    <w:r w:rsidRPr="007C652E">
      <w:tab/>
    </w:r>
    <w:r w:rsidRPr="007C652E">
      <w:rPr>
        <w:b w:val="0"/>
        <w:i/>
        <w:color w:val="C0C0C0"/>
        <w:sz w:val="22"/>
      </w:rPr>
      <w:t>Zjednotení v rozmanitosti</w:t>
    </w:r>
    <w:r w:rsidRPr="007C652E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B95EF" w14:textId="77777777" w:rsidR="00064002" w:rsidRPr="007C652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AC609" w14:textId="77777777" w:rsidR="00064002" w:rsidRPr="007C652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3C48" w14:textId="77777777" w:rsidR="00064002" w:rsidRPr="007C652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7427A" w14:textId="77777777" w:rsidR="00BA24B2" w:rsidRPr="007C652E" w:rsidRDefault="00BA24B2">
      <w:r w:rsidRPr="007C652E">
        <w:separator/>
      </w:r>
    </w:p>
  </w:footnote>
  <w:footnote w:type="continuationSeparator" w:id="0">
    <w:p w14:paraId="0AF06C15" w14:textId="77777777" w:rsidR="00BA24B2" w:rsidRPr="007C652E" w:rsidRDefault="00BA24B2">
      <w:r w:rsidRPr="007C652E">
        <w:continuationSeparator/>
      </w:r>
    </w:p>
  </w:footnote>
  <w:footnote w:id="1">
    <w:p w14:paraId="79555B3A" w14:textId="053A4497" w:rsidR="005C5EAA" w:rsidRPr="007C652E" w:rsidRDefault="005C5EAA" w:rsidP="007C652E">
      <w:pPr>
        <w:pStyle w:val="FootnoteText"/>
        <w:ind w:left="567" w:hanging="567"/>
        <w:rPr>
          <w:sz w:val="24"/>
          <w:lang w:val="sk-SK"/>
        </w:rPr>
      </w:pPr>
      <w:r w:rsidRPr="007C652E">
        <w:rPr>
          <w:rStyle w:val="FootnoteReference"/>
          <w:sz w:val="24"/>
          <w:lang w:val="sk-SK"/>
        </w:rPr>
        <w:footnoteRef/>
      </w:r>
      <w:r w:rsidR="007C652E" w:rsidRPr="007C652E">
        <w:rPr>
          <w:sz w:val="24"/>
          <w:lang w:val="sk-SK"/>
        </w:rPr>
        <w:t xml:space="preserve"> </w:t>
      </w:r>
      <w:r w:rsidR="007C652E" w:rsidRPr="007C652E">
        <w:rPr>
          <w:sz w:val="24"/>
          <w:lang w:val="sk-SK"/>
        </w:rPr>
        <w:tab/>
      </w:r>
      <w:r w:rsidRPr="007C652E">
        <w:rPr>
          <w:sz w:val="24"/>
          <w:lang w:val="sk-SK"/>
        </w:rPr>
        <w:t xml:space="preserve">Ú. v. EÚ L 153, 3.5.2021, s. 48, ELI: </w:t>
      </w:r>
      <w:hyperlink r:id="rId1" w:history="1">
        <w:r w:rsidRPr="007C652E">
          <w:rPr>
            <w:rStyle w:val="Hyperlink"/>
            <w:sz w:val="24"/>
            <w:lang w:val="sk-SK"/>
          </w:rPr>
          <w:t>http://data.europa.eu/eli/reg/2021/691/oj</w:t>
        </w:r>
      </w:hyperlink>
      <w:r w:rsidRPr="007C652E">
        <w:rPr>
          <w:sz w:val="24"/>
          <w:lang w:val="sk-SK"/>
        </w:rPr>
        <w:t>.</w:t>
      </w:r>
    </w:p>
  </w:footnote>
  <w:footnote w:id="2">
    <w:p w14:paraId="5A99C152" w14:textId="0FA55EB4" w:rsidR="005C5EAA" w:rsidRPr="007C652E" w:rsidRDefault="005C5EAA" w:rsidP="007C652E">
      <w:pPr>
        <w:pStyle w:val="FootnoteText"/>
        <w:ind w:left="567" w:hanging="567"/>
        <w:rPr>
          <w:sz w:val="24"/>
          <w:lang w:val="sk-SK"/>
        </w:rPr>
      </w:pPr>
      <w:r w:rsidRPr="007C652E">
        <w:rPr>
          <w:rStyle w:val="FootnoteReference"/>
          <w:sz w:val="24"/>
          <w:lang w:val="sk-SK"/>
        </w:rPr>
        <w:footnoteRef/>
      </w:r>
      <w:r w:rsidR="007C652E" w:rsidRPr="007C652E">
        <w:rPr>
          <w:sz w:val="24"/>
          <w:lang w:val="sk-SK"/>
        </w:rPr>
        <w:t xml:space="preserve"> </w:t>
      </w:r>
      <w:r w:rsidR="007C652E" w:rsidRPr="007C652E">
        <w:rPr>
          <w:sz w:val="24"/>
          <w:lang w:val="sk-SK"/>
        </w:rPr>
        <w:tab/>
      </w:r>
      <w:r w:rsidRPr="007C652E">
        <w:rPr>
          <w:sz w:val="24"/>
          <w:lang w:val="sk-SK"/>
        </w:rPr>
        <w:t xml:space="preserve">Ú. v. EÚ L 433 I, 22.12.2020, s. </w:t>
      </w:r>
      <w:r w:rsidRPr="007C652E">
        <w:rPr>
          <w:sz w:val="24"/>
          <w:lang w:val="sk-SK"/>
        </w:rPr>
        <w:t xml:space="preserve">11, ELI: </w:t>
      </w:r>
      <w:hyperlink r:id="rId2" w:history="1">
        <w:r w:rsidRPr="007C652E">
          <w:rPr>
            <w:rStyle w:val="Hyperlink"/>
            <w:sz w:val="24"/>
            <w:lang w:val="sk-SK"/>
          </w:rPr>
          <w:t>http://data.europa.eu/eli/reg/2020/2093/oj</w:t>
        </w:r>
      </w:hyperlink>
      <w:r w:rsidRPr="007C652E">
        <w:rPr>
          <w:sz w:val="24"/>
          <w:lang w:val="sk-SK"/>
        </w:rPr>
        <w:t>.</w:t>
      </w:r>
    </w:p>
  </w:footnote>
  <w:footnote w:id="3">
    <w:p w14:paraId="579A4D5D" w14:textId="5BF5107C" w:rsidR="005C5EAA" w:rsidRPr="007C652E" w:rsidRDefault="005C5EAA" w:rsidP="007C652E">
      <w:pPr>
        <w:pStyle w:val="FootnoteText"/>
        <w:ind w:left="567" w:hanging="567"/>
        <w:rPr>
          <w:sz w:val="24"/>
          <w:lang w:val="sk-SK"/>
        </w:rPr>
      </w:pPr>
      <w:r w:rsidRPr="007C652E">
        <w:rPr>
          <w:rStyle w:val="FootnoteReference"/>
          <w:sz w:val="24"/>
          <w:lang w:val="sk-SK"/>
        </w:rPr>
        <w:footnoteRef/>
      </w:r>
      <w:r w:rsidR="007C652E" w:rsidRPr="007C652E">
        <w:rPr>
          <w:sz w:val="24"/>
          <w:shd w:val="clear" w:color="auto" w:fill="FFFFFF"/>
          <w:lang w:val="sk-SK"/>
        </w:rPr>
        <w:t xml:space="preserve"> </w:t>
      </w:r>
      <w:r w:rsidR="007C652E" w:rsidRPr="007C652E">
        <w:rPr>
          <w:sz w:val="24"/>
          <w:shd w:val="clear" w:color="auto" w:fill="FFFFFF"/>
          <w:lang w:val="sk-SK"/>
        </w:rPr>
        <w:tab/>
      </w:r>
      <w:r w:rsidRPr="007C652E">
        <w:rPr>
          <w:sz w:val="24"/>
          <w:shd w:val="clear" w:color="auto" w:fill="FFFFFF"/>
          <w:lang w:val="sk-SK"/>
        </w:rPr>
        <w:t xml:space="preserve">Nariadenie Rady (EÚ, </w:t>
      </w:r>
      <w:proofErr w:type="spellStart"/>
      <w:r w:rsidRPr="007C652E">
        <w:rPr>
          <w:sz w:val="24"/>
          <w:shd w:val="clear" w:color="auto" w:fill="FFFFFF"/>
          <w:lang w:val="sk-SK"/>
        </w:rPr>
        <w:t>Euratom</w:t>
      </w:r>
      <w:proofErr w:type="spellEnd"/>
      <w:r w:rsidRPr="007C652E">
        <w:rPr>
          <w:sz w:val="24"/>
          <w:shd w:val="clear" w:color="auto" w:fill="FFFFFF"/>
          <w:lang w:val="sk-SK"/>
        </w:rPr>
        <w:t xml:space="preserve">) 2024/765 z 29. februára 2024, ktorým sa mení nariadenie (EÚ, </w:t>
      </w:r>
      <w:proofErr w:type="spellStart"/>
      <w:r w:rsidRPr="007C652E">
        <w:rPr>
          <w:sz w:val="24"/>
          <w:shd w:val="clear" w:color="auto" w:fill="FFFFFF"/>
          <w:lang w:val="sk-SK"/>
        </w:rPr>
        <w:t>Euratom</w:t>
      </w:r>
      <w:proofErr w:type="spellEnd"/>
      <w:r w:rsidRPr="007C652E">
        <w:rPr>
          <w:sz w:val="24"/>
          <w:shd w:val="clear" w:color="auto" w:fill="FFFFFF"/>
          <w:lang w:val="sk-SK"/>
        </w:rPr>
        <w:t xml:space="preserve">) 2020/2093, ktorým sa stanovuje viacročný finančný rámec na roky 2021 až 2027 (Ú. v. </w:t>
      </w:r>
      <w:r w:rsidRPr="007C652E">
        <w:rPr>
          <w:sz w:val="24"/>
          <w:shd w:val="clear" w:color="auto" w:fill="FFFFFF"/>
          <w:lang w:val="sk-SK"/>
        </w:rPr>
        <w:t>EÚ L, 2024/765, 29.2.2024, ELI:</w:t>
      </w:r>
      <w:r w:rsidRPr="007C652E">
        <w:rPr>
          <w:color w:val="333333"/>
          <w:sz w:val="24"/>
          <w:shd w:val="clear" w:color="auto" w:fill="FFFFFF"/>
          <w:lang w:val="sk-SK"/>
        </w:rPr>
        <w:t xml:space="preserve"> </w:t>
      </w:r>
      <w:hyperlink r:id="rId3" w:history="1">
        <w:r w:rsidRPr="007C652E">
          <w:rPr>
            <w:rStyle w:val="Hyperlink"/>
            <w:sz w:val="24"/>
            <w:shd w:val="clear" w:color="auto" w:fill="FFFFFF"/>
            <w:lang w:val="sk-SK"/>
          </w:rPr>
          <w:t>http://data.europa.eu/eli/reg/2024/765/oj</w:t>
        </w:r>
      </w:hyperlink>
      <w:r w:rsidRPr="007C652E">
        <w:rPr>
          <w:i/>
          <w:color w:val="333333"/>
          <w:sz w:val="24"/>
          <w:shd w:val="clear" w:color="auto" w:fill="FFFFFF"/>
          <w:lang w:val="sk-SK"/>
        </w:rPr>
        <w:t>).</w:t>
      </w:r>
    </w:p>
  </w:footnote>
  <w:footnote w:id="4">
    <w:p w14:paraId="5596DC2C" w14:textId="328BA097" w:rsidR="005C5EAA" w:rsidRPr="007C652E" w:rsidRDefault="005C5EAA" w:rsidP="007C652E">
      <w:pPr>
        <w:pStyle w:val="FootnoteText"/>
        <w:ind w:left="567" w:hanging="567"/>
        <w:rPr>
          <w:sz w:val="24"/>
          <w:lang w:val="sk-SK"/>
        </w:rPr>
      </w:pPr>
      <w:r w:rsidRPr="007C652E">
        <w:rPr>
          <w:rStyle w:val="FootnoteReference"/>
          <w:sz w:val="24"/>
          <w:lang w:val="sk-SK"/>
        </w:rPr>
        <w:footnoteRef/>
      </w:r>
      <w:r w:rsidR="007C652E" w:rsidRPr="007C652E">
        <w:rPr>
          <w:sz w:val="24"/>
          <w:lang w:val="sk-SK"/>
        </w:rPr>
        <w:t xml:space="preserve"> </w:t>
      </w:r>
      <w:r w:rsidR="007C652E" w:rsidRPr="007C652E">
        <w:rPr>
          <w:sz w:val="24"/>
          <w:lang w:val="sk-SK"/>
        </w:rPr>
        <w:tab/>
      </w:r>
      <w:r w:rsidRPr="007C652E">
        <w:rPr>
          <w:sz w:val="24"/>
          <w:lang w:val="sk-SK"/>
        </w:rPr>
        <w:t xml:space="preserve">Ú. v. EÚ L 433 I, 22.12.2020, s. </w:t>
      </w:r>
      <w:r w:rsidRPr="007C652E">
        <w:rPr>
          <w:sz w:val="24"/>
          <w:lang w:val="sk-SK"/>
        </w:rPr>
        <w:t xml:space="preserve">28, ELI: </w:t>
      </w:r>
      <w:hyperlink r:id="rId4" w:history="1">
        <w:r w:rsidRPr="007C652E">
          <w:rPr>
            <w:rStyle w:val="Hyperlink"/>
            <w:sz w:val="24"/>
            <w:lang w:val="sk-SK"/>
          </w:rPr>
          <w:t>http://data.europa.eu/eli/agree_interinstit/2020/1222/oj</w:t>
        </w:r>
      </w:hyperlink>
      <w:r w:rsidRPr="007C652E">
        <w:rPr>
          <w:sz w:val="24"/>
          <w:lang w:val="sk-SK"/>
        </w:rPr>
        <w:t>.</w:t>
      </w:r>
    </w:p>
  </w:footnote>
  <w:footnote w:id="5">
    <w:p w14:paraId="178979B3" w14:textId="60858939" w:rsidR="005C5EAA" w:rsidRPr="007C652E" w:rsidRDefault="005C5EAA" w:rsidP="007C652E">
      <w:pPr>
        <w:pStyle w:val="FootnoteText"/>
        <w:ind w:left="567" w:hanging="567"/>
        <w:rPr>
          <w:sz w:val="24"/>
          <w:lang w:val="sk-SK"/>
        </w:rPr>
      </w:pPr>
      <w:r w:rsidRPr="007C652E">
        <w:rPr>
          <w:rStyle w:val="FootnoteReference"/>
          <w:sz w:val="24"/>
          <w:lang w:val="sk-SK"/>
        </w:rPr>
        <w:footnoteRef/>
      </w:r>
      <w:r w:rsidR="007C652E" w:rsidRPr="007C652E">
        <w:rPr>
          <w:sz w:val="24"/>
          <w:lang w:val="sk-SK"/>
        </w:rPr>
        <w:t xml:space="preserve"> </w:t>
      </w:r>
      <w:r w:rsidR="007C652E" w:rsidRPr="007C652E">
        <w:rPr>
          <w:sz w:val="24"/>
          <w:lang w:val="sk-SK"/>
        </w:rPr>
        <w:tab/>
      </w:r>
      <w:r w:rsidRPr="007C652E">
        <w:rPr>
          <w:sz w:val="24"/>
          <w:lang w:val="sk-SK"/>
        </w:rPr>
        <w:t>V zmysle článku 3 nariadenia o EGF.</w:t>
      </w:r>
    </w:p>
  </w:footnote>
  <w:footnote w:id="6">
    <w:p w14:paraId="100E8938" w14:textId="35328C3B" w:rsidR="005C5EAA" w:rsidRPr="007C652E" w:rsidRDefault="005C5EAA" w:rsidP="007C652E">
      <w:pPr>
        <w:pStyle w:val="FootnoteText"/>
        <w:ind w:left="567" w:hanging="567"/>
        <w:rPr>
          <w:sz w:val="24"/>
          <w:lang w:val="sk-SK"/>
        </w:rPr>
      </w:pPr>
      <w:r w:rsidRPr="007C652E">
        <w:rPr>
          <w:rStyle w:val="FootnoteReference"/>
          <w:sz w:val="24"/>
          <w:lang w:val="sk-SK"/>
        </w:rPr>
        <w:footnoteRef/>
      </w:r>
      <w:r w:rsidR="007C652E" w:rsidRPr="007C652E">
        <w:rPr>
          <w:sz w:val="24"/>
          <w:lang w:val="sk-SK"/>
        </w:rPr>
        <w:t xml:space="preserve"> </w:t>
      </w:r>
      <w:r w:rsidR="007C652E" w:rsidRPr="007C652E">
        <w:rPr>
          <w:sz w:val="24"/>
          <w:lang w:val="sk-SK"/>
        </w:rPr>
        <w:tab/>
      </w:r>
      <w:r w:rsidRPr="007C652E">
        <w:rPr>
          <w:sz w:val="24"/>
          <w:lang w:val="sk-SK"/>
        </w:rPr>
        <w:t>Článok 8 nariadenia MFF.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DFC40" w14:textId="77777777" w:rsidR="00064002" w:rsidRPr="007C652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28C62" w14:textId="77777777" w:rsidR="00064002" w:rsidRPr="007C652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DACD0" w14:textId="77777777" w:rsidR="00064002" w:rsidRPr="007C652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1881429">
    <w:abstractNumId w:val="9"/>
  </w:num>
  <w:num w:numId="2" w16cid:durableId="178854654">
    <w:abstractNumId w:val="9"/>
  </w:num>
  <w:num w:numId="3" w16cid:durableId="523910266">
    <w:abstractNumId w:val="7"/>
  </w:num>
  <w:num w:numId="4" w16cid:durableId="1246501607">
    <w:abstractNumId w:val="7"/>
  </w:num>
  <w:num w:numId="5" w16cid:durableId="1070809042">
    <w:abstractNumId w:val="6"/>
  </w:num>
  <w:num w:numId="6" w16cid:durableId="336806198">
    <w:abstractNumId w:val="6"/>
  </w:num>
  <w:num w:numId="7" w16cid:durableId="2044091705">
    <w:abstractNumId w:val="5"/>
  </w:num>
  <w:num w:numId="8" w16cid:durableId="649748015">
    <w:abstractNumId w:val="5"/>
  </w:num>
  <w:num w:numId="9" w16cid:durableId="1143233653">
    <w:abstractNumId w:val="4"/>
  </w:num>
  <w:num w:numId="10" w16cid:durableId="2040080018">
    <w:abstractNumId w:val="4"/>
  </w:num>
  <w:num w:numId="11" w16cid:durableId="39980704">
    <w:abstractNumId w:val="8"/>
  </w:num>
  <w:num w:numId="12" w16cid:durableId="13921025">
    <w:abstractNumId w:val="8"/>
  </w:num>
  <w:num w:numId="13" w16cid:durableId="1577058428">
    <w:abstractNumId w:val="3"/>
  </w:num>
  <w:num w:numId="14" w16cid:durableId="775830102">
    <w:abstractNumId w:val="3"/>
  </w:num>
  <w:num w:numId="15" w16cid:durableId="1940018365">
    <w:abstractNumId w:val="2"/>
  </w:num>
  <w:num w:numId="16" w16cid:durableId="1692954011">
    <w:abstractNumId w:val="2"/>
  </w:num>
  <w:num w:numId="17" w16cid:durableId="1236629533">
    <w:abstractNumId w:val="1"/>
  </w:num>
  <w:num w:numId="18" w16cid:durableId="1625230952">
    <w:abstractNumId w:val="1"/>
  </w:num>
  <w:num w:numId="19" w16cid:durableId="90664708">
    <w:abstractNumId w:val="0"/>
  </w:num>
  <w:num w:numId="20" w16cid:durableId="352340701">
    <w:abstractNumId w:val="0"/>
  </w:num>
  <w:num w:numId="21" w16cid:durableId="429087266">
    <w:abstractNumId w:val="9"/>
  </w:num>
  <w:num w:numId="22" w16cid:durableId="1371033846">
    <w:abstractNumId w:val="7"/>
  </w:num>
  <w:num w:numId="23" w16cid:durableId="1164777869">
    <w:abstractNumId w:val="6"/>
  </w:num>
  <w:num w:numId="24" w16cid:durableId="423188898">
    <w:abstractNumId w:val="5"/>
  </w:num>
  <w:num w:numId="25" w16cid:durableId="2137136880">
    <w:abstractNumId w:val="4"/>
  </w:num>
  <w:num w:numId="26" w16cid:durableId="599802524">
    <w:abstractNumId w:val="8"/>
  </w:num>
  <w:num w:numId="27" w16cid:durableId="1201480038">
    <w:abstractNumId w:val="3"/>
  </w:num>
  <w:num w:numId="28" w16cid:durableId="1362978434">
    <w:abstractNumId w:val="2"/>
  </w:num>
  <w:num w:numId="29" w16cid:durableId="2107454211">
    <w:abstractNumId w:val="1"/>
  </w:num>
  <w:num w:numId="30" w16cid:durableId="210000477">
    <w:abstractNumId w:val="0"/>
  </w:num>
  <w:num w:numId="31" w16cid:durableId="1404840253">
    <w:abstractNumId w:val="9"/>
  </w:num>
  <w:num w:numId="32" w16cid:durableId="544567775">
    <w:abstractNumId w:val="7"/>
  </w:num>
  <w:num w:numId="33" w16cid:durableId="1423717255">
    <w:abstractNumId w:val="6"/>
  </w:num>
  <w:num w:numId="34" w16cid:durableId="137186297">
    <w:abstractNumId w:val="5"/>
  </w:num>
  <w:num w:numId="35" w16cid:durableId="262611837">
    <w:abstractNumId w:val="4"/>
  </w:num>
  <w:num w:numId="36" w16cid:durableId="1230962711">
    <w:abstractNumId w:val="8"/>
  </w:num>
  <w:num w:numId="37" w16cid:durableId="864906976">
    <w:abstractNumId w:val="3"/>
  </w:num>
  <w:num w:numId="38" w16cid:durableId="2037608949">
    <w:abstractNumId w:val="2"/>
  </w:num>
  <w:num w:numId="39" w16cid:durableId="955023241">
    <w:abstractNumId w:val="1"/>
  </w:num>
  <w:num w:numId="40" w16cid:durableId="1921137216">
    <w:abstractNumId w:val="0"/>
  </w:num>
  <w:num w:numId="41" w16cid:durableId="1492602102">
    <w:abstractNumId w:val="10"/>
  </w:num>
  <w:num w:numId="42" w16cid:durableId="492062354">
    <w:abstractNumId w:val="10"/>
  </w:num>
  <w:num w:numId="43" w16cid:durableId="1739598067">
    <w:abstractNumId w:val="10"/>
  </w:num>
  <w:num w:numId="44" w16cid:durableId="274905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0/2026"/>
    <w:docVar w:name="dvlangue" w:val="SK"/>
    <w:docVar w:name="dvnumam" w:val="0"/>
    <w:docVar w:name="dvpe" w:val="782.416"/>
    <w:docVar w:name="dvrapporteur" w:val="Spravodajca: "/>
    <w:docVar w:name="dvtitre" w:val="Uznesenie Európskeho parlamentu z/zo xx. xxx 2026 o návrhu rozhodnutia Európskeho parlamentu a Rady o mobilizácii Európskeho fondu na prispôsobenie sa globalizácii na pomoc pracovníkom, ktorí prišli o zamestnanie, na základe žiadosti Belgicka – EGF/2025/004 BE/Tupperware (COM(2026)0001 – C10-0012/2026 – 2026/0004(BUD))"/>
  </w:docVars>
  <w:rsids>
    <w:rsidRoot w:val="00BA24B2"/>
    <w:rsid w:val="00002272"/>
    <w:rsid w:val="00064002"/>
    <w:rsid w:val="000677B9"/>
    <w:rsid w:val="000831BA"/>
    <w:rsid w:val="000A42CC"/>
    <w:rsid w:val="000E7DD9"/>
    <w:rsid w:val="0010095E"/>
    <w:rsid w:val="00125B37"/>
    <w:rsid w:val="0013086D"/>
    <w:rsid w:val="00187494"/>
    <w:rsid w:val="001F32AE"/>
    <w:rsid w:val="002767FF"/>
    <w:rsid w:val="002B18FE"/>
    <w:rsid w:val="002B5493"/>
    <w:rsid w:val="00343214"/>
    <w:rsid w:val="00361C00"/>
    <w:rsid w:val="00395FA1"/>
    <w:rsid w:val="003D6A17"/>
    <w:rsid w:val="003E15D4"/>
    <w:rsid w:val="00411CCE"/>
    <w:rsid w:val="0041666E"/>
    <w:rsid w:val="00421060"/>
    <w:rsid w:val="0044016E"/>
    <w:rsid w:val="00446DF9"/>
    <w:rsid w:val="00471C19"/>
    <w:rsid w:val="004867E3"/>
    <w:rsid w:val="00494A28"/>
    <w:rsid w:val="004C0004"/>
    <w:rsid w:val="004C5D52"/>
    <w:rsid w:val="004F4A10"/>
    <w:rsid w:val="0050519A"/>
    <w:rsid w:val="005072A1"/>
    <w:rsid w:val="00514517"/>
    <w:rsid w:val="00545827"/>
    <w:rsid w:val="00560270"/>
    <w:rsid w:val="005C2568"/>
    <w:rsid w:val="005C5EAA"/>
    <w:rsid w:val="005F1B17"/>
    <w:rsid w:val="005F6C72"/>
    <w:rsid w:val="006037C0"/>
    <w:rsid w:val="006208D2"/>
    <w:rsid w:val="006631B6"/>
    <w:rsid w:val="00680577"/>
    <w:rsid w:val="006C31A8"/>
    <w:rsid w:val="006F74FA"/>
    <w:rsid w:val="00731ADD"/>
    <w:rsid w:val="00734777"/>
    <w:rsid w:val="00747932"/>
    <w:rsid w:val="00751A4A"/>
    <w:rsid w:val="00756632"/>
    <w:rsid w:val="00762C74"/>
    <w:rsid w:val="00786EC0"/>
    <w:rsid w:val="007C652E"/>
    <w:rsid w:val="007D1690"/>
    <w:rsid w:val="007E22AD"/>
    <w:rsid w:val="00817416"/>
    <w:rsid w:val="00842779"/>
    <w:rsid w:val="00856F8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679"/>
    <w:rsid w:val="00BA24B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4724"/>
    <w:rsid w:val="00EB006A"/>
    <w:rsid w:val="00EB4772"/>
    <w:rsid w:val="00ED169E"/>
    <w:rsid w:val="00ED4235"/>
    <w:rsid w:val="00F04346"/>
    <w:rsid w:val="00F075DC"/>
    <w:rsid w:val="00F149E9"/>
    <w:rsid w:val="00F45F58"/>
    <w:rsid w:val="00F5134D"/>
    <w:rsid w:val="00F62BD6"/>
    <w:rsid w:val="00F74202"/>
    <w:rsid w:val="00F87713"/>
    <w:rsid w:val="00FB4360"/>
    <w:rsid w:val="00FC08A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265A29"/>
  <w15:chartTrackingRefBased/>
  <w15:docId w15:val="{A7350A0E-A087-4461-91E4-AB740B4E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C5EA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5C5EA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5C5EA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C5E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C5EAA"/>
    <w:rPr>
      <w:sz w:val="24"/>
      <w:lang w:val="sk-SK"/>
    </w:rPr>
  </w:style>
  <w:style w:type="paragraph" w:customStyle="1" w:styleId="EPFooter">
    <w:name w:val="EPFooter"/>
    <w:basedOn w:val="Normal"/>
    <w:rsid w:val="005C5EA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C5EAA"/>
    <w:pPr>
      <w:spacing w:before="480" w:after="240"/>
    </w:pPr>
  </w:style>
  <w:style w:type="character" w:styleId="Hyperlink">
    <w:name w:val="Hyperlink"/>
    <w:basedOn w:val="DefaultParagraphFont"/>
    <w:uiPriority w:val="99"/>
    <w:rsid w:val="005C5EAA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5C5EA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5C5EA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5C5EA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C5EA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C5EA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C5EA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5C5EAA"/>
    <w:rPr>
      <w:rFonts w:ascii="Arial" w:hAnsi="Arial" w:cs="Arial"/>
      <w:b/>
      <w:sz w:val="24"/>
      <w:lang w:val="sk-SK"/>
    </w:rPr>
  </w:style>
  <w:style w:type="character" w:customStyle="1" w:styleId="NormalHanging12aChar">
    <w:name w:val="NormalHanging12a Char"/>
    <w:basedOn w:val="DefaultParagraphFont"/>
    <w:link w:val="NormalHanging12a"/>
    <w:locked/>
    <w:rsid w:val="005C5EAA"/>
    <w:rPr>
      <w:sz w:val="24"/>
      <w:lang w:val="sk-SK"/>
    </w:rPr>
  </w:style>
  <w:style w:type="paragraph" w:customStyle="1" w:styleId="Personnequisigne">
    <w:name w:val="Personne qui signe"/>
    <w:basedOn w:val="Normal"/>
    <w:next w:val="Institutionquisigne"/>
    <w:rsid w:val="005C5EA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Revision">
    <w:name w:val="Revision"/>
    <w:hidden/>
    <w:uiPriority w:val="99"/>
    <w:semiHidden/>
    <w:rsid w:val="00E94724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F62BD6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4401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4016E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1426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2026-05-11T12:49:00Z</dcterms:created>
  <dcterms:modified xsi:type="dcterms:W3CDTF">2026-05-11T12:49:00Z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P10_TA(2026)0073_</vt:lpwstr>
  </property>
  <property fmtid="{D5CDD505-2E9C-101B-9397-08002B2CF9AE}" pid="4" name="&lt;Type&gt;">
    <vt:lpwstr>RR</vt:lpwstr>
  </property>
</Properties>
</file>