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2E10" w14:paraId="623412DF" w14:textId="77777777" w:rsidTr="0010095E">
        <w:trPr>
          <w:trHeight w:hRule="exact" w:val="1418"/>
        </w:trPr>
        <w:tc>
          <w:tcPr>
            <w:tcW w:w="6804" w:type="dxa"/>
            <w:shd w:val="clear" w:color="auto" w:fill="auto"/>
            <w:vAlign w:val="center"/>
          </w:tcPr>
          <w:p w14:paraId="409D0F7C" w14:textId="77777777" w:rsidR="00751A4A" w:rsidRPr="00522E10" w:rsidRDefault="00A85C31" w:rsidP="0010095E">
            <w:pPr>
              <w:pStyle w:val="EPName"/>
            </w:pPr>
            <w:r w:rsidRPr="00522E10">
              <w:t>Evropski parlament</w:t>
            </w:r>
          </w:p>
          <w:p w14:paraId="6467E628" w14:textId="77777777" w:rsidR="00751A4A" w:rsidRPr="00522E10" w:rsidRDefault="005F1B17" w:rsidP="005F1B17">
            <w:pPr>
              <w:pStyle w:val="EPTerm"/>
              <w:rPr>
                <w:rStyle w:val="HideTWBExt"/>
                <w:noProof w:val="0"/>
                <w:vanish w:val="0"/>
                <w:color w:val="auto"/>
              </w:rPr>
            </w:pPr>
            <w:r w:rsidRPr="00522E10">
              <w:t>2024</w:t>
            </w:r>
            <w:r w:rsidR="00817416" w:rsidRPr="00522E10">
              <w:t>-202</w:t>
            </w:r>
            <w:r w:rsidRPr="00522E10">
              <w:t>9</w:t>
            </w:r>
          </w:p>
        </w:tc>
        <w:tc>
          <w:tcPr>
            <w:tcW w:w="2268" w:type="dxa"/>
            <w:shd w:val="clear" w:color="auto" w:fill="auto"/>
          </w:tcPr>
          <w:p w14:paraId="00F56BC5" w14:textId="77777777" w:rsidR="00751A4A" w:rsidRPr="00522E10" w:rsidRDefault="00187494" w:rsidP="0010095E">
            <w:pPr>
              <w:pStyle w:val="EPLogo"/>
            </w:pPr>
            <w:r w:rsidRPr="00522E10">
              <w:rPr>
                <w:noProof/>
                <w:lang w:eastAsia="ja-JP"/>
              </w:rPr>
              <w:drawing>
                <wp:inline distT="0" distB="0" distL="0" distR="0" wp14:anchorId="03139CEC" wp14:editId="2277CB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C4D899" w14:textId="77777777" w:rsidR="00D058B8" w:rsidRPr="00522E10" w:rsidRDefault="00D058B8" w:rsidP="004C5D52">
      <w:pPr>
        <w:pStyle w:val="LineTop"/>
      </w:pPr>
    </w:p>
    <w:p w14:paraId="54B60D85" w14:textId="77777777" w:rsidR="00680577" w:rsidRPr="00522E10" w:rsidRDefault="00A85C31" w:rsidP="00680577">
      <w:pPr>
        <w:pStyle w:val="EPBodyTA1"/>
      </w:pPr>
      <w:r w:rsidRPr="00522E10">
        <w:t>SPREJETA BESEDILA</w:t>
      </w:r>
    </w:p>
    <w:p w14:paraId="67317A0A" w14:textId="77777777" w:rsidR="00D058B8" w:rsidRPr="00522E10" w:rsidRDefault="00D058B8" w:rsidP="00D058B8">
      <w:pPr>
        <w:pStyle w:val="LineBottom"/>
      </w:pPr>
    </w:p>
    <w:p w14:paraId="7023B07D" w14:textId="04BA84CC" w:rsidR="00A85C31" w:rsidRPr="00522E10" w:rsidRDefault="00A85C31" w:rsidP="00A85C31">
      <w:pPr>
        <w:pStyle w:val="ATHeading1"/>
      </w:pPr>
      <w:bookmarkStart w:id="0" w:name="TANumber"/>
      <w:r w:rsidRPr="00522E10">
        <w:t>P10_TA(2026)</w:t>
      </w:r>
      <w:bookmarkEnd w:id="0"/>
      <w:r w:rsidR="00092F29">
        <w:t>0073</w:t>
      </w:r>
    </w:p>
    <w:p w14:paraId="2436A9F7" w14:textId="75828147" w:rsidR="00A85C31" w:rsidRPr="00522E10" w:rsidRDefault="006C7DBA" w:rsidP="006C7DBA">
      <w:pPr>
        <w:pStyle w:val="ATHeading2"/>
      </w:pPr>
      <w:r>
        <w:t>Uporaba Evropskega sklada za prilagoditev globalizaciji za presežne delavce: vloga EGF/2025/004 BE/</w:t>
      </w:r>
      <w:proofErr w:type="spellStart"/>
      <w:r>
        <w:t>Tupperware</w:t>
      </w:r>
      <w:proofErr w:type="spellEnd"/>
      <w:r>
        <w:t xml:space="preserve"> – Belgija</w:t>
      </w:r>
    </w:p>
    <w:p w14:paraId="60233AA0" w14:textId="77777777" w:rsidR="00A85C31" w:rsidRPr="00522E10" w:rsidRDefault="00A85C31" w:rsidP="00A85C31">
      <w:pPr>
        <w:rPr>
          <w:i/>
          <w:vanish/>
        </w:rPr>
      </w:pPr>
      <w:r w:rsidRPr="00522E10">
        <w:rPr>
          <w:i/>
        </w:rPr>
        <w:fldChar w:fldCharType="begin"/>
      </w:r>
      <w:r w:rsidRPr="00522E10">
        <w:rPr>
          <w:i/>
        </w:rPr>
        <w:instrText xml:space="preserve"> TC"(</w:instrText>
      </w:r>
      <w:bookmarkStart w:id="1" w:name="DocNumber"/>
      <w:r w:rsidRPr="00522E10">
        <w:rPr>
          <w:i/>
        </w:rPr>
        <w:instrText>A10-0030/2026</w:instrText>
      </w:r>
      <w:bookmarkEnd w:id="1"/>
      <w:r w:rsidRPr="00522E10">
        <w:rPr>
          <w:i/>
        </w:rPr>
        <w:instrText xml:space="preserve"> - Poročevalec: Jean-Marc Germain)"\l3 \n&gt; \* MERGEFORMAT </w:instrText>
      </w:r>
      <w:r w:rsidRPr="00522E10">
        <w:rPr>
          <w:i/>
        </w:rPr>
        <w:fldChar w:fldCharType="end"/>
      </w:r>
    </w:p>
    <w:p w14:paraId="428CFA6B" w14:textId="77777777" w:rsidR="00A85C31" w:rsidRPr="00522E10" w:rsidRDefault="00A85C31" w:rsidP="00A85C31">
      <w:pPr>
        <w:rPr>
          <w:vanish/>
        </w:rPr>
      </w:pPr>
      <w:bookmarkStart w:id="2" w:name="Commission"/>
      <w:r w:rsidRPr="00522E10">
        <w:rPr>
          <w:vanish/>
        </w:rPr>
        <w:t>Odbor za proračun</w:t>
      </w:r>
      <w:bookmarkEnd w:id="2"/>
    </w:p>
    <w:p w14:paraId="356FC319" w14:textId="77777777" w:rsidR="00A85C31" w:rsidRPr="00522E10" w:rsidRDefault="00A85C31" w:rsidP="00A85C31">
      <w:pPr>
        <w:rPr>
          <w:vanish/>
        </w:rPr>
      </w:pPr>
      <w:bookmarkStart w:id="3" w:name="PE"/>
      <w:r w:rsidRPr="00522E10">
        <w:rPr>
          <w:vanish/>
        </w:rPr>
        <w:t>PE782.416</w:t>
      </w:r>
      <w:bookmarkEnd w:id="3"/>
    </w:p>
    <w:p w14:paraId="1B9C62F6" w14:textId="086A28CA" w:rsidR="00A85C31" w:rsidRPr="00522E10" w:rsidRDefault="00A85C31" w:rsidP="00A85C31">
      <w:pPr>
        <w:pStyle w:val="ATHeading3"/>
      </w:pPr>
      <w:bookmarkStart w:id="4" w:name="Sujet"/>
      <w:r w:rsidRPr="00522E10">
        <w:t xml:space="preserve">Resolucija Evropskega parlamenta z dne </w:t>
      </w:r>
      <w:r w:rsidR="002C75C8">
        <w:t>11.</w:t>
      </w:r>
      <w:r w:rsidRPr="00522E10">
        <w:t xml:space="preserve"> </w:t>
      </w:r>
      <w:r w:rsidR="009B2DA1">
        <w:t xml:space="preserve">marca </w:t>
      </w:r>
      <w:r w:rsidRPr="00522E10">
        <w:t>2026 o predlogu sklepa Evropskega parlamenta in Sveta o uporabi Evropskega sklada za prilagoditev globalizaciji za presežne delavce na podlagi vloge Belgije – EGF/2025/004 BE/</w:t>
      </w:r>
      <w:proofErr w:type="spellStart"/>
      <w:r w:rsidRPr="00522E10">
        <w:t>Tupperware</w:t>
      </w:r>
      <w:bookmarkEnd w:id="4"/>
      <w:proofErr w:type="spellEnd"/>
      <w:r w:rsidRPr="00522E10">
        <w:t xml:space="preserve"> </w:t>
      </w:r>
      <w:bookmarkStart w:id="5" w:name="References"/>
      <w:r w:rsidRPr="00522E10">
        <w:t>(COM(2026)0001 – C10-0012/2026 – 2026/0004(BUD))</w:t>
      </w:r>
      <w:bookmarkEnd w:id="5"/>
    </w:p>
    <w:p w14:paraId="5A53305A" w14:textId="77777777" w:rsidR="00AC4E21" w:rsidRPr="009B2DA1" w:rsidRDefault="00AC4E21" w:rsidP="00AC4E21">
      <w:pPr>
        <w:pStyle w:val="EPComma"/>
        <w:rPr>
          <w:i/>
          <w:iCs/>
          <w:noProof/>
        </w:rPr>
      </w:pPr>
      <w:r w:rsidRPr="009B2DA1">
        <w:rPr>
          <w:i/>
          <w:iCs/>
        </w:rPr>
        <w:t>Evropski parlament,</w:t>
      </w:r>
    </w:p>
    <w:p w14:paraId="4472CC4E" w14:textId="77777777" w:rsidR="00AC4E21" w:rsidRPr="00522E10" w:rsidRDefault="00AC4E21" w:rsidP="00AC4E21">
      <w:pPr>
        <w:pStyle w:val="NormalHanging12a"/>
        <w:rPr>
          <w:noProof/>
        </w:rPr>
      </w:pPr>
      <w:r w:rsidRPr="00522E10">
        <w:t>–</w:t>
      </w:r>
      <w:r w:rsidRPr="00522E10">
        <w:tab/>
        <w:t>ob upoštevanju predloga Komisije Evropskemu parlamentu in Svetu (COM(2026)0001 – C10</w:t>
      </w:r>
      <w:r w:rsidRPr="00522E10">
        <w:noBreakHyphen/>
        <w:t>0012/2026),</w:t>
      </w:r>
    </w:p>
    <w:p w14:paraId="03149D7D" w14:textId="77777777" w:rsidR="00AC4E21" w:rsidRPr="00522E10" w:rsidRDefault="00AC4E21" w:rsidP="00AC4E21">
      <w:pPr>
        <w:pStyle w:val="NormalHanging12a"/>
      </w:pPr>
      <w:r w:rsidRPr="00522E10">
        <w:t>–</w:t>
      </w:r>
      <w:r w:rsidRPr="00522E10">
        <w:tab/>
        <w:t>ob upoštevanju Uredbe (EU) 2021/691 Evropskega parlamenta in Sveta z dne 28. aprila 2021 o Evropskem skladu za prilagoditev globalizaciji za presežne delavce (ESPG) in razveljavitvi Uredbe (EU) št. 1309/2013</w:t>
      </w:r>
      <w:r w:rsidRPr="00522E10">
        <w:rPr>
          <w:vertAlign w:val="superscript"/>
        </w:rPr>
        <w:footnoteReference w:id="1"/>
      </w:r>
      <w:r w:rsidRPr="00522E10">
        <w:t xml:space="preserve"> (v nadaljnjem besedilu: uredba o ESPG),</w:t>
      </w:r>
    </w:p>
    <w:p w14:paraId="48EA6D05" w14:textId="3A4A1239" w:rsidR="00AC4E21" w:rsidRPr="00522E10" w:rsidRDefault="00AC4E21" w:rsidP="00AC4E21">
      <w:pPr>
        <w:pStyle w:val="NormalHanging12a"/>
        <w:rPr>
          <w:noProof/>
        </w:rPr>
      </w:pPr>
      <w:r w:rsidRPr="00522E10">
        <w:t>–</w:t>
      </w:r>
      <w:r w:rsidRPr="00522E10">
        <w:tab/>
        <w:t>ob upoštevanju Uredbe Sveta (EU, Euratom) 2020/2093 z dne 17. decembra 2020 o določitvi večletnega finančnega okvira za obdobje 2021–2027</w:t>
      </w:r>
      <w:r w:rsidRPr="00522E10">
        <w:rPr>
          <w:noProof/>
          <w:vertAlign w:val="superscript"/>
        </w:rPr>
        <w:footnoteReference w:id="2"/>
      </w:r>
      <w:r w:rsidRPr="00522E10">
        <w:t>, kot je bila spremenjena z Uredbo (EU, Euratom) 2024/765</w:t>
      </w:r>
      <w:r w:rsidRPr="00522E10">
        <w:rPr>
          <w:noProof/>
          <w:vertAlign w:val="superscript"/>
        </w:rPr>
        <w:footnoteReference w:id="3"/>
      </w:r>
      <w:r w:rsidRPr="00522E10">
        <w:t xml:space="preserve"> (v nadaljnjem besedilu: uredba o večletnem finančnem okviru), in zlasti člena 8 Uredbe,</w:t>
      </w:r>
    </w:p>
    <w:p w14:paraId="646543E4" w14:textId="2AA66D24" w:rsidR="00AC4E21" w:rsidRPr="00522E10" w:rsidRDefault="00AC4E21" w:rsidP="00AC4E21">
      <w:pPr>
        <w:pStyle w:val="NormalHanging12a"/>
        <w:rPr>
          <w:noProof/>
        </w:rPr>
      </w:pPr>
      <w:r w:rsidRPr="00522E10">
        <w:t>–</w:t>
      </w:r>
      <w:r w:rsidRPr="00522E10">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522E10">
        <w:t>poslovodenju</w:t>
      </w:r>
      <w:proofErr w:type="spellEnd"/>
      <w:r w:rsidRPr="00522E10">
        <w:t xml:space="preserve"> ter novih virih lastnih sredstev, vključno s časovnim načrtom za uvedbo novih virov lastnih sredstev</w:t>
      </w:r>
      <w:r w:rsidRPr="00522E10">
        <w:rPr>
          <w:rStyle w:val="FootnoteReference"/>
          <w:noProof/>
        </w:rPr>
        <w:footnoteReference w:id="4"/>
      </w:r>
      <w:r w:rsidRPr="00522E10">
        <w:t xml:space="preserve">, </w:t>
      </w:r>
      <w:r w:rsidR="006B5A8F">
        <w:t>ter</w:t>
      </w:r>
      <w:r w:rsidR="006B5A8F" w:rsidRPr="00522E10">
        <w:t xml:space="preserve"> </w:t>
      </w:r>
      <w:r w:rsidRPr="00522E10">
        <w:t>zlasti točke 9</w:t>
      </w:r>
      <w:r w:rsidR="006B5A8F">
        <w:t xml:space="preserve"> Sporazuma</w:t>
      </w:r>
      <w:r w:rsidRPr="00522E10">
        <w:t>,</w:t>
      </w:r>
    </w:p>
    <w:p w14:paraId="1BEA61F7" w14:textId="77777777" w:rsidR="00AC4E21" w:rsidRPr="00522E10" w:rsidRDefault="00AC4E21" w:rsidP="00AC4E21">
      <w:pPr>
        <w:pStyle w:val="NormalHanging12a"/>
        <w:rPr>
          <w:noProof/>
        </w:rPr>
      </w:pPr>
      <w:r w:rsidRPr="00522E10">
        <w:lastRenderedPageBreak/>
        <w:t>–</w:t>
      </w:r>
      <w:r w:rsidRPr="00522E10">
        <w:tab/>
        <w:t>ob upoštevanju evropskega stebra socialnih pravic,</w:t>
      </w:r>
    </w:p>
    <w:p w14:paraId="09BCF5EF" w14:textId="77777777" w:rsidR="00AC4E21" w:rsidRPr="00522E10" w:rsidRDefault="00AC4E21" w:rsidP="00AC4E21">
      <w:pPr>
        <w:pStyle w:val="NormalHanging12a"/>
        <w:rPr>
          <w:noProof/>
        </w:rPr>
      </w:pPr>
      <w:r w:rsidRPr="00522E10">
        <w:t>–</w:t>
      </w:r>
      <w:r w:rsidRPr="00522E10">
        <w:tab/>
        <w:t>ob upoštevanju mnenja Odbora za zaposlovanje in socialne zadeve,</w:t>
      </w:r>
    </w:p>
    <w:p w14:paraId="313383F4" w14:textId="77777777" w:rsidR="00AC4E21" w:rsidRPr="00522E10" w:rsidRDefault="00AC4E21" w:rsidP="00AC4E21">
      <w:pPr>
        <w:pStyle w:val="NormalHanging12a"/>
      </w:pPr>
      <w:r w:rsidRPr="00522E10">
        <w:t>–</w:t>
      </w:r>
      <w:r w:rsidRPr="00522E10">
        <w:tab/>
        <w:t>ob upoštevanju poročila Odbora za proračun (A10</w:t>
      </w:r>
      <w:r w:rsidRPr="00522E10">
        <w:noBreakHyphen/>
        <w:t>0030/2026),</w:t>
      </w:r>
    </w:p>
    <w:p w14:paraId="2059EEFA" w14:textId="77777777" w:rsidR="00AC4E21" w:rsidRPr="00522E10" w:rsidRDefault="00AC4E21" w:rsidP="00AC4E21">
      <w:pPr>
        <w:pStyle w:val="NormalHanging12a"/>
        <w:rPr>
          <w:noProof/>
        </w:rPr>
      </w:pPr>
      <w:r w:rsidRPr="00522E10">
        <w:t>A.</w:t>
      </w:r>
      <w:r w:rsidRPr="00522E10">
        <w:tab/>
        <w:t>ker je Unija vzpostavila zakonodajne in proračunske instrumente za zagotavljanje dodatne podpore delavcem, ki so jih prizadele posledice velikih strukturnih dogodkov in sprememb v svetovnih trgovinskih tokovih, ter za pomoč pri njihovi ponovni vključitvi na trg dela; ker se ta pomoč zagotovi prek finančne podpore delavcem;</w:t>
      </w:r>
    </w:p>
    <w:p w14:paraId="35319D4D" w14:textId="303E0B66" w:rsidR="00AC4E21" w:rsidRPr="00522E10" w:rsidRDefault="00AC4E21" w:rsidP="00AC4E21">
      <w:pPr>
        <w:pStyle w:val="NormalHanging12a"/>
        <w:rPr>
          <w:noProof/>
        </w:rPr>
      </w:pPr>
      <w:r w:rsidRPr="00522E10">
        <w:t>B.</w:t>
      </w:r>
      <w:r w:rsidRPr="00522E10">
        <w:tab/>
        <w:t>ker je Belgija vložila vlogo EGF/2025/004 BE/</w:t>
      </w:r>
      <w:proofErr w:type="spellStart"/>
      <w:r w:rsidRPr="00522E10">
        <w:t>Tupperware</w:t>
      </w:r>
      <w:proofErr w:type="spellEnd"/>
      <w:r w:rsidRPr="00522E10">
        <w:t xml:space="preserve"> za finančni prispevek iz </w:t>
      </w:r>
      <w:r w:rsidR="002C75C8">
        <w:t xml:space="preserve">Evropskega sklada za prilagoditev globalizaciji </w:t>
      </w:r>
      <w:r w:rsidR="002C75C8" w:rsidRPr="00522E10">
        <w:t xml:space="preserve">za presežne delavce </w:t>
      </w:r>
      <w:r w:rsidR="002C75C8">
        <w:t>(</w:t>
      </w:r>
      <w:r w:rsidRPr="00522E10">
        <w:t>ESPG</w:t>
      </w:r>
      <w:r w:rsidR="002C75C8">
        <w:t>)</w:t>
      </w:r>
      <w:r w:rsidRPr="00522E10">
        <w:t xml:space="preserve"> zaradi odpustitve 267 presežnih delavcev</w:t>
      </w:r>
      <w:r w:rsidRPr="00522E10">
        <w:rPr>
          <w:noProof/>
          <w:vertAlign w:val="superscript"/>
        </w:rPr>
        <w:footnoteReference w:id="5"/>
      </w:r>
      <w:r w:rsidRPr="00522E10">
        <w:t xml:space="preserve"> v podjetju </w:t>
      </w:r>
      <w:proofErr w:type="spellStart"/>
      <w:r w:rsidRPr="00522E10">
        <w:t>Tupperware</w:t>
      </w:r>
      <w:proofErr w:type="spellEnd"/>
      <w:r w:rsidRPr="00522E10">
        <w:t xml:space="preserve"> General Services NV (</w:t>
      </w:r>
      <w:proofErr w:type="spellStart"/>
      <w:r w:rsidRPr="00522E10">
        <w:t>Tupperware</w:t>
      </w:r>
      <w:proofErr w:type="spellEnd"/>
      <w:r w:rsidRPr="00522E10">
        <w:t>) v gospodarskem sektorju, razvrščenem v oddelek 22 NACE Revizija 2 (Proizvodnja izdelkov iz gume in plastičnih mas), v provinci Vzhodna Flandrija (BE23) v referenčnem obdobju od 17. februarja 2025 do 17. junija 2025;</w:t>
      </w:r>
    </w:p>
    <w:p w14:paraId="4B6C5A74" w14:textId="77777777" w:rsidR="00AC4E21" w:rsidRPr="00522E10" w:rsidRDefault="00AC4E21" w:rsidP="00AC4E21">
      <w:pPr>
        <w:pStyle w:val="NormalHanging12a"/>
        <w:rPr>
          <w:noProof/>
        </w:rPr>
      </w:pPr>
      <w:r w:rsidRPr="00522E10">
        <w:t>C.</w:t>
      </w:r>
      <w:r w:rsidRPr="00522E10">
        <w:tab/>
        <w:t>ker vloga temelji na merilih za pomoč iz člena 4(2), točka (a), uredbe o ESPG, ki zahteva prenehanje opravljanja dejavnosti za vsaj 200 presežnih delavcev ali samozaposlenih oseb v štirimesečnem referenčnem obdobju v podjetju v državi članici;</w:t>
      </w:r>
    </w:p>
    <w:p w14:paraId="16D6F8EC" w14:textId="77777777" w:rsidR="00AC4E21" w:rsidRPr="00522E10" w:rsidRDefault="00AC4E21" w:rsidP="00AC4E21">
      <w:pPr>
        <w:pStyle w:val="NormalHanging12a"/>
        <w:rPr>
          <w:noProof/>
        </w:rPr>
      </w:pPr>
      <w:r w:rsidRPr="00522E10">
        <w:t>D.</w:t>
      </w:r>
      <w:r w:rsidRPr="00522E10">
        <w:tab/>
        <w:t xml:space="preserve">ker je podjetje </w:t>
      </w:r>
      <w:proofErr w:type="spellStart"/>
      <w:r w:rsidRPr="00522E10">
        <w:t>Tupperware</w:t>
      </w:r>
      <w:proofErr w:type="spellEnd"/>
      <w:r w:rsidRPr="00522E10">
        <w:t xml:space="preserve"> stečaj prijavilo 17. februarja 2025; ker se v Belgiji število stečajev od leta 2022 povečuje;</w:t>
      </w:r>
    </w:p>
    <w:p w14:paraId="501834F9" w14:textId="77777777" w:rsidR="00AC4E21" w:rsidRPr="00522E10" w:rsidRDefault="00AC4E21" w:rsidP="00AC4E21">
      <w:pPr>
        <w:pStyle w:val="NormalHanging12a"/>
        <w:rPr>
          <w:noProof/>
        </w:rPr>
      </w:pPr>
      <w:r w:rsidRPr="00522E10">
        <w:t>E.</w:t>
      </w:r>
      <w:r w:rsidRPr="00522E10">
        <w:tab/>
        <w:t>ker je Belgija navedla, da služba VDAB zagotavlja nacionalno predhodno financiranje in sofinanciranje ukrepov;</w:t>
      </w:r>
    </w:p>
    <w:p w14:paraId="4BB519FC" w14:textId="77777777" w:rsidR="00AC4E21" w:rsidRPr="00522E10" w:rsidRDefault="00AC4E21" w:rsidP="00AC4E21">
      <w:pPr>
        <w:pStyle w:val="NormalHanging12a"/>
        <w:rPr>
          <w:noProof/>
        </w:rPr>
      </w:pPr>
      <w:r w:rsidRPr="00522E10">
        <w:t>F.</w:t>
      </w:r>
      <w:r w:rsidRPr="00522E10">
        <w:tab/>
        <w:t>ker so bile izpolnjene zahteve glede kolektivnega odpuščanja, določene v zakonodaji Unije in nacionalni zakonodaji;</w:t>
      </w:r>
    </w:p>
    <w:p w14:paraId="7DB2B71A" w14:textId="77777777" w:rsidR="00AC4E21" w:rsidRPr="00522E10" w:rsidRDefault="00AC4E21" w:rsidP="00AC4E21">
      <w:pPr>
        <w:pStyle w:val="NormalHanging12a"/>
        <w:rPr>
          <w:noProof/>
        </w:rPr>
      </w:pPr>
      <w:r w:rsidRPr="00522E10">
        <w:t>G.</w:t>
      </w:r>
      <w:r w:rsidRPr="00522E10">
        <w:tab/>
        <w:t>ker bi morali biti finančni prispevki iz ESPG usmerjeni predvsem v aktivne ukrepe politike trga dela in prilagojene storitve, katerih cilj je, da se upravičence hitro in ponovno vključi v dostojno in trajnostno zaposlitev, hkrati pa pripravi na bolj zeleno in bolj digitalno evropsko gospodarstvo;</w:t>
      </w:r>
    </w:p>
    <w:p w14:paraId="4C27697D" w14:textId="77777777" w:rsidR="00AC4E21" w:rsidRPr="00522E10" w:rsidRDefault="00AC4E21" w:rsidP="00AC4E21">
      <w:pPr>
        <w:pStyle w:val="NormalHanging12a"/>
        <w:rPr>
          <w:noProof/>
        </w:rPr>
      </w:pPr>
      <w:r w:rsidRPr="00522E10">
        <w:t>H.</w:t>
      </w:r>
      <w:r w:rsidRPr="00522E10">
        <w:tab/>
        <w:t>ker sredstva ESPG ne presegajo najvišjega letnega zneska 30 milijonov EUR (v cenah iz leta 2018)</w:t>
      </w:r>
      <w:r w:rsidRPr="00522E10">
        <w:rPr>
          <w:noProof/>
          <w:vertAlign w:val="superscript"/>
        </w:rPr>
        <w:footnoteReference w:id="6"/>
      </w:r>
      <w:r w:rsidRPr="00522E10">
        <w:t>;</w:t>
      </w:r>
    </w:p>
    <w:p w14:paraId="1F06C2CB" w14:textId="77777777" w:rsidR="00AC4E21" w:rsidRPr="00522E10" w:rsidRDefault="00AC4E21" w:rsidP="00AC4E21">
      <w:pPr>
        <w:pStyle w:val="NormalHanging12a"/>
        <w:rPr>
          <w:noProof/>
        </w:rPr>
      </w:pPr>
      <w:r w:rsidRPr="00522E10">
        <w:t>1.</w:t>
      </w:r>
      <w:r w:rsidRPr="00522E10">
        <w:tab/>
        <w:t>se strinja s Komisijo, da so pogoji iz uredbe o ESPG, zlasti člena 4(2), točka (a), izpolnjeni in da je Belgija na podlagi te uredbe upravičena do finančnega prispevka v znesku 1 622 650 EUR, kar je 85 % skupnih stroškov v znesku 1 909 000 EUR, od česar stroški prilagojenih storitev znašajo 1 843 500 EUR, stroški priprave, upravljanja, informiranja in obveščanja javnosti ter nadzora in poročanja pa 65 500 EUR;</w:t>
      </w:r>
    </w:p>
    <w:p w14:paraId="616BAC2D" w14:textId="77777777" w:rsidR="00AC4E21" w:rsidRPr="00522E10" w:rsidRDefault="00AC4E21" w:rsidP="00AC4E21">
      <w:pPr>
        <w:pStyle w:val="NormalHanging12a"/>
        <w:rPr>
          <w:noProof/>
        </w:rPr>
      </w:pPr>
      <w:r w:rsidRPr="00522E10">
        <w:t>2.</w:t>
      </w:r>
      <w:r w:rsidRPr="00522E10">
        <w:tab/>
        <w:t xml:space="preserve">ugotavlja, da so belgijski organi vlogo predložili 28. avgusta 2025, Komisija pa je na osnovi dodatnih informacij, ki jih je posredovala Belgija, oceno te vloge dokončala 20. januarja 2026, skoraj pet mesecev pozneje, in jo še istega dne posredovala Parlamentu; poudarja, da je pomembno skrajšati čas med predložitvijo vloge za pomoč iz ESPG in sklepom o financiranju, hkrati pa v celoti zaščititi pravice Evropskega </w:t>
      </w:r>
      <w:r w:rsidRPr="00522E10">
        <w:lastRenderedPageBreak/>
        <w:t>parlamenta kot veje proračunskega organa;</w:t>
      </w:r>
    </w:p>
    <w:p w14:paraId="7AB930A8" w14:textId="77777777" w:rsidR="00AC4E21" w:rsidRPr="00522E10" w:rsidRDefault="00AC4E21" w:rsidP="00AC4E21">
      <w:pPr>
        <w:pStyle w:val="NormalHanging12a"/>
        <w:rPr>
          <w:noProof/>
        </w:rPr>
      </w:pPr>
      <w:r w:rsidRPr="00522E10">
        <w:t>3.</w:t>
      </w:r>
      <w:r w:rsidRPr="00522E10">
        <w:tab/>
        <w:t xml:space="preserve">ugotavlja, da se vloga nanaša na 267 ciljnih upravičencev, ki so postali presežni v podjetju </w:t>
      </w:r>
      <w:proofErr w:type="spellStart"/>
      <w:r w:rsidRPr="00522E10">
        <w:t>Tupperware</w:t>
      </w:r>
      <w:proofErr w:type="spellEnd"/>
      <w:r w:rsidRPr="00522E10">
        <w:t>;</w:t>
      </w:r>
    </w:p>
    <w:p w14:paraId="2D8C95F8" w14:textId="77777777" w:rsidR="00AC4E21" w:rsidRPr="00522E10" w:rsidRDefault="00AC4E21" w:rsidP="00AC4E21">
      <w:pPr>
        <w:pStyle w:val="NormalHanging12a"/>
        <w:rPr>
          <w:noProof/>
        </w:rPr>
      </w:pPr>
      <w:r w:rsidRPr="00522E10">
        <w:t>4.</w:t>
      </w:r>
      <w:r w:rsidRPr="00522E10">
        <w:tab/>
        <w:t xml:space="preserve">ugotavlja, da se je podjetje </w:t>
      </w:r>
      <w:proofErr w:type="spellStart"/>
      <w:r w:rsidRPr="00522E10">
        <w:t>Tupperware</w:t>
      </w:r>
      <w:proofErr w:type="spellEnd"/>
      <w:r w:rsidRPr="00522E10">
        <w:t xml:space="preserve"> nahajalo v Aalstu v provinci Vzhodna Flandrija, kjer je bila zaposlena le vsaka druga oseba, v primerjavi s povprečno dvema tretjinama oseb v regiji Flandrija že pred stečajem podjetja </w:t>
      </w:r>
      <w:proofErr w:type="spellStart"/>
      <w:r w:rsidRPr="00522E10">
        <w:t>Tupperware</w:t>
      </w:r>
      <w:proofErr w:type="spellEnd"/>
      <w:r w:rsidRPr="00522E10">
        <w:t>; obžaluje, da se bodo zaradi teh presežkov razmere še poslabšale; poudarja, da je treba hitro ukrepati, da bi preprečili strukturno nazadovanje regije;</w:t>
      </w:r>
    </w:p>
    <w:p w14:paraId="0562052B" w14:textId="77777777" w:rsidR="00AC4E21" w:rsidRPr="00522E10" w:rsidRDefault="00AC4E21" w:rsidP="00AC4E21">
      <w:pPr>
        <w:pStyle w:val="NormalHanging12a"/>
        <w:rPr>
          <w:noProof/>
        </w:rPr>
      </w:pPr>
      <w:r w:rsidRPr="00522E10">
        <w:t>5.</w:t>
      </w:r>
      <w:r w:rsidRPr="00522E10">
        <w:tab/>
        <w:t xml:space="preserve">obžaluje, da so upniki oktobra 2024 prevzeli ameriško matično podjetje </w:t>
      </w:r>
      <w:proofErr w:type="spellStart"/>
      <w:r w:rsidRPr="00522E10">
        <w:t>Tupperware</w:t>
      </w:r>
      <w:proofErr w:type="spellEnd"/>
      <w:r w:rsidRPr="00522E10">
        <w:t xml:space="preserve"> </w:t>
      </w:r>
      <w:proofErr w:type="spellStart"/>
      <w:r w:rsidRPr="00522E10">
        <w:t>Brands</w:t>
      </w:r>
      <w:proofErr w:type="spellEnd"/>
      <w:r w:rsidRPr="00522E10">
        <w:t xml:space="preserve"> ter zaradi obsežnega prestrukturiranja preklicali proizvodnjo in licence, ki so bile podeljene podjetju </w:t>
      </w:r>
      <w:proofErr w:type="spellStart"/>
      <w:r w:rsidRPr="00522E10">
        <w:t>Tupperware</w:t>
      </w:r>
      <w:proofErr w:type="spellEnd"/>
      <w:r w:rsidRPr="00522E10">
        <w:t xml:space="preserve"> General Services NV, zaradi česar je belgijska hčerinska družba postala finančno neuspešna, kar je 17. februarja 2025 privedlo do njenega stečaja;</w:t>
      </w:r>
    </w:p>
    <w:p w14:paraId="1C6CED55" w14:textId="77777777" w:rsidR="00AC4E21" w:rsidRPr="00522E10" w:rsidRDefault="00AC4E21" w:rsidP="00AC4E21">
      <w:pPr>
        <w:pStyle w:val="NormalHanging12a"/>
        <w:rPr>
          <w:noProof/>
        </w:rPr>
      </w:pPr>
      <w:r w:rsidRPr="00522E10">
        <w:t>6.</w:t>
      </w:r>
      <w:r w:rsidRPr="00522E10">
        <w:tab/>
        <w:t>pozdravlja pobudo skupine evropskih podjetnikov za oživitev blagovne znamke v Nemčiji, Franciji, Belgiji, Italiji in na Poljskem;</w:t>
      </w:r>
    </w:p>
    <w:p w14:paraId="19D99DE3" w14:textId="77777777" w:rsidR="00AC4E21" w:rsidRPr="00522E10" w:rsidRDefault="00AC4E21" w:rsidP="00AC4E21">
      <w:pPr>
        <w:pStyle w:val="NormalHanging12a"/>
        <w:rPr>
          <w:noProof/>
        </w:rPr>
      </w:pPr>
      <w:r w:rsidRPr="00522E10">
        <w:t>7.</w:t>
      </w:r>
      <w:r w:rsidRPr="00522E10">
        <w:tab/>
        <w:t>poudarja, da je v Flandriji tveganje za brezposelnost pri ljudeh z nizko stopnjo izobrazbe več kot dvakrat večje; ugotavlja, da tretjina presežnih delavcev nima več kot nižje sekundarne izobrazbe; poziva belgijske organe, naj zagotovijo posebno podporo, prilagojeno tem profilom, da bi delavcem pomagali pri premagovanju njihovih pomanjkljivosti in pri iskanju nove zaposlitve, hkrati pa sprejmejo ukrepe za zmanjšanje stečajev in odpravo socialnih razlik, ki vodijo v izključitev delovne sile;</w:t>
      </w:r>
    </w:p>
    <w:p w14:paraId="4C8AD64B" w14:textId="77777777" w:rsidR="00AC4E21" w:rsidRPr="00522E10" w:rsidRDefault="00AC4E21" w:rsidP="00AC4E21">
      <w:pPr>
        <w:pStyle w:val="NormalHanging12a"/>
        <w:rPr>
          <w:noProof/>
        </w:rPr>
      </w:pPr>
      <w:r w:rsidRPr="00522E10">
        <w:t>8.</w:t>
      </w:r>
      <w:r w:rsidRPr="00522E10">
        <w:tab/>
        <w:t xml:space="preserve">opozarja, da v dogovoru s sindikati, strokovnjaki in socialnimi partnerji prilagojene storitve, ki bodo zagotovljene delavcem, vključujejo naslednje ukrepe: informativne dogodke za ponovno vključitev na trg dela, storitve iskanja nadomestne zaposlitve, vključno z usposabljanjem na področju IKT; pomoč pri iskanju zaposlitve z usmerjanjem in pomočjo pri iskanju zaposlitve, usposabljanje in preusposabljanje, karierni sejem, iskanje delovnih mest ter povezovanje ponudbe delovnih mest in povpraševanja po njih; poudarja pomen spodbujanja visokokakovostnih, v prihodnost usmerjenih delovnih mest, da se zagotovi dolgoročna gospodarska in socialna odpornost; poziva belgijske oblasti, naj vzpostavijo dialog z novimi evropskimi predstavniki podjetja </w:t>
      </w:r>
      <w:proofErr w:type="spellStart"/>
      <w:r w:rsidRPr="00522E10">
        <w:t>Tupperware</w:t>
      </w:r>
      <w:proofErr w:type="spellEnd"/>
      <w:r w:rsidRPr="00522E10">
        <w:t>, da bi preučili možnosti za ponovno vključitev presežnih delavcev v njihove gospodarske dejavnosti;</w:t>
      </w:r>
    </w:p>
    <w:p w14:paraId="054BEA5E" w14:textId="77777777" w:rsidR="00AC4E21" w:rsidRPr="00522E10" w:rsidRDefault="00AC4E21" w:rsidP="00AC4E21">
      <w:pPr>
        <w:pStyle w:val="NormalHanging12a"/>
        <w:rPr>
          <w:noProof/>
        </w:rPr>
      </w:pPr>
      <w:r w:rsidRPr="00522E10">
        <w:t>9.</w:t>
      </w:r>
      <w:r w:rsidRPr="00522E10">
        <w:tab/>
        <w:t>poudarja, da so kvalifikacije ter znanja in spretnosti odpuščenih delavcev še vedno ključnega pomena za evropsko gospodarstvo, ki bo kos izzivom prihodnosti; zato meni, da je treba mobilizacijo sredstev ESPG vključiti v širši politični odziv na vseh političnih ravneh, da bi prizadetim delavcem zagotovili ustrezne priložnosti v skladu z njihovimi kvalifikacijami ter znanji in spretnostmi; opozarja tudi, da je ESPG instrument solidarnosti in pravičnega prehoda ter da mora biti glavna naloga Unije predvsem preprečiti takšna zapiranja; meni, da ESPG sicer zagotavlja potrebno podporo prizadetim delavcem, vendar so močnejša industrijska politika, trdnejše, bolj trajnostno in odpornejše gospodarstvo ter zmanjšanje strateških odvisnosti bistveni za zaščito evropske industrijske zaposlitvene baze;</w:t>
      </w:r>
    </w:p>
    <w:p w14:paraId="4C6AD9EF" w14:textId="77777777" w:rsidR="00AC4E21" w:rsidRPr="00522E10" w:rsidRDefault="00AC4E21" w:rsidP="00AC4E21">
      <w:pPr>
        <w:pStyle w:val="NormalHanging12a"/>
        <w:rPr>
          <w:bCs/>
          <w:iCs/>
          <w:noProof/>
        </w:rPr>
      </w:pPr>
      <w:r w:rsidRPr="00522E10">
        <w:t>10.</w:t>
      </w:r>
      <w:r w:rsidRPr="00522E10">
        <w:tab/>
        <w:t xml:space="preserve">poudarja, da morajo belgijski organi zagotoviti prepoznavnost financiranja Unije in njegovo dodano vrednost, tako da upravičencem, regionalnim in lokalnim organom, </w:t>
      </w:r>
      <w:r w:rsidRPr="00522E10">
        <w:lastRenderedPageBreak/>
        <w:t>socialnim partnerjem in širši javnosti zagotovijo učinkovite in ciljno usmerjene informacije;</w:t>
      </w:r>
    </w:p>
    <w:p w14:paraId="3A379219" w14:textId="77777777" w:rsidR="00AC4E21" w:rsidRPr="00522E10" w:rsidRDefault="00AC4E21" w:rsidP="00AC4E21">
      <w:pPr>
        <w:pStyle w:val="NormalHanging12a"/>
        <w:rPr>
          <w:noProof/>
        </w:rPr>
      </w:pPr>
      <w:r w:rsidRPr="00522E10">
        <w:t>11.</w:t>
      </w:r>
      <w:r w:rsidRPr="00522E10">
        <w:tab/>
        <w:t>poziva k temeljiti končni oceni izvedenih ukrepov, vključno z jasnimi informacijami o tem, kako so bila sredstva porabljena in ali so bila porabljena v skladu z odobrenimi načrti; poudarja, da bi morale te ocene temeljiti na jasno opredeljenih ciljih in merljivih rezultatih, kar bi omogočilo oceno rezultatov, doseženih za zadevne delavce; poudarja, kako pomembno je zagotoviti hitrejše in učinkovitejše posredovanje, in v zvezi s tem opozarja, da je treba v naslednjem večletnem finančnem okviru 2028–2034 preučiti načine za zagotovitev trajnosti ESPG ali programa, ki ga bo nasledil;</w:t>
      </w:r>
    </w:p>
    <w:p w14:paraId="00EC8E9F" w14:textId="77777777" w:rsidR="00AC4E21" w:rsidRPr="00522E10" w:rsidRDefault="00AC4E21" w:rsidP="00AC4E21">
      <w:pPr>
        <w:pStyle w:val="NormalHanging12a"/>
        <w:rPr>
          <w:noProof/>
        </w:rPr>
      </w:pPr>
      <w:r w:rsidRPr="00522E10">
        <w:t>12.</w:t>
      </w:r>
      <w:r w:rsidRPr="00522E10">
        <w:tab/>
        <w:t>ugotavlja, da je Belgija prilagojene storitve za ciljne upravičence začela izvajati 17. februarja 2025 in da je torej obdobje upravičenosti do finančnega prispevka iz ESPG začelo teči istega dne in se bo končalo 24 mesecev po začetku veljavnosti sklepa o financiranju;</w:t>
      </w:r>
    </w:p>
    <w:p w14:paraId="0E280C75" w14:textId="77777777" w:rsidR="00AC4E21" w:rsidRPr="00522E10" w:rsidRDefault="00AC4E21" w:rsidP="00AC4E21">
      <w:pPr>
        <w:pStyle w:val="NormalHanging12a"/>
        <w:rPr>
          <w:noProof/>
        </w:rPr>
      </w:pPr>
      <w:r w:rsidRPr="00522E10">
        <w:t>13.</w:t>
      </w:r>
      <w:r w:rsidRPr="00522E10">
        <w:tab/>
        <w:t>ugotavlja, da je Belgija prve upravne odhodke za izvajanje ESPG imela 17. februarja 2025 in da bodo tovrstni odhodki torej upravičeni do finančnega prispevka iz ESPG od tega datuma do izteka 31 mesecev od datuma začetka veljavnosti sklepa o financiranju;</w:t>
      </w:r>
    </w:p>
    <w:p w14:paraId="31729BCE" w14:textId="4DB5CABB" w:rsidR="00AC4E21" w:rsidRPr="00522E10" w:rsidRDefault="00AC4E21" w:rsidP="00AC4E21">
      <w:pPr>
        <w:pStyle w:val="NormalHanging12a"/>
        <w:rPr>
          <w:noProof/>
        </w:rPr>
      </w:pPr>
      <w:r w:rsidRPr="00522E10">
        <w:t>14.</w:t>
      </w:r>
      <w:r w:rsidRPr="00522E10">
        <w:tab/>
      </w:r>
      <w:r w:rsidR="00D15C6F" w:rsidRPr="00522E10">
        <w:t>ugotavlja</w:t>
      </w:r>
      <w:r w:rsidR="00407B4B">
        <w:t>,</w:t>
      </w:r>
      <w:r w:rsidR="00D15C6F" w:rsidRPr="00522E10" w:rsidDel="00D15C6F">
        <w:t xml:space="preserve"> </w:t>
      </w:r>
      <w:r w:rsidRPr="00522E10">
        <w:t>da so belgijski organi dali zagotovila, da bosta pri dostopu do predlaganih ukrepov in njihovem izvajanju spoštovani načeli enake obravnave in nediskriminacije ter da bo preprečeno vsako dvojno financiranje;</w:t>
      </w:r>
    </w:p>
    <w:p w14:paraId="14CFEEC4" w14:textId="77777777" w:rsidR="00AC4E21" w:rsidRPr="00522E10" w:rsidRDefault="00AC4E21" w:rsidP="00AC4E21">
      <w:pPr>
        <w:pStyle w:val="NormalHanging12a"/>
        <w:rPr>
          <w:noProof/>
        </w:rPr>
      </w:pPr>
      <w:r w:rsidRPr="00522E10">
        <w:t>15.</w:t>
      </w:r>
      <w:r w:rsidRPr="00522E10">
        <w:tab/>
        <w:t>ponavlja, da pomoč iz ESPG ne sme nadomestiti ukrepov, za katere so odgovorna podjetja na podlagi nacionalnega prava ali kolektivnih pogodb;</w:t>
      </w:r>
    </w:p>
    <w:p w14:paraId="08078486" w14:textId="77777777" w:rsidR="00AC4E21" w:rsidRPr="00522E10" w:rsidRDefault="00AC4E21" w:rsidP="00AC4E21">
      <w:pPr>
        <w:pStyle w:val="NormalHanging12a"/>
        <w:rPr>
          <w:noProof/>
        </w:rPr>
      </w:pPr>
      <w:r w:rsidRPr="00522E10">
        <w:t>16.</w:t>
      </w:r>
      <w:r w:rsidRPr="00522E10">
        <w:tab/>
        <w:t>odobri sklep, priložen tej resoluciji;</w:t>
      </w:r>
    </w:p>
    <w:p w14:paraId="2373C410" w14:textId="77777777" w:rsidR="00AC4E21" w:rsidRPr="00522E10" w:rsidRDefault="00AC4E21" w:rsidP="00AC4E21">
      <w:pPr>
        <w:pStyle w:val="NormalHanging12a"/>
        <w:rPr>
          <w:noProof/>
        </w:rPr>
      </w:pPr>
      <w:r w:rsidRPr="00522E10">
        <w:t>17.</w:t>
      </w:r>
      <w:r w:rsidRPr="00522E10">
        <w:tab/>
        <w:t xml:space="preserve">naroči svoji predsednici, naj podpiše ta sklep skupaj s predsedujočim Svetu ter poskrbi za njegovo objavo v </w:t>
      </w:r>
      <w:r w:rsidRPr="00522E10">
        <w:rPr>
          <w:i/>
        </w:rPr>
        <w:t>Uradnem listu Evropske unije</w:t>
      </w:r>
      <w:r w:rsidRPr="00522E10">
        <w:t>;</w:t>
      </w:r>
    </w:p>
    <w:p w14:paraId="2B355E90" w14:textId="77777777" w:rsidR="00AC4E21" w:rsidRPr="00522E10" w:rsidRDefault="00AC4E21" w:rsidP="00AC4E21">
      <w:pPr>
        <w:pStyle w:val="NormalHanging12a"/>
        <w:rPr>
          <w:noProof/>
        </w:rPr>
      </w:pPr>
      <w:r w:rsidRPr="00522E10">
        <w:t>18.</w:t>
      </w:r>
      <w:r w:rsidRPr="00522E10">
        <w:tab/>
        <w:t>naroči svoji predsednici, naj to resolucijo skupaj s prilogo posreduje Svetu in Komisiji.</w:t>
      </w:r>
    </w:p>
    <w:p w14:paraId="397973BF" w14:textId="77777777" w:rsidR="00AC4E21" w:rsidRPr="00522E10" w:rsidRDefault="00AC4E21" w:rsidP="00AC4E21">
      <w:pPr>
        <w:rPr>
          <w:noProof/>
        </w:rPr>
      </w:pPr>
    </w:p>
    <w:p w14:paraId="035A35C7" w14:textId="77777777" w:rsidR="00AC4E21" w:rsidRPr="00522E10" w:rsidRDefault="00AC4E21" w:rsidP="00AC4E21">
      <w:pPr>
        <w:pStyle w:val="PageHeading"/>
        <w:rPr>
          <w:noProof/>
        </w:rPr>
        <w:sectPr w:rsidR="00AC4E21" w:rsidRPr="00522E10" w:rsidSect="00522E1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D90882" w14:textId="77777777" w:rsidR="00081E87" w:rsidRPr="00081E87" w:rsidRDefault="00AC4E21" w:rsidP="00081E87">
      <w:pPr>
        <w:pStyle w:val="PageHeading"/>
        <w:rPr>
          <w:rFonts w:ascii="Times New Roman" w:hAnsi="Times New Roman" w:cs="Times New Roman"/>
        </w:rPr>
      </w:pPr>
      <w:bookmarkStart w:id="6" w:name="_Toc223514708"/>
      <w:r w:rsidRPr="00081E87">
        <w:rPr>
          <w:rFonts w:ascii="Times New Roman" w:hAnsi="Times New Roman" w:cs="Times New Roman"/>
        </w:rPr>
        <w:lastRenderedPageBreak/>
        <w:t>PRILOGA</w:t>
      </w:r>
    </w:p>
    <w:p w14:paraId="36CDC4BF" w14:textId="7BED0B57" w:rsidR="00AC4E21" w:rsidRPr="00081E87" w:rsidRDefault="00AC4E21" w:rsidP="00081E87">
      <w:pPr>
        <w:pStyle w:val="PageHeading"/>
        <w:rPr>
          <w:rFonts w:ascii="Times New Roman" w:hAnsi="Times New Roman" w:cs="Times New Roman"/>
          <w:noProof/>
        </w:rPr>
      </w:pPr>
      <w:r w:rsidRPr="00081E87">
        <w:rPr>
          <w:rFonts w:ascii="Times New Roman" w:hAnsi="Times New Roman" w:cs="Times New Roman"/>
        </w:rPr>
        <w:t>SKLEP EVROPSKEGA PARLAMENTA IN SVETA</w:t>
      </w:r>
      <w:bookmarkEnd w:id="6"/>
    </w:p>
    <w:p w14:paraId="0F01A8BC" w14:textId="77777777" w:rsidR="00AC4E21" w:rsidRDefault="00AC4E21" w:rsidP="00081E87">
      <w:pPr>
        <w:pStyle w:val="Institutionquiagit"/>
        <w:jc w:val="center"/>
        <w:rPr>
          <w:b/>
        </w:rPr>
      </w:pPr>
      <w:r w:rsidRPr="00522E10">
        <w:rPr>
          <w:b/>
        </w:rPr>
        <w:t>o uporabi Evropskega sklada za prilagoditev globalizaciji za presežne delavce na podlagi vloge Belgije – EGF/2025/004 BE/</w:t>
      </w:r>
      <w:proofErr w:type="spellStart"/>
      <w:r w:rsidRPr="00522E10">
        <w:rPr>
          <w:b/>
        </w:rPr>
        <w:t>Tupperware</w:t>
      </w:r>
      <w:proofErr w:type="spellEnd"/>
    </w:p>
    <w:p w14:paraId="7CE284F0" w14:textId="654B82F5" w:rsidR="00081E87" w:rsidRPr="00081E87" w:rsidRDefault="00081E87" w:rsidP="00081E87">
      <w:pPr>
        <w:widowControl/>
        <w:spacing w:before="240" w:after="240"/>
        <w:rPr>
          <w:lang w:eastAsia="en-US"/>
        </w:rPr>
      </w:pPr>
      <w:r w:rsidRPr="00081E87">
        <w:rPr>
          <w:i/>
        </w:rPr>
        <w:t>(Besedilo te priloge tukaj ni navedeno, saj je enako končnemu aktu, Sklepu (EU) 202</w:t>
      </w:r>
      <w:r w:rsidRPr="00081E87">
        <w:rPr>
          <w:i/>
        </w:rPr>
        <w:t>6</w:t>
      </w:r>
      <w:r w:rsidRPr="00081E87">
        <w:rPr>
          <w:i/>
        </w:rPr>
        <w:t>/</w:t>
      </w:r>
      <w:r w:rsidRPr="00081E87">
        <w:rPr>
          <w:i/>
        </w:rPr>
        <w:t>723</w:t>
      </w:r>
      <w:r w:rsidRPr="00081E87">
        <w:rPr>
          <w:i/>
        </w:rPr>
        <w:t>.)</w:t>
      </w:r>
    </w:p>
    <w:sectPr w:rsidR="00081E87" w:rsidRPr="00081E87" w:rsidSect="00522E1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084F7" w14:textId="77777777" w:rsidR="00A85C31" w:rsidRPr="00522E10" w:rsidRDefault="00A85C31">
      <w:r w:rsidRPr="00522E10">
        <w:separator/>
      </w:r>
    </w:p>
  </w:endnote>
  <w:endnote w:type="continuationSeparator" w:id="0">
    <w:p w14:paraId="18048E03" w14:textId="77777777" w:rsidR="00A85C31" w:rsidRPr="00522E10" w:rsidRDefault="00A85C31">
      <w:r w:rsidRPr="00522E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D3989" w14:textId="77777777" w:rsidR="00AC4E21" w:rsidRPr="00522E10" w:rsidRDefault="00AC4E21" w:rsidP="008A39F9">
    <w:pPr>
      <w:pStyle w:val="EPFooter"/>
    </w:pPr>
    <w:r w:rsidRPr="00522E10">
      <w:t>PE</w:t>
    </w:r>
    <w:r w:rsidRPr="00522E10">
      <w:rPr>
        <w:rStyle w:val="HideTWBExt"/>
      </w:rPr>
      <w:t>&lt;NoPE&gt;</w:t>
    </w:r>
    <w:r w:rsidRPr="00522E10">
      <w:t>782.416</w:t>
    </w:r>
    <w:r w:rsidRPr="00522E10">
      <w:rPr>
        <w:rStyle w:val="HideTWBExt"/>
      </w:rPr>
      <w:t>&lt;/NoPE&gt;&lt;Version&gt;</w:t>
    </w:r>
    <w:r w:rsidRPr="00522E10">
      <w:t>v02-00</w:t>
    </w:r>
    <w:r w:rsidRPr="00522E10">
      <w:rPr>
        <w:rStyle w:val="HideTWBExt"/>
      </w:rPr>
      <w:t>&lt;/Version&gt;</w:t>
    </w:r>
    <w:r w:rsidRPr="00522E10">
      <w:tab/>
    </w:r>
    <w:r w:rsidRPr="00522E10">
      <w:fldChar w:fldCharType="begin"/>
    </w:r>
    <w:r w:rsidRPr="00522E10">
      <w:instrText xml:space="preserve"> PAGE  \* MERGEFORMAT </w:instrText>
    </w:r>
    <w:r w:rsidRPr="00522E10">
      <w:fldChar w:fldCharType="separate"/>
    </w:r>
    <w:r w:rsidRPr="00522E10">
      <w:rPr>
        <w:noProof/>
      </w:rPr>
      <w:t>1</w:t>
    </w:r>
    <w:r w:rsidRPr="00522E10">
      <w:fldChar w:fldCharType="end"/>
    </w:r>
    <w:r w:rsidRPr="00522E10">
      <w:t>/</w:t>
    </w:r>
    <w:fldSimple w:instr=" NUMPAGES  \* MERGEFORMAT ">
      <w:r w:rsidRPr="00522E10">
        <w:rPr>
          <w:noProof/>
        </w:rPr>
        <w:t>2</w:t>
      </w:r>
    </w:fldSimple>
    <w:r w:rsidRPr="00522E10">
      <w:tab/>
    </w:r>
    <w:r w:rsidRPr="00522E10">
      <w:rPr>
        <w:rStyle w:val="HideTWBExt"/>
      </w:rPr>
      <w:t>&lt;PathFdR&gt;</w:t>
    </w:r>
    <w:r w:rsidRPr="00522E10">
      <w:t>RR\1338392SL.docx</w:t>
    </w:r>
    <w:r w:rsidRPr="00522E10">
      <w:rPr>
        <w:rStyle w:val="HideTWBExt"/>
      </w:rPr>
      <w:t>&lt;/PathFdR&gt;</w:t>
    </w:r>
  </w:p>
  <w:p w14:paraId="584537BA" w14:textId="77777777" w:rsidR="00AC4E21" w:rsidRPr="00522E10" w:rsidRDefault="00AC4E21" w:rsidP="008A39F9">
    <w:pPr>
      <w:pStyle w:val="EPFooter2"/>
    </w:pPr>
    <w:r w:rsidRPr="00522E10">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CC92" w14:textId="77777777" w:rsidR="00AC4E21" w:rsidRPr="00522E10" w:rsidRDefault="00AC4E21" w:rsidP="008A39F9">
    <w:pPr>
      <w:pStyle w:val="EPFooter"/>
    </w:pPr>
    <w:r w:rsidRPr="00522E10">
      <w:rPr>
        <w:rStyle w:val="HideTWBExt"/>
      </w:rPr>
      <w:t>&lt;PathFdR&gt;</w:t>
    </w:r>
    <w:r w:rsidRPr="00522E10">
      <w:t>RR\1338392SL.docx</w:t>
    </w:r>
    <w:r w:rsidRPr="00522E10">
      <w:rPr>
        <w:rStyle w:val="HideTWBExt"/>
      </w:rPr>
      <w:t>&lt;/PathFdR&gt;</w:t>
    </w:r>
    <w:r w:rsidRPr="00522E10">
      <w:tab/>
    </w:r>
    <w:r w:rsidRPr="00522E10">
      <w:tab/>
      <w:t>PE</w:t>
    </w:r>
    <w:r w:rsidRPr="00522E10">
      <w:rPr>
        <w:rStyle w:val="HideTWBExt"/>
      </w:rPr>
      <w:t>&lt;NoPE&gt;</w:t>
    </w:r>
    <w:r w:rsidRPr="00522E10">
      <w:t>782.416</w:t>
    </w:r>
    <w:r w:rsidRPr="00522E10">
      <w:rPr>
        <w:rStyle w:val="HideTWBExt"/>
      </w:rPr>
      <w:t>&lt;/NoPE&gt;&lt;Version&gt;</w:t>
    </w:r>
    <w:r w:rsidRPr="00522E10">
      <w:t>v02-00</w:t>
    </w:r>
    <w:r w:rsidRPr="00522E10">
      <w:rPr>
        <w:rStyle w:val="HideTWBExt"/>
      </w:rPr>
      <w:t>&lt;/Version&gt;</w:t>
    </w:r>
  </w:p>
  <w:p w14:paraId="5EE2E377" w14:textId="77777777" w:rsidR="00AC4E21" w:rsidRPr="00522E10" w:rsidRDefault="00AC4E21" w:rsidP="008A39F9">
    <w:pPr>
      <w:pStyle w:val="EPFooter2"/>
    </w:pPr>
    <w:r w:rsidRPr="00522E10">
      <w:t>SL</w:t>
    </w:r>
    <w:r w:rsidRPr="00522E10">
      <w:tab/>
    </w:r>
    <w:r w:rsidRPr="00522E10">
      <w:rPr>
        <w:b w:val="0"/>
        <w:i/>
        <w:color w:val="C0C0C0"/>
        <w:sz w:val="22"/>
      </w:rPr>
      <w:t>Združena v raznolikosti</w:t>
    </w:r>
    <w:r w:rsidRPr="00522E10">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9659" w14:textId="77777777" w:rsidR="00064002" w:rsidRPr="00522E1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AD0D" w14:textId="77777777" w:rsidR="00064002" w:rsidRPr="00522E1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C793" w14:textId="77777777" w:rsidR="00064002" w:rsidRPr="00522E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F2D28" w14:textId="77777777" w:rsidR="00A85C31" w:rsidRPr="00522E10" w:rsidRDefault="00A85C31">
      <w:r w:rsidRPr="00522E10">
        <w:separator/>
      </w:r>
    </w:p>
  </w:footnote>
  <w:footnote w:type="continuationSeparator" w:id="0">
    <w:p w14:paraId="45024A1D" w14:textId="77777777" w:rsidR="00A85C31" w:rsidRPr="00522E10" w:rsidRDefault="00A85C31">
      <w:r w:rsidRPr="00522E10">
        <w:continuationSeparator/>
      </w:r>
    </w:p>
  </w:footnote>
  <w:footnote w:id="1">
    <w:p w14:paraId="3E64AA41" w14:textId="2CBBA881" w:rsidR="00AC4E21" w:rsidRPr="00522E10" w:rsidRDefault="00AC4E21" w:rsidP="00522E10">
      <w:pPr>
        <w:pStyle w:val="FootnoteText"/>
        <w:ind w:left="567" w:hanging="567"/>
        <w:rPr>
          <w:sz w:val="24"/>
          <w:lang w:val="sl-SI"/>
        </w:rPr>
      </w:pPr>
      <w:r w:rsidRPr="00522E10">
        <w:rPr>
          <w:rStyle w:val="FootnoteReference"/>
          <w:sz w:val="24"/>
          <w:lang w:val="sl-SI"/>
        </w:rPr>
        <w:footnoteRef/>
      </w:r>
      <w:r w:rsidR="00522E10" w:rsidRPr="00522E10">
        <w:rPr>
          <w:sz w:val="24"/>
          <w:lang w:val="sl-SI"/>
        </w:rPr>
        <w:t xml:space="preserve"> </w:t>
      </w:r>
      <w:r w:rsidR="00522E10" w:rsidRPr="00522E10">
        <w:rPr>
          <w:sz w:val="24"/>
          <w:lang w:val="sl-SI"/>
        </w:rPr>
        <w:tab/>
      </w:r>
      <w:r w:rsidRPr="00522E10">
        <w:rPr>
          <w:sz w:val="24"/>
          <w:lang w:val="sl-SI"/>
        </w:rPr>
        <w:t xml:space="preserve">UL L 153, 3.5.2021, str. 48, ELI: </w:t>
      </w:r>
      <w:hyperlink r:id="rId1" w:history="1">
        <w:r w:rsidRPr="00522E10">
          <w:rPr>
            <w:rStyle w:val="Hyperlink"/>
            <w:sz w:val="24"/>
            <w:lang w:val="sl-SI"/>
          </w:rPr>
          <w:t>http://data.europa.eu/eli/reg/2021/691/oj</w:t>
        </w:r>
      </w:hyperlink>
      <w:r w:rsidRPr="00522E10">
        <w:rPr>
          <w:sz w:val="24"/>
          <w:lang w:val="sl-SI"/>
        </w:rPr>
        <w:t>.</w:t>
      </w:r>
    </w:p>
  </w:footnote>
  <w:footnote w:id="2">
    <w:p w14:paraId="36E45183" w14:textId="3B53F3DF" w:rsidR="00AC4E21" w:rsidRPr="00522E10" w:rsidRDefault="00AC4E21" w:rsidP="00522E10">
      <w:pPr>
        <w:pStyle w:val="FootnoteText"/>
        <w:ind w:left="567" w:hanging="567"/>
        <w:rPr>
          <w:sz w:val="24"/>
          <w:lang w:val="sl-SI"/>
        </w:rPr>
      </w:pPr>
      <w:r w:rsidRPr="00522E10">
        <w:rPr>
          <w:rStyle w:val="FootnoteReference"/>
          <w:sz w:val="24"/>
          <w:lang w:val="sl-SI"/>
        </w:rPr>
        <w:footnoteRef/>
      </w:r>
      <w:r w:rsidR="00522E10" w:rsidRPr="00522E10">
        <w:rPr>
          <w:sz w:val="24"/>
          <w:lang w:val="sl-SI"/>
        </w:rPr>
        <w:t xml:space="preserve"> </w:t>
      </w:r>
      <w:r w:rsidR="00522E10" w:rsidRPr="00522E10">
        <w:rPr>
          <w:sz w:val="24"/>
          <w:lang w:val="sl-SI"/>
        </w:rPr>
        <w:tab/>
      </w:r>
      <w:r w:rsidRPr="00522E10">
        <w:rPr>
          <w:sz w:val="24"/>
          <w:lang w:val="sl-SI"/>
        </w:rPr>
        <w:t xml:space="preserve">UL L 433 I, 22.12.2020, str. 11, ELI: </w:t>
      </w:r>
      <w:hyperlink r:id="rId2" w:history="1">
        <w:r w:rsidRPr="00522E10">
          <w:rPr>
            <w:rStyle w:val="Hyperlink"/>
            <w:sz w:val="24"/>
            <w:lang w:val="sl-SI"/>
          </w:rPr>
          <w:t>http://data.europa.eu/eli/reg/2020/2093/oj</w:t>
        </w:r>
      </w:hyperlink>
      <w:r w:rsidRPr="00522E10">
        <w:rPr>
          <w:sz w:val="24"/>
          <w:lang w:val="sl-SI"/>
        </w:rPr>
        <w:t>.</w:t>
      </w:r>
    </w:p>
  </w:footnote>
  <w:footnote w:id="3">
    <w:p w14:paraId="7017D685" w14:textId="32C73A00" w:rsidR="00AC4E21" w:rsidRPr="00522E10" w:rsidRDefault="00AC4E21" w:rsidP="00522E10">
      <w:pPr>
        <w:pStyle w:val="FootnoteText"/>
        <w:ind w:left="567" w:hanging="567"/>
        <w:rPr>
          <w:sz w:val="24"/>
          <w:lang w:val="sl-SI"/>
        </w:rPr>
      </w:pPr>
      <w:r w:rsidRPr="00522E10">
        <w:rPr>
          <w:rStyle w:val="FootnoteReference"/>
          <w:sz w:val="24"/>
          <w:lang w:val="sl-SI"/>
        </w:rPr>
        <w:footnoteRef/>
      </w:r>
      <w:r w:rsidR="00522E10" w:rsidRPr="00522E10">
        <w:rPr>
          <w:sz w:val="24"/>
          <w:shd w:val="clear" w:color="auto" w:fill="FFFFFF"/>
          <w:lang w:val="sl-SI"/>
        </w:rPr>
        <w:t xml:space="preserve"> </w:t>
      </w:r>
      <w:r w:rsidR="00522E10" w:rsidRPr="00522E10">
        <w:rPr>
          <w:sz w:val="24"/>
          <w:shd w:val="clear" w:color="auto" w:fill="FFFFFF"/>
          <w:lang w:val="sl-SI"/>
        </w:rPr>
        <w:tab/>
      </w:r>
      <w:r w:rsidRPr="00522E10">
        <w:rPr>
          <w:sz w:val="24"/>
          <w:shd w:val="clear" w:color="auto" w:fill="FFFFFF"/>
          <w:lang w:val="sl-SI"/>
        </w:rPr>
        <w:t>Uredba Sveta (EU, Euratom) 2024/765 z dne 29. februarja 2024 o spremembi Uredbe (EU, Euratom) 2020/2093 o določitvi večletnega finančnega okvira za obdobje 2021–2027 (UL L, 2024/765, 29.2.2024, ELI:</w:t>
      </w:r>
      <w:r w:rsidRPr="00522E10">
        <w:rPr>
          <w:color w:val="333333"/>
          <w:sz w:val="24"/>
          <w:shd w:val="clear" w:color="auto" w:fill="FFFFFF"/>
          <w:lang w:val="sl-SI"/>
        </w:rPr>
        <w:t xml:space="preserve"> </w:t>
      </w:r>
      <w:hyperlink r:id="rId3" w:history="1">
        <w:r w:rsidRPr="00522E10">
          <w:rPr>
            <w:rStyle w:val="Hyperlink"/>
            <w:sz w:val="24"/>
            <w:shd w:val="clear" w:color="auto" w:fill="FFFFFF"/>
            <w:lang w:val="sl-SI"/>
          </w:rPr>
          <w:t>http://data.europa.eu/eli/reg/2024/765/oj</w:t>
        </w:r>
      </w:hyperlink>
      <w:r w:rsidRPr="00522E10">
        <w:rPr>
          <w:i/>
          <w:color w:val="333333"/>
          <w:sz w:val="24"/>
          <w:shd w:val="clear" w:color="auto" w:fill="FFFFFF"/>
          <w:lang w:val="sl-SI"/>
        </w:rPr>
        <w:t>).</w:t>
      </w:r>
    </w:p>
  </w:footnote>
  <w:footnote w:id="4">
    <w:p w14:paraId="5D8D948A" w14:textId="1166479E" w:rsidR="00AC4E21" w:rsidRPr="00522E10" w:rsidRDefault="00AC4E21" w:rsidP="00522E10">
      <w:pPr>
        <w:pStyle w:val="FootnoteText"/>
        <w:ind w:left="567" w:hanging="567"/>
        <w:rPr>
          <w:sz w:val="24"/>
          <w:lang w:val="sl-SI"/>
        </w:rPr>
      </w:pPr>
      <w:r w:rsidRPr="00522E10">
        <w:rPr>
          <w:rStyle w:val="FootnoteReference"/>
          <w:sz w:val="24"/>
          <w:lang w:val="sl-SI"/>
        </w:rPr>
        <w:footnoteRef/>
      </w:r>
      <w:r w:rsidR="00522E10" w:rsidRPr="00522E10">
        <w:rPr>
          <w:sz w:val="24"/>
          <w:lang w:val="sl-SI"/>
        </w:rPr>
        <w:t xml:space="preserve"> </w:t>
      </w:r>
      <w:r w:rsidR="00522E10" w:rsidRPr="00522E10">
        <w:rPr>
          <w:sz w:val="24"/>
          <w:lang w:val="sl-SI"/>
        </w:rPr>
        <w:tab/>
      </w:r>
      <w:r w:rsidRPr="00522E10">
        <w:rPr>
          <w:sz w:val="24"/>
          <w:lang w:val="sl-SI"/>
        </w:rPr>
        <w:t xml:space="preserve">UL L 433 I, 22.12.2020, str. 28, ELI: </w:t>
      </w:r>
      <w:hyperlink r:id="rId4" w:history="1">
        <w:r w:rsidRPr="00522E10">
          <w:rPr>
            <w:rStyle w:val="Hyperlink"/>
            <w:sz w:val="24"/>
            <w:lang w:val="sl-SI"/>
          </w:rPr>
          <w:t>http://data.europa.eu/eli/agree_interinstit/2020/1222/oj</w:t>
        </w:r>
      </w:hyperlink>
      <w:r w:rsidRPr="00522E10">
        <w:rPr>
          <w:sz w:val="24"/>
          <w:lang w:val="sl-SI"/>
        </w:rPr>
        <w:t>.</w:t>
      </w:r>
    </w:p>
  </w:footnote>
  <w:footnote w:id="5">
    <w:p w14:paraId="1B886573" w14:textId="027DA0A1" w:rsidR="00AC4E21" w:rsidRPr="00522E10" w:rsidRDefault="00AC4E21" w:rsidP="00522E10">
      <w:pPr>
        <w:pStyle w:val="FootnoteText"/>
        <w:ind w:left="567" w:hanging="567"/>
        <w:rPr>
          <w:sz w:val="24"/>
          <w:lang w:val="sl-SI"/>
        </w:rPr>
      </w:pPr>
      <w:r w:rsidRPr="00522E10">
        <w:rPr>
          <w:rStyle w:val="FootnoteReference"/>
          <w:sz w:val="24"/>
          <w:lang w:val="sl-SI"/>
        </w:rPr>
        <w:footnoteRef/>
      </w:r>
      <w:r w:rsidR="00522E10" w:rsidRPr="00522E10">
        <w:rPr>
          <w:sz w:val="24"/>
          <w:lang w:val="sl-SI"/>
        </w:rPr>
        <w:t xml:space="preserve"> </w:t>
      </w:r>
      <w:r w:rsidR="00522E10" w:rsidRPr="00522E10">
        <w:rPr>
          <w:sz w:val="24"/>
          <w:lang w:val="sl-SI"/>
        </w:rPr>
        <w:tab/>
      </w:r>
      <w:r w:rsidRPr="00522E10">
        <w:rPr>
          <w:sz w:val="24"/>
          <w:lang w:val="sl-SI"/>
        </w:rPr>
        <w:t>V smislu člena 3 uredbe o ESPG.</w:t>
      </w:r>
    </w:p>
  </w:footnote>
  <w:footnote w:id="6">
    <w:p w14:paraId="5AA8B528" w14:textId="018A8936" w:rsidR="00AC4E21" w:rsidRPr="00522E10" w:rsidRDefault="00AC4E21" w:rsidP="00522E10">
      <w:pPr>
        <w:pStyle w:val="FootnoteText"/>
        <w:ind w:left="567" w:hanging="567"/>
        <w:rPr>
          <w:sz w:val="24"/>
          <w:lang w:val="sl-SI"/>
        </w:rPr>
      </w:pPr>
      <w:r w:rsidRPr="00522E10">
        <w:rPr>
          <w:rStyle w:val="FootnoteReference"/>
          <w:sz w:val="24"/>
          <w:lang w:val="sl-SI"/>
        </w:rPr>
        <w:footnoteRef/>
      </w:r>
      <w:r w:rsidR="00522E10" w:rsidRPr="00522E10">
        <w:rPr>
          <w:sz w:val="24"/>
          <w:lang w:val="sl-SI"/>
        </w:rPr>
        <w:t xml:space="preserve"> </w:t>
      </w:r>
      <w:r w:rsidR="00522E10" w:rsidRPr="00522E10">
        <w:rPr>
          <w:sz w:val="24"/>
          <w:lang w:val="sl-SI"/>
        </w:rPr>
        <w:tab/>
      </w:r>
      <w:r w:rsidRPr="00522E10">
        <w:rPr>
          <w:sz w:val="24"/>
          <w:lang w:val="sl-SI"/>
        </w:rPr>
        <w:t>Člen 8 uredbe o večletnem finančnem okviru.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3ADD" w14:textId="77777777" w:rsidR="00064002" w:rsidRPr="00522E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4B7AA" w14:textId="77777777" w:rsidR="00064002" w:rsidRPr="00522E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0B4B" w14:textId="77777777" w:rsidR="00064002" w:rsidRPr="00522E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1076306">
    <w:abstractNumId w:val="9"/>
  </w:num>
  <w:num w:numId="2" w16cid:durableId="574976188">
    <w:abstractNumId w:val="9"/>
  </w:num>
  <w:num w:numId="3" w16cid:durableId="789322021">
    <w:abstractNumId w:val="7"/>
  </w:num>
  <w:num w:numId="4" w16cid:durableId="232587658">
    <w:abstractNumId w:val="7"/>
  </w:num>
  <w:num w:numId="5" w16cid:durableId="1734423185">
    <w:abstractNumId w:val="6"/>
  </w:num>
  <w:num w:numId="6" w16cid:durableId="432240998">
    <w:abstractNumId w:val="6"/>
  </w:num>
  <w:num w:numId="7" w16cid:durableId="851840010">
    <w:abstractNumId w:val="5"/>
  </w:num>
  <w:num w:numId="8" w16cid:durableId="164563530">
    <w:abstractNumId w:val="5"/>
  </w:num>
  <w:num w:numId="9" w16cid:durableId="2119635390">
    <w:abstractNumId w:val="4"/>
  </w:num>
  <w:num w:numId="10" w16cid:durableId="423377736">
    <w:abstractNumId w:val="4"/>
  </w:num>
  <w:num w:numId="11" w16cid:durableId="1345014263">
    <w:abstractNumId w:val="8"/>
  </w:num>
  <w:num w:numId="12" w16cid:durableId="1779137343">
    <w:abstractNumId w:val="8"/>
  </w:num>
  <w:num w:numId="13" w16cid:durableId="423115346">
    <w:abstractNumId w:val="3"/>
  </w:num>
  <w:num w:numId="14" w16cid:durableId="1341348533">
    <w:abstractNumId w:val="3"/>
  </w:num>
  <w:num w:numId="15" w16cid:durableId="2113551335">
    <w:abstractNumId w:val="2"/>
  </w:num>
  <w:num w:numId="16" w16cid:durableId="154762049">
    <w:abstractNumId w:val="2"/>
  </w:num>
  <w:num w:numId="17" w16cid:durableId="114956517">
    <w:abstractNumId w:val="1"/>
  </w:num>
  <w:num w:numId="18" w16cid:durableId="267323391">
    <w:abstractNumId w:val="1"/>
  </w:num>
  <w:num w:numId="19" w16cid:durableId="1235630380">
    <w:abstractNumId w:val="0"/>
  </w:num>
  <w:num w:numId="20" w16cid:durableId="903683944">
    <w:abstractNumId w:val="0"/>
  </w:num>
  <w:num w:numId="21" w16cid:durableId="597100949">
    <w:abstractNumId w:val="9"/>
  </w:num>
  <w:num w:numId="22" w16cid:durableId="1853185078">
    <w:abstractNumId w:val="7"/>
  </w:num>
  <w:num w:numId="23" w16cid:durableId="1693994622">
    <w:abstractNumId w:val="6"/>
  </w:num>
  <w:num w:numId="24" w16cid:durableId="318383339">
    <w:abstractNumId w:val="5"/>
  </w:num>
  <w:num w:numId="25" w16cid:durableId="565066426">
    <w:abstractNumId w:val="4"/>
  </w:num>
  <w:num w:numId="26" w16cid:durableId="1425035843">
    <w:abstractNumId w:val="8"/>
  </w:num>
  <w:num w:numId="27" w16cid:durableId="374156630">
    <w:abstractNumId w:val="3"/>
  </w:num>
  <w:num w:numId="28" w16cid:durableId="415980915">
    <w:abstractNumId w:val="2"/>
  </w:num>
  <w:num w:numId="29" w16cid:durableId="1900087346">
    <w:abstractNumId w:val="1"/>
  </w:num>
  <w:num w:numId="30" w16cid:durableId="820148911">
    <w:abstractNumId w:val="0"/>
  </w:num>
  <w:num w:numId="31" w16cid:durableId="838348140">
    <w:abstractNumId w:val="9"/>
  </w:num>
  <w:num w:numId="32" w16cid:durableId="405760796">
    <w:abstractNumId w:val="7"/>
  </w:num>
  <w:num w:numId="33" w16cid:durableId="1949241770">
    <w:abstractNumId w:val="6"/>
  </w:num>
  <w:num w:numId="34" w16cid:durableId="90126190">
    <w:abstractNumId w:val="5"/>
  </w:num>
  <w:num w:numId="35" w16cid:durableId="1969629807">
    <w:abstractNumId w:val="4"/>
  </w:num>
  <w:num w:numId="36" w16cid:durableId="1516076519">
    <w:abstractNumId w:val="8"/>
  </w:num>
  <w:num w:numId="37" w16cid:durableId="930552208">
    <w:abstractNumId w:val="3"/>
  </w:num>
  <w:num w:numId="38" w16cid:durableId="5326512">
    <w:abstractNumId w:val="2"/>
  </w:num>
  <w:num w:numId="39" w16cid:durableId="1929608184">
    <w:abstractNumId w:val="1"/>
  </w:num>
  <w:num w:numId="40" w16cid:durableId="1292439721">
    <w:abstractNumId w:val="0"/>
  </w:num>
  <w:num w:numId="41" w16cid:durableId="684132932">
    <w:abstractNumId w:val="10"/>
  </w:num>
  <w:num w:numId="42" w16cid:durableId="1416707332">
    <w:abstractNumId w:val="10"/>
  </w:num>
  <w:num w:numId="43" w16cid:durableId="1591625571">
    <w:abstractNumId w:val="10"/>
  </w:num>
  <w:num w:numId="44" w16cid:durableId="1713531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0/2026"/>
    <w:docVar w:name="dvlangue" w:val="SL"/>
    <w:docVar w:name="dvnumam" w:val="0"/>
    <w:docVar w:name="dvpe" w:val="782.416"/>
    <w:docVar w:name="dvrapporteur" w:val="Poročevalec: "/>
    <w:docVar w:name="dvtitre" w:val="Resolucija Evropskega parlamenta z dne … 2026 o predlogu sklepa Evropskega parlamenta in Sveta o uporabi Evropskega sklada za prilagoditev globalizaciji za presežne delavce na podlagi vloge Belgije – EGF/2025/004 BE/Tupperware(COM(2026)0001 – C10-0012/2026 – 2026/0004(BUD))"/>
  </w:docVars>
  <w:rsids>
    <w:rsidRoot w:val="00A85C31"/>
    <w:rsid w:val="00002272"/>
    <w:rsid w:val="00042DE0"/>
    <w:rsid w:val="00064002"/>
    <w:rsid w:val="000677B9"/>
    <w:rsid w:val="00081E87"/>
    <w:rsid w:val="000831BA"/>
    <w:rsid w:val="00092F29"/>
    <w:rsid w:val="000A42CC"/>
    <w:rsid w:val="000E7DD9"/>
    <w:rsid w:val="0010095E"/>
    <w:rsid w:val="001242EC"/>
    <w:rsid w:val="00125B37"/>
    <w:rsid w:val="00187494"/>
    <w:rsid w:val="001F32AE"/>
    <w:rsid w:val="002767FF"/>
    <w:rsid w:val="002B18FE"/>
    <w:rsid w:val="002B5493"/>
    <w:rsid w:val="002C75C8"/>
    <w:rsid w:val="00343214"/>
    <w:rsid w:val="00361C00"/>
    <w:rsid w:val="00395FA1"/>
    <w:rsid w:val="003E15D4"/>
    <w:rsid w:val="00407B4B"/>
    <w:rsid w:val="00411CCE"/>
    <w:rsid w:val="0041666E"/>
    <w:rsid w:val="00421060"/>
    <w:rsid w:val="00471C19"/>
    <w:rsid w:val="004867E3"/>
    <w:rsid w:val="00494A28"/>
    <w:rsid w:val="004C0004"/>
    <w:rsid w:val="004C5D52"/>
    <w:rsid w:val="0050519A"/>
    <w:rsid w:val="005072A1"/>
    <w:rsid w:val="00514517"/>
    <w:rsid w:val="00522E10"/>
    <w:rsid w:val="00545827"/>
    <w:rsid w:val="00560270"/>
    <w:rsid w:val="00576D9F"/>
    <w:rsid w:val="005C2568"/>
    <w:rsid w:val="005F1B17"/>
    <w:rsid w:val="006037C0"/>
    <w:rsid w:val="006631B6"/>
    <w:rsid w:val="00680577"/>
    <w:rsid w:val="006B5A8F"/>
    <w:rsid w:val="006C7DBA"/>
    <w:rsid w:val="006D5D14"/>
    <w:rsid w:val="006F74FA"/>
    <w:rsid w:val="00731ADD"/>
    <w:rsid w:val="00734777"/>
    <w:rsid w:val="00747932"/>
    <w:rsid w:val="00751A4A"/>
    <w:rsid w:val="00756632"/>
    <w:rsid w:val="00762C74"/>
    <w:rsid w:val="00775B9E"/>
    <w:rsid w:val="00786EC0"/>
    <w:rsid w:val="007D1690"/>
    <w:rsid w:val="007E22AD"/>
    <w:rsid w:val="007F3AC0"/>
    <w:rsid w:val="00817416"/>
    <w:rsid w:val="00842779"/>
    <w:rsid w:val="00865F67"/>
    <w:rsid w:val="00881A7B"/>
    <w:rsid w:val="008840E5"/>
    <w:rsid w:val="00887B3E"/>
    <w:rsid w:val="008C2AC6"/>
    <w:rsid w:val="00930C23"/>
    <w:rsid w:val="0093193B"/>
    <w:rsid w:val="009509D8"/>
    <w:rsid w:val="00950B64"/>
    <w:rsid w:val="00981893"/>
    <w:rsid w:val="009A5F6D"/>
    <w:rsid w:val="009B2DA1"/>
    <w:rsid w:val="00A109C6"/>
    <w:rsid w:val="00A1687D"/>
    <w:rsid w:val="00A2023D"/>
    <w:rsid w:val="00A43E52"/>
    <w:rsid w:val="00A4678D"/>
    <w:rsid w:val="00A778C7"/>
    <w:rsid w:val="00A85C31"/>
    <w:rsid w:val="00AB441E"/>
    <w:rsid w:val="00AB6293"/>
    <w:rsid w:val="00AC4E21"/>
    <w:rsid w:val="00AE0928"/>
    <w:rsid w:val="00AF19B8"/>
    <w:rsid w:val="00AF1C77"/>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5C6F"/>
    <w:rsid w:val="00D56C11"/>
    <w:rsid w:val="00D834A0"/>
    <w:rsid w:val="00D872DF"/>
    <w:rsid w:val="00D91E21"/>
    <w:rsid w:val="00DA7FCD"/>
    <w:rsid w:val="00E14B4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58006"/>
  <w15:chartTrackingRefBased/>
  <w15:docId w15:val="{153C679D-27FD-4EF2-9EC5-99B03F2D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C4E2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AC4E21"/>
    <w:pPr>
      <w:keepNext/>
      <w:spacing w:after="480"/>
      <w:jc w:val="center"/>
    </w:pPr>
    <w:rPr>
      <w:rFonts w:ascii="Arial" w:hAnsi="Arial" w:cs="Arial"/>
      <w:b/>
    </w:rPr>
  </w:style>
  <w:style w:type="paragraph" w:customStyle="1" w:styleId="NormalHanging12a">
    <w:name w:val="NormalHanging12a"/>
    <w:basedOn w:val="Normal"/>
    <w:link w:val="NormalHanging12aChar"/>
    <w:rsid w:val="00AC4E21"/>
    <w:pPr>
      <w:spacing w:after="240"/>
      <w:ind w:left="567" w:hanging="567"/>
    </w:pPr>
  </w:style>
  <w:style w:type="paragraph" w:styleId="Header">
    <w:name w:val="header"/>
    <w:basedOn w:val="Normal"/>
    <w:link w:val="HeaderChar"/>
    <w:rsid w:val="00AC4E21"/>
    <w:pPr>
      <w:tabs>
        <w:tab w:val="center" w:pos="4513"/>
        <w:tab w:val="right" w:pos="9026"/>
      </w:tabs>
    </w:pPr>
  </w:style>
  <w:style w:type="character" w:customStyle="1" w:styleId="HeaderChar">
    <w:name w:val="Header Char"/>
    <w:basedOn w:val="DefaultParagraphFont"/>
    <w:link w:val="Header"/>
    <w:rsid w:val="00AC4E21"/>
    <w:rPr>
      <w:sz w:val="24"/>
      <w:lang w:val="sl-SI"/>
    </w:rPr>
  </w:style>
  <w:style w:type="paragraph" w:customStyle="1" w:styleId="EPFooter">
    <w:name w:val="EPFooter"/>
    <w:basedOn w:val="Normal"/>
    <w:rsid w:val="00AC4E21"/>
    <w:pPr>
      <w:tabs>
        <w:tab w:val="center" w:pos="4535"/>
        <w:tab w:val="right" w:pos="9071"/>
      </w:tabs>
      <w:spacing w:before="240" w:after="240"/>
    </w:pPr>
    <w:rPr>
      <w:color w:val="010000"/>
      <w:sz w:val="22"/>
    </w:rPr>
  </w:style>
  <w:style w:type="paragraph" w:customStyle="1" w:styleId="EPComma">
    <w:name w:val="EPComma"/>
    <w:basedOn w:val="Normal"/>
    <w:rsid w:val="00AC4E21"/>
    <w:pPr>
      <w:spacing w:before="480" w:after="240"/>
    </w:pPr>
  </w:style>
  <w:style w:type="character" w:styleId="Hyperlink">
    <w:name w:val="Hyperlink"/>
    <w:basedOn w:val="DefaultParagraphFont"/>
    <w:uiPriority w:val="99"/>
    <w:rsid w:val="00AC4E21"/>
    <w:rPr>
      <w:color w:val="0563C1" w:themeColor="hyperlink"/>
      <w:u w:val="single"/>
    </w:rPr>
  </w:style>
  <w:style w:type="paragraph" w:customStyle="1" w:styleId="Institutionquiagit">
    <w:name w:val="Institution qui agit"/>
    <w:basedOn w:val="Normal"/>
    <w:next w:val="Normal"/>
    <w:rsid w:val="00AC4E2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AC4E21"/>
    <w:pPr>
      <w:widowControl/>
      <w:spacing w:before="120" w:after="120"/>
      <w:ind w:left="709" w:hanging="709"/>
      <w:jc w:val="both"/>
    </w:pPr>
    <w:rPr>
      <w:rFonts w:eastAsiaTheme="minorHAnsi"/>
      <w:szCs w:val="22"/>
      <w:lang w:eastAsia="en-US"/>
    </w:rPr>
  </w:style>
  <w:style w:type="paragraph" w:customStyle="1" w:styleId="Institutionquisigne">
    <w:name w:val="Institution qui signe"/>
    <w:basedOn w:val="Normal"/>
    <w:next w:val="Normal"/>
    <w:rsid w:val="00AC4E2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AC4E2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AC4E2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AC4E21"/>
    <w:pPr>
      <w:keepNext/>
      <w:widowControl/>
      <w:spacing w:before="120" w:after="120"/>
      <w:jc w:val="both"/>
    </w:pPr>
    <w:rPr>
      <w:rFonts w:eastAsiaTheme="minorHAnsi"/>
      <w:szCs w:val="22"/>
      <w:lang w:eastAsia="en-US"/>
    </w:rPr>
  </w:style>
  <w:style w:type="character" w:customStyle="1" w:styleId="PageHeadingChar">
    <w:name w:val="PageHeading Char"/>
    <w:basedOn w:val="DefaultParagraphFont"/>
    <w:link w:val="PageHeading"/>
    <w:locked/>
    <w:rsid w:val="00AC4E21"/>
    <w:rPr>
      <w:rFonts w:ascii="Arial" w:hAnsi="Arial" w:cs="Arial"/>
      <w:b/>
      <w:sz w:val="24"/>
      <w:lang w:val="sl-SI"/>
    </w:rPr>
  </w:style>
  <w:style w:type="character" w:customStyle="1" w:styleId="NormalHanging12aChar">
    <w:name w:val="NormalHanging12a Char"/>
    <w:basedOn w:val="DefaultParagraphFont"/>
    <w:link w:val="NormalHanging12a"/>
    <w:locked/>
    <w:rsid w:val="00AC4E21"/>
    <w:rPr>
      <w:sz w:val="24"/>
      <w:lang w:val="sl-SI"/>
    </w:rPr>
  </w:style>
  <w:style w:type="paragraph" w:customStyle="1" w:styleId="Personnequisigne">
    <w:name w:val="Personne qui signe"/>
    <w:basedOn w:val="Normal"/>
    <w:next w:val="Institutionquisigne"/>
    <w:rsid w:val="00AC4E21"/>
    <w:pPr>
      <w:widowControl/>
      <w:tabs>
        <w:tab w:val="left" w:pos="4252"/>
      </w:tabs>
    </w:pPr>
    <w:rPr>
      <w:rFonts w:eastAsiaTheme="minorHAnsi"/>
      <w:i/>
      <w:szCs w:val="22"/>
      <w:lang w:eastAsia="en-US"/>
    </w:rPr>
  </w:style>
  <w:style w:type="paragraph" w:styleId="Revision">
    <w:name w:val="Revision"/>
    <w:hidden/>
    <w:uiPriority w:val="99"/>
    <w:semiHidden/>
    <w:rsid w:val="002C75C8"/>
    <w:rPr>
      <w:sz w:val="24"/>
      <w:lang w:val="sl-SI"/>
    </w:rPr>
  </w:style>
  <w:style w:type="character" w:styleId="CommentReference">
    <w:name w:val="annotation reference"/>
    <w:basedOn w:val="DefaultParagraphFont"/>
    <w:rsid w:val="006B5A8F"/>
    <w:rPr>
      <w:sz w:val="16"/>
      <w:szCs w:val="16"/>
    </w:rPr>
  </w:style>
  <w:style w:type="paragraph" w:styleId="CommentText">
    <w:name w:val="annotation text"/>
    <w:basedOn w:val="Normal"/>
    <w:link w:val="CommentTextChar"/>
    <w:rsid w:val="006B5A8F"/>
    <w:rPr>
      <w:sz w:val="20"/>
    </w:rPr>
  </w:style>
  <w:style w:type="character" w:customStyle="1" w:styleId="CommentTextChar">
    <w:name w:val="Comment Text Char"/>
    <w:basedOn w:val="DefaultParagraphFont"/>
    <w:link w:val="CommentText"/>
    <w:rsid w:val="006B5A8F"/>
    <w:rPr>
      <w:lang w:val="sl-SI"/>
    </w:rPr>
  </w:style>
  <w:style w:type="paragraph" w:styleId="CommentSubject">
    <w:name w:val="annotation subject"/>
    <w:basedOn w:val="CommentText"/>
    <w:next w:val="CommentText"/>
    <w:link w:val="CommentSubjectChar"/>
    <w:rsid w:val="006B5A8F"/>
    <w:rPr>
      <w:b/>
      <w:bCs/>
    </w:rPr>
  </w:style>
  <w:style w:type="character" w:customStyle="1" w:styleId="CommentSubjectChar">
    <w:name w:val="Comment Subject Char"/>
    <w:basedOn w:val="CommentTextChar"/>
    <w:link w:val="CommentSubject"/>
    <w:rsid w:val="006B5A8F"/>
    <w:rPr>
      <w:b/>
      <w:bCs/>
      <w:lang w:val="sl-SI"/>
    </w:rPr>
  </w:style>
  <w:style w:type="character" w:styleId="UnresolvedMention">
    <w:name w:val="Unresolved Mention"/>
    <w:basedOn w:val="DefaultParagraphFont"/>
    <w:uiPriority w:val="99"/>
    <w:semiHidden/>
    <w:unhideWhenUsed/>
    <w:rsid w:val="007F3AC0"/>
    <w:rPr>
      <w:color w:val="605E5C"/>
      <w:shd w:val="clear" w:color="auto" w:fill="E1DFDD"/>
    </w:rPr>
  </w:style>
  <w:style w:type="character" w:styleId="FollowedHyperlink">
    <w:name w:val="FollowedHyperlink"/>
    <w:basedOn w:val="DefaultParagraphFont"/>
    <w:rsid w:val="00A109C6"/>
    <w:rPr>
      <w:color w:val="954F72" w:themeColor="followedHyperlink"/>
      <w:u w:val="single"/>
    </w:rPr>
  </w:style>
  <w:style w:type="paragraph" w:styleId="Footer">
    <w:name w:val="footer"/>
    <w:basedOn w:val="Normal"/>
    <w:link w:val="FooterChar"/>
    <w:rsid w:val="00081E87"/>
    <w:pPr>
      <w:tabs>
        <w:tab w:val="center" w:pos="4513"/>
        <w:tab w:val="right" w:pos="9026"/>
      </w:tabs>
    </w:pPr>
  </w:style>
  <w:style w:type="character" w:customStyle="1" w:styleId="FooterChar">
    <w:name w:val="Footer Char"/>
    <w:basedOn w:val="DefaultParagraphFont"/>
    <w:link w:val="Footer"/>
    <w:rsid w:val="00081E87"/>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78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1389</Words>
  <Characters>8536</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2026-05-11T12:38:00Z</dcterms:created>
  <dcterms:modified xsi:type="dcterms:W3CDTF">2026-05-11T12:38:00Z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P10_TA(2026)0073_</vt:lpwstr>
  </property>
  <property fmtid="{D5CDD505-2E9C-101B-9397-08002B2CF9AE}" pid="4" name="&lt;Type&gt;">
    <vt:lpwstr>RR</vt:lpwstr>
  </property>
</Properties>
</file>