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2691" w14:paraId="53CDE2DE" w14:textId="77777777" w:rsidTr="0010095E">
        <w:trPr>
          <w:trHeight w:hRule="exact" w:val="1418"/>
        </w:trPr>
        <w:tc>
          <w:tcPr>
            <w:tcW w:w="6804" w:type="dxa"/>
            <w:shd w:val="clear" w:color="auto" w:fill="auto"/>
            <w:vAlign w:val="center"/>
          </w:tcPr>
          <w:p w14:paraId="20CBB320" w14:textId="77777777" w:rsidR="00751A4A" w:rsidRPr="00322691" w:rsidRDefault="009A4CC4" w:rsidP="0010095E">
            <w:pPr>
              <w:pStyle w:val="EPName"/>
            </w:pPr>
            <w:r w:rsidRPr="00322691">
              <w:t>Europaparlamentet</w:t>
            </w:r>
          </w:p>
          <w:p w14:paraId="41A38BDF" w14:textId="77777777" w:rsidR="00751A4A" w:rsidRPr="00322691" w:rsidRDefault="005F1B17" w:rsidP="005F1B17">
            <w:pPr>
              <w:pStyle w:val="EPTerm"/>
              <w:rPr>
                <w:rStyle w:val="HideTWBExt"/>
                <w:noProof w:val="0"/>
                <w:vanish w:val="0"/>
                <w:color w:val="auto"/>
              </w:rPr>
            </w:pPr>
            <w:r w:rsidRPr="00322691">
              <w:t>2024</w:t>
            </w:r>
            <w:r w:rsidR="00817416" w:rsidRPr="00322691">
              <w:t>-202</w:t>
            </w:r>
            <w:r w:rsidRPr="00322691">
              <w:t>9</w:t>
            </w:r>
          </w:p>
        </w:tc>
        <w:tc>
          <w:tcPr>
            <w:tcW w:w="2268" w:type="dxa"/>
            <w:shd w:val="clear" w:color="auto" w:fill="auto"/>
          </w:tcPr>
          <w:p w14:paraId="3A39BB29" w14:textId="77777777" w:rsidR="00751A4A" w:rsidRPr="00322691" w:rsidRDefault="00187494" w:rsidP="0010095E">
            <w:pPr>
              <w:pStyle w:val="EPLogo"/>
            </w:pPr>
            <w:r w:rsidRPr="00322691">
              <w:rPr>
                <w:noProof/>
                <w:lang w:eastAsia="ja-JP"/>
              </w:rPr>
              <w:drawing>
                <wp:inline distT="0" distB="0" distL="0" distR="0" wp14:anchorId="3FD812D6" wp14:editId="5F5774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8549B9" w14:textId="77777777" w:rsidR="00D058B8" w:rsidRPr="00322691" w:rsidRDefault="00D058B8" w:rsidP="004C5D52">
      <w:pPr>
        <w:pStyle w:val="LineTop"/>
      </w:pPr>
    </w:p>
    <w:p w14:paraId="406A0756" w14:textId="77777777" w:rsidR="00680577" w:rsidRPr="00322691" w:rsidRDefault="009A4CC4" w:rsidP="00680577">
      <w:pPr>
        <w:pStyle w:val="EPBodyTA1"/>
      </w:pPr>
      <w:r w:rsidRPr="00322691">
        <w:t>ANTAGNA TEXTER</w:t>
      </w:r>
    </w:p>
    <w:p w14:paraId="3EA852DF" w14:textId="77777777" w:rsidR="00D058B8" w:rsidRPr="00322691" w:rsidRDefault="00D058B8" w:rsidP="00D058B8">
      <w:pPr>
        <w:pStyle w:val="LineBottom"/>
      </w:pPr>
    </w:p>
    <w:p w14:paraId="5A800CAD" w14:textId="387C2F80" w:rsidR="009A4CC4" w:rsidRPr="00322691" w:rsidRDefault="009A4CC4" w:rsidP="009A4CC4">
      <w:pPr>
        <w:pStyle w:val="ATHeading1"/>
      </w:pPr>
      <w:bookmarkStart w:id="0" w:name="TANumber"/>
      <w:r w:rsidRPr="00322691">
        <w:t>P10_TA(2026)0</w:t>
      </w:r>
      <w:bookmarkEnd w:id="0"/>
      <w:r w:rsidR="00322691" w:rsidRPr="00322691">
        <w:t>073</w:t>
      </w:r>
    </w:p>
    <w:p w14:paraId="48032935" w14:textId="445FBA93" w:rsidR="009A4CC4" w:rsidRPr="00322691" w:rsidRDefault="009A4CC4" w:rsidP="009A4CC4">
      <w:pPr>
        <w:pStyle w:val="ATHeading2"/>
      </w:pPr>
      <w:bookmarkStart w:id="1" w:name="title"/>
      <w:r w:rsidRPr="00322691">
        <w:t>Utnyttjande av Europeiska fonden för justering för globaliseringseffekter för uppsagda arbetstagare</w:t>
      </w:r>
      <w:r w:rsidR="0091121F" w:rsidRPr="00322691">
        <w:t xml:space="preserve">: </w:t>
      </w:r>
      <w:r w:rsidRPr="00322691">
        <w:t>ansökan EGF/2025/004 BE/Tupperware – Belgien</w:t>
      </w:r>
      <w:bookmarkEnd w:id="1"/>
    </w:p>
    <w:p w14:paraId="3C50BFFA" w14:textId="77777777" w:rsidR="009A4CC4" w:rsidRPr="00322691" w:rsidRDefault="009A4CC4" w:rsidP="009A4CC4">
      <w:pPr>
        <w:rPr>
          <w:i/>
          <w:vanish/>
        </w:rPr>
      </w:pPr>
      <w:r w:rsidRPr="00322691">
        <w:rPr>
          <w:i/>
        </w:rPr>
        <w:fldChar w:fldCharType="begin"/>
      </w:r>
      <w:r w:rsidRPr="00322691">
        <w:rPr>
          <w:i/>
        </w:rPr>
        <w:instrText xml:space="preserve"> TC"(</w:instrText>
      </w:r>
      <w:bookmarkStart w:id="2" w:name="DocNumber"/>
      <w:r w:rsidRPr="00322691">
        <w:rPr>
          <w:i/>
        </w:rPr>
        <w:instrText>A10-0030/2026</w:instrText>
      </w:r>
      <w:bookmarkEnd w:id="2"/>
      <w:r w:rsidRPr="00322691">
        <w:rPr>
          <w:i/>
        </w:rPr>
        <w:instrText xml:space="preserve"> - Föredragande: Jean-Marc Germain)"\l3 \n&gt; \* MERGEFORMAT </w:instrText>
      </w:r>
      <w:r w:rsidRPr="00322691">
        <w:rPr>
          <w:i/>
        </w:rPr>
        <w:fldChar w:fldCharType="end"/>
      </w:r>
    </w:p>
    <w:p w14:paraId="00E1BEFA" w14:textId="77777777" w:rsidR="009A4CC4" w:rsidRPr="00322691" w:rsidRDefault="009A4CC4" w:rsidP="009A4CC4">
      <w:pPr>
        <w:rPr>
          <w:vanish/>
        </w:rPr>
      </w:pPr>
      <w:bookmarkStart w:id="3" w:name="Commission"/>
      <w:r w:rsidRPr="00322691">
        <w:rPr>
          <w:vanish/>
        </w:rPr>
        <w:t>Budgetutskottet</w:t>
      </w:r>
      <w:bookmarkEnd w:id="3"/>
    </w:p>
    <w:p w14:paraId="6F683889" w14:textId="77777777" w:rsidR="009A4CC4" w:rsidRPr="00322691" w:rsidRDefault="009A4CC4" w:rsidP="009A4CC4">
      <w:pPr>
        <w:rPr>
          <w:vanish/>
        </w:rPr>
      </w:pPr>
      <w:bookmarkStart w:id="4" w:name="PE"/>
      <w:r w:rsidRPr="00322691">
        <w:rPr>
          <w:vanish/>
        </w:rPr>
        <w:t>PE782.416</w:t>
      </w:r>
      <w:bookmarkEnd w:id="4"/>
    </w:p>
    <w:p w14:paraId="0C4DD70F" w14:textId="3A4C70FF" w:rsidR="009A4CC4" w:rsidRPr="00322691" w:rsidRDefault="009A4CC4" w:rsidP="009A4CC4">
      <w:pPr>
        <w:pStyle w:val="ATHeading3"/>
      </w:pPr>
      <w:bookmarkStart w:id="5" w:name="Sujet"/>
      <w:r w:rsidRPr="00322691">
        <w:t xml:space="preserve">Europaparlamentets resolution av den </w:t>
      </w:r>
      <w:r w:rsidR="0091121F" w:rsidRPr="00322691">
        <w:t xml:space="preserve">11 mars </w:t>
      </w:r>
      <w:r w:rsidRPr="00322691">
        <w:t xml:space="preserve">2026 om förslaget till Europaparlamentets och rådets beslut om utnyttjande av Europeiska fonden för justering för globaliseringseffekter för uppsagda arbetstagare efter en ansökan från Belgien – EGF/2025/004 BE/Tupperware </w:t>
      </w:r>
      <w:bookmarkStart w:id="6" w:name="References"/>
      <w:bookmarkEnd w:id="5"/>
      <w:r w:rsidRPr="00322691">
        <w:t>(COM(2026)0001 – C10-0012/2026 – 2026/0004(BUD))</w:t>
      </w:r>
      <w:bookmarkEnd w:id="6"/>
    </w:p>
    <w:p w14:paraId="330B9D43" w14:textId="77777777" w:rsidR="009F1DF9" w:rsidRPr="00322691" w:rsidRDefault="009F1DF9" w:rsidP="009F1DF9">
      <w:pPr>
        <w:pStyle w:val="EPComma"/>
        <w:rPr>
          <w:noProof/>
        </w:rPr>
      </w:pPr>
      <w:r w:rsidRPr="00322691">
        <w:rPr>
          <w:i/>
        </w:rPr>
        <w:t>Europaparlamentet utfärdar denna resolution</w:t>
      </w:r>
    </w:p>
    <w:p w14:paraId="5F9CE250" w14:textId="77777777" w:rsidR="009F1DF9" w:rsidRPr="00322691" w:rsidRDefault="009F1DF9" w:rsidP="009F1DF9">
      <w:pPr>
        <w:pStyle w:val="NormalHanging12a"/>
        <w:rPr>
          <w:noProof/>
        </w:rPr>
      </w:pPr>
      <w:r w:rsidRPr="00322691">
        <w:t>–</w:t>
      </w:r>
      <w:r w:rsidRPr="00322691">
        <w:tab/>
        <w:t>med beaktande av kommissionens förslag till Europaparlamentet och rådet (COM(2026)0001 – C10</w:t>
      </w:r>
      <w:r w:rsidRPr="00322691">
        <w:noBreakHyphen/>
        <w:t>0012/2026),</w:t>
      </w:r>
    </w:p>
    <w:p w14:paraId="20A30223" w14:textId="77777777" w:rsidR="009F1DF9" w:rsidRPr="00322691" w:rsidRDefault="009F1DF9" w:rsidP="009F1DF9">
      <w:pPr>
        <w:pStyle w:val="NormalHanging12a"/>
      </w:pPr>
      <w:r w:rsidRPr="00322691">
        <w:t>–</w:t>
      </w:r>
      <w:r w:rsidRPr="00322691">
        <w:tab/>
        <w:t>med beaktande av Europaparlamentets och rådets förordning (EU) 2021/691 av den 28 april 2021 om Europeiska fonden för justering för globaliseringseffekter för uppsagda arbetstagare (EGF) och om upphävande av förordning (EU) nr 1309/2013</w:t>
      </w:r>
      <w:r w:rsidRPr="00322691">
        <w:rPr>
          <w:vertAlign w:val="superscript"/>
        </w:rPr>
        <w:footnoteReference w:id="1"/>
      </w:r>
      <w:r w:rsidRPr="00322691">
        <w:t xml:space="preserve"> (EGF-förordningen), </w:t>
      </w:r>
    </w:p>
    <w:p w14:paraId="2895C1D9" w14:textId="77777777" w:rsidR="009F1DF9" w:rsidRPr="00322691" w:rsidRDefault="009F1DF9" w:rsidP="009F1DF9">
      <w:pPr>
        <w:pStyle w:val="NormalHanging12a"/>
        <w:rPr>
          <w:noProof/>
        </w:rPr>
      </w:pPr>
      <w:r w:rsidRPr="00322691">
        <w:t>–</w:t>
      </w:r>
      <w:r w:rsidRPr="00322691">
        <w:tab/>
        <w:t>med beaktande av rådets förordning (EU, Euratom) 2020/2093 av den 17 december 2020 om den fleråriga budgetramen för 2021–2027</w:t>
      </w:r>
      <w:r w:rsidRPr="00322691">
        <w:rPr>
          <w:noProof/>
          <w:vertAlign w:val="superscript"/>
        </w:rPr>
        <w:footnoteReference w:id="2"/>
      </w:r>
      <w:r w:rsidRPr="00322691">
        <w:t xml:space="preserve"> i dess ändrade lydelse enligt förordning (EU, Euratom) 2024/765</w:t>
      </w:r>
      <w:r w:rsidRPr="00322691">
        <w:rPr>
          <w:noProof/>
          <w:vertAlign w:val="superscript"/>
        </w:rPr>
        <w:footnoteReference w:id="3"/>
      </w:r>
      <w:r w:rsidRPr="00322691">
        <w:t xml:space="preserve"> (förordningen om den fleråriga budgetramen), särskilt artikel 8, </w:t>
      </w:r>
    </w:p>
    <w:p w14:paraId="143A601A" w14:textId="77777777" w:rsidR="009F1DF9" w:rsidRPr="00322691" w:rsidRDefault="009F1DF9" w:rsidP="009F1DF9">
      <w:pPr>
        <w:pStyle w:val="NormalHanging12a"/>
        <w:rPr>
          <w:noProof/>
        </w:rPr>
      </w:pPr>
      <w:r w:rsidRPr="00322691">
        <w:t>–</w:t>
      </w:r>
      <w:r w:rsidRPr="00322691">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322691">
        <w:lastRenderedPageBreak/>
        <w:t>egna medel, inbegripet en färdplan för införandet av nya egna medel</w:t>
      </w:r>
      <w:r w:rsidRPr="00322691">
        <w:rPr>
          <w:rStyle w:val="FootnoteReference"/>
          <w:noProof/>
        </w:rPr>
        <w:footnoteReference w:id="4"/>
      </w:r>
      <w:r w:rsidRPr="00322691">
        <w:t>, särskilt punkt 9,</w:t>
      </w:r>
    </w:p>
    <w:p w14:paraId="1E8576C0" w14:textId="77777777" w:rsidR="009F1DF9" w:rsidRPr="00322691" w:rsidRDefault="009F1DF9" w:rsidP="009F1DF9">
      <w:pPr>
        <w:pStyle w:val="NormalHanging12a"/>
        <w:rPr>
          <w:noProof/>
        </w:rPr>
      </w:pPr>
      <w:r w:rsidRPr="00322691">
        <w:t>–</w:t>
      </w:r>
      <w:r w:rsidRPr="00322691">
        <w:tab/>
        <w:t>med beaktande av den europeiska pelaren för sociala rättigheter,</w:t>
      </w:r>
    </w:p>
    <w:p w14:paraId="01296B29" w14:textId="77777777" w:rsidR="009F1DF9" w:rsidRPr="00322691" w:rsidRDefault="009F1DF9" w:rsidP="009F1DF9">
      <w:pPr>
        <w:pStyle w:val="NormalHanging12a"/>
        <w:rPr>
          <w:noProof/>
        </w:rPr>
      </w:pPr>
      <w:r w:rsidRPr="00322691">
        <w:t>–</w:t>
      </w:r>
      <w:r w:rsidRPr="00322691">
        <w:tab/>
        <w:t>med beaktande av yttrandet från utskottet för sysselsättning och sociala frågor,</w:t>
      </w:r>
    </w:p>
    <w:p w14:paraId="2D00BB58" w14:textId="77777777" w:rsidR="009F1DF9" w:rsidRPr="00322691" w:rsidRDefault="009F1DF9" w:rsidP="009F1DF9">
      <w:pPr>
        <w:pStyle w:val="NormalHanging12a"/>
      </w:pPr>
      <w:r w:rsidRPr="00322691">
        <w:t>–</w:t>
      </w:r>
      <w:r w:rsidRPr="00322691">
        <w:tab/>
        <w:t>med beaktande av betänkandet från budgetutskottet (A10-0030/2026), och av följande skäl:</w:t>
      </w:r>
    </w:p>
    <w:p w14:paraId="101FE255" w14:textId="77777777" w:rsidR="009F1DF9" w:rsidRPr="00322691" w:rsidRDefault="009F1DF9" w:rsidP="009F1DF9">
      <w:pPr>
        <w:pStyle w:val="NormalHanging12a"/>
        <w:rPr>
          <w:noProof/>
        </w:rPr>
      </w:pPr>
      <w:r w:rsidRPr="00322691">
        <w:t>A.</w:t>
      </w:r>
      <w:r w:rsidRPr="00322691">
        <w:tab/>
        <w:t>Unionen har inrättat lagstiftnings- och budgetinstrument för att ge kompletterande stöd till arbetstagare som drabbas av effekterna av genomgripande strukturförändringar inom världshandeln och för att underlätta deras återinträde på arbetsmarknaden. Detta stöd ges i form av ekonomiskt stöd till arbetstagare.</w:t>
      </w:r>
    </w:p>
    <w:p w14:paraId="323AA12C" w14:textId="10833304" w:rsidR="009F1DF9" w:rsidRPr="00322691" w:rsidRDefault="009F1DF9" w:rsidP="009F1DF9">
      <w:pPr>
        <w:pStyle w:val="NormalHanging12a"/>
        <w:rPr>
          <w:noProof/>
        </w:rPr>
      </w:pPr>
      <w:r w:rsidRPr="00322691">
        <w:t>B.</w:t>
      </w:r>
      <w:r w:rsidRPr="00322691">
        <w:tab/>
        <w:t xml:space="preserve">Belgien lämnade in ansökan EGF/2025/004 BE/Tupperware om ekonomiskt bidrag från </w:t>
      </w:r>
      <w:r w:rsidR="0091121F" w:rsidRPr="00322691">
        <w:t xml:space="preserve">Europeiska fonden för justering för globaliseringseffekter </w:t>
      </w:r>
      <w:r w:rsidR="00BE7563" w:rsidRPr="00322691">
        <w:t xml:space="preserve">för uppsagda arbetstagare </w:t>
      </w:r>
      <w:r w:rsidR="0091121F" w:rsidRPr="00322691">
        <w:t>(</w:t>
      </w:r>
      <w:r w:rsidRPr="00322691">
        <w:t>EGF</w:t>
      </w:r>
      <w:r w:rsidR="0091121F" w:rsidRPr="00322691">
        <w:t>)</w:t>
      </w:r>
      <w:r w:rsidRPr="00322691">
        <w:t xml:space="preserve"> till följd av 267 uppsägningar</w:t>
      </w:r>
      <w:r w:rsidRPr="00322691">
        <w:rPr>
          <w:noProof/>
          <w:vertAlign w:val="superscript"/>
        </w:rPr>
        <w:footnoteReference w:id="5"/>
      </w:r>
      <w:r w:rsidRPr="00322691">
        <w:t xml:space="preserve"> vid Tupperware General Services NV (Tupperware) inom den näringsgren som i Nace rev. 2 klassificeras som huvudgrupp 22 (Tillverkning av gummi- och plastvaror) i regionen Prov. Oost-Vlaanderen (BE23) under referensperioden 17 februari 2025–17 juni 2025. </w:t>
      </w:r>
    </w:p>
    <w:p w14:paraId="0E45DF5B" w14:textId="77777777" w:rsidR="009F1DF9" w:rsidRPr="00322691" w:rsidRDefault="009F1DF9" w:rsidP="009F1DF9">
      <w:pPr>
        <w:pStyle w:val="NormalHanging12a"/>
        <w:rPr>
          <w:noProof/>
        </w:rPr>
      </w:pPr>
      <w:r w:rsidRPr="00322691">
        <w:t>C.</w:t>
      </w:r>
      <w:r w:rsidRPr="00322691">
        <w:tab/>
        <w:t xml:space="preserve">Ansökan baseras på insatskriteriet i artikel 4.2 a i EGF-förordningen, enligt vilket verksamheten för minst 200 uppsagda arbetstagare eller egenföretagare ska ha upphört under en referensperiod på fyra månader i ett företag i en medlemsstat. </w:t>
      </w:r>
    </w:p>
    <w:p w14:paraId="29965108" w14:textId="77777777" w:rsidR="009F1DF9" w:rsidRPr="00322691" w:rsidRDefault="009F1DF9" w:rsidP="009F1DF9">
      <w:pPr>
        <w:pStyle w:val="NormalHanging12a"/>
        <w:rPr>
          <w:noProof/>
        </w:rPr>
      </w:pPr>
      <w:r w:rsidRPr="00322691">
        <w:t>D.</w:t>
      </w:r>
      <w:r w:rsidRPr="00322691">
        <w:tab/>
        <w:t>Tupperware ansökte om konkurs den 17 februari 2025. Antalet konkurser har ökat i Belgien sedan 2022.</w:t>
      </w:r>
    </w:p>
    <w:p w14:paraId="06AF6D20" w14:textId="77777777" w:rsidR="009F1DF9" w:rsidRPr="00322691" w:rsidRDefault="009F1DF9" w:rsidP="009F1DF9">
      <w:pPr>
        <w:pStyle w:val="NormalHanging12a"/>
        <w:rPr>
          <w:noProof/>
        </w:rPr>
      </w:pPr>
      <w:r w:rsidRPr="00322691">
        <w:t>E.</w:t>
      </w:r>
      <w:r w:rsidRPr="00322691">
        <w:tab/>
        <w:t>Belgien har uppgett att VDAB tillhandahåller den nationella förfinansieringen och medfinansieringen av åtgärderna.</w:t>
      </w:r>
    </w:p>
    <w:p w14:paraId="12FA0BDA" w14:textId="77777777" w:rsidR="009F1DF9" w:rsidRPr="00322691" w:rsidRDefault="009F1DF9" w:rsidP="009F1DF9">
      <w:pPr>
        <w:pStyle w:val="NormalHanging12a"/>
        <w:rPr>
          <w:noProof/>
        </w:rPr>
      </w:pPr>
      <w:r w:rsidRPr="00322691">
        <w:t>F.</w:t>
      </w:r>
      <w:r w:rsidRPr="00322691">
        <w:tab/>
        <w:t>De krav som rör kollektiva uppsägningar i unionens lagstiftning och i den nationella lagstiftningen är uppfyllda.</w:t>
      </w:r>
    </w:p>
    <w:p w14:paraId="1DA57444" w14:textId="77777777" w:rsidR="009F1DF9" w:rsidRPr="00322691" w:rsidRDefault="009F1DF9" w:rsidP="009F1DF9">
      <w:pPr>
        <w:pStyle w:val="NormalHanging12a"/>
        <w:rPr>
          <w:noProof/>
        </w:rPr>
      </w:pPr>
      <w:r w:rsidRPr="00322691">
        <w:t>G.</w:t>
      </w:r>
      <w:r w:rsidRPr="00322691">
        <w:tab/>
        <w:t>Ekonomiskt stöd från EGF bör i första hand inriktas på aktiva arbetsmarknadsåtgärder och individanpassade tjänster som syftar till att snabbt återintegrera stödmottagarna i varaktig sysselsättning på anständiga villkor, samtidigt som de förbereder sig för en grönare och mer digital europeisk ekonomi.</w:t>
      </w:r>
    </w:p>
    <w:p w14:paraId="6F6A0A29" w14:textId="565F4503" w:rsidR="009F1DF9" w:rsidRPr="00322691" w:rsidRDefault="009F1DF9" w:rsidP="009F1DF9">
      <w:pPr>
        <w:pStyle w:val="NormalHanging12a"/>
        <w:rPr>
          <w:noProof/>
        </w:rPr>
      </w:pPr>
      <w:r w:rsidRPr="00322691">
        <w:t>H.</w:t>
      </w:r>
      <w:r w:rsidRPr="00322691">
        <w:tab/>
        <w:t>EGF får inte överstiga ett årligt maximibelopp på 30 miljoner EUR (i 2018 års priser)</w:t>
      </w:r>
      <w:r w:rsidRPr="00322691">
        <w:rPr>
          <w:noProof/>
          <w:vertAlign w:val="superscript"/>
        </w:rPr>
        <w:footnoteReference w:id="6"/>
      </w:r>
      <w:r w:rsidR="005C0E8D" w:rsidRPr="00322691">
        <w:t>.</w:t>
      </w:r>
      <w:r w:rsidRPr="00322691">
        <w:t xml:space="preserve"> </w:t>
      </w:r>
    </w:p>
    <w:p w14:paraId="5214CAF4" w14:textId="77777777" w:rsidR="009F1DF9" w:rsidRPr="00322691" w:rsidRDefault="009F1DF9" w:rsidP="009F1DF9">
      <w:pPr>
        <w:pStyle w:val="NormalHanging12a"/>
        <w:rPr>
          <w:noProof/>
        </w:rPr>
      </w:pPr>
      <w:r w:rsidRPr="00322691">
        <w:t>1.</w:t>
      </w:r>
      <w:r w:rsidRPr="00322691">
        <w:tab/>
        <w:t xml:space="preserve">Europaparlamentet delar kommissionens åsikt att villkoren i EGF-förordningen, särskilt artikel 4.2 a, är uppfyllda och att Belgien är berättigat till ekonomiskt stöd på 1 622 650 EUR enligt den förordningen, vilket utgör 85 % av de totala kostnaderna på 1 909 000 EUR, bestående av utgifter för individanpassade tjänster på 1 843 500 EUR och utgifter för förberedande åtgärder samt för förvaltning, information och </w:t>
      </w:r>
      <w:r w:rsidRPr="00322691">
        <w:lastRenderedPageBreak/>
        <w:t>marknadsföring, kontroll och rapportering på 65 500 EUR.</w:t>
      </w:r>
    </w:p>
    <w:p w14:paraId="02BAE536" w14:textId="77777777" w:rsidR="009F1DF9" w:rsidRPr="00322691" w:rsidRDefault="009F1DF9" w:rsidP="009F1DF9">
      <w:pPr>
        <w:pStyle w:val="NormalHanging12a"/>
        <w:rPr>
          <w:noProof/>
        </w:rPr>
      </w:pPr>
      <w:r w:rsidRPr="00322691">
        <w:t>2.</w:t>
      </w:r>
      <w:r w:rsidRPr="00322691">
        <w:tab/>
        <w:t>Europaparlamentet noterar att de belgiska myndigheterna lämnade in ansökan den 28 augusti 2025 och att kommissionen, efter att ha mottagit ytterligare uppgifter från Belgien, slutförde sin bedömning den 20 januari 2026, nästan fem månader senare, och underrättade parlamentet samma dag. Parlamentet betonar vikten av att förkorta tiden mellan inlämnandet av en ansökan om stöd från fonden och finansieringsbeslutet, samtidigt som Europaparlamentets rättigheter i egenskap av den ena grenen av budgetmyndigheten skyddas fullt ut.</w:t>
      </w:r>
    </w:p>
    <w:p w14:paraId="56F7F1AD" w14:textId="77777777" w:rsidR="009F1DF9" w:rsidRPr="00322691" w:rsidRDefault="009F1DF9" w:rsidP="009F1DF9">
      <w:pPr>
        <w:pStyle w:val="NormalHanging12a"/>
        <w:rPr>
          <w:noProof/>
        </w:rPr>
      </w:pPr>
      <w:r w:rsidRPr="00322691">
        <w:t>3.</w:t>
      </w:r>
      <w:r w:rsidRPr="00322691">
        <w:tab/>
        <w:t>Europaparlamentet noterar att ansökan gäller 267 berörda stödmottagare som blivit uppsagda vid Tupperware.</w:t>
      </w:r>
    </w:p>
    <w:p w14:paraId="00FF6860" w14:textId="77777777" w:rsidR="009F1DF9" w:rsidRPr="00322691" w:rsidRDefault="009F1DF9" w:rsidP="009F1DF9">
      <w:pPr>
        <w:pStyle w:val="NormalHanging12a"/>
        <w:rPr>
          <w:noProof/>
        </w:rPr>
      </w:pPr>
      <w:r w:rsidRPr="00322691">
        <w:t>4.</w:t>
      </w:r>
      <w:r w:rsidRPr="00322691">
        <w:tab/>
        <w:t>Europaparlamentet noterar att Tupperware var beläget i Aalst i provinsen Östflandern, där redan innan Tupperware gick i konkurs endast varannan person var i sysselsättning, jämfört med två av tre i regionen Flandern i genomsnitt. Parlamentet beklagar att dessa uppsägningar ytterligare kommer att förvärra situationen. Parlamentet betonar att det krävs snabba åtgärder för att förhindra strukturell regional nedgång.</w:t>
      </w:r>
    </w:p>
    <w:p w14:paraId="6153CBEB" w14:textId="77777777" w:rsidR="009F1DF9" w:rsidRPr="00322691" w:rsidRDefault="009F1DF9" w:rsidP="009F1DF9">
      <w:pPr>
        <w:pStyle w:val="NormalHanging12a"/>
        <w:widowControl/>
        <w:rPr>
          <w:noProof/>
        </w:rPr>
      </w:pPr>
      <w:r w:rsidRPr="00322691">
        <w:t>5.</w:t>
      </w:r>
      <w:r w:rsidRPr="00322691">
        <w:tab/>
        <w:t xml:space="preserve">Europaparlamentet beklagar djupt att det amerikanska moderbolaget Tupperware Brands togs över av fordringsägarna i oktober 2024 och att det, på grund av en betydande omstrukturering, återkallade den tillverkning och de licenser som beviljats Tupperware General Services NV, vilket gjorde det belgiska dotterbolaget ekonomiskt olönsamt och ledde till att det försattes i konkurs den 17 februari 2025. </w:t>
      </w:r>
    </w:p>
    <w:p w14:paraId="66C2D42E" w14:textId="77777777" w:rsidR="009F1DF9" w:rsidRPr="00322691" w:rsidRDefault="009F1DF9" w:rsidP="009F1DF9">
      <w:pPr>
        <w:pStyle w:val="NormalHanging12a"/>
        <w:rPr>
          <w:noProof/>
        </w:rPr>
      </w:pPr>
      <w:r w:rsidRPr="00322691">
        <w:t>6.</w:t>
      </w:r>
      <w:r w:rsidRPr="00322691">
        <w:tab/>
        <w:t>Europaparlamentet välkomnar det initiativ från en grupp av europeiska företagare som syftar till att återuppliva varumärket i Tyskland, Frankrike, Belgien, Italien och Polen.</w:t>
      </w:r>
    </w:p>
    <w:p w14:paraId="5B52DDE6" w14:textId="77777777" w:rsidR="009F1DF9" w:rsidRPr="00322691" w:rsidRDefault="009F1DF9" w:rsidP="009F1DF9">
      <w:pPr>
        <w:pStyle w:val="NormalHanging12a"/>
        <w:rPr>
          <w:noProof/>
        </w:rPr>
      </w:pPr>
      <w:r w:rsidRPr="00322691">
        <w:t>7.</w:t>
      </w:r>
      <w:r w:rsidRPr="00322691">
        <w:tab/>
        <w:t>Europaparlamentet betonar att risken för arbetslöshet i Flandern är mer än dubbelt så hög för personer med låg utbildningsnivå. Parlamentet konstaterar att en tredjedel av de uppsagda arbetstagarna endast har grundskoleutbildning. Parlamentet uppmanar de belgiska myndigheterna att tillhandahålla stöd som är skräddarsytt för denna grupp för att hjälpa arbetstagarna att övervinna sina begränsningar och hitta nya jobb, samtidigt som åtgärder vidtas för att minska konkurser och ta itu med sociala skillnader som leder till utestängning av arbetskraft.</w:t>
      </w:r>
    </w:p>
    <w:p w14:paraId="15179DB2" w14:textId="77777777" w:rsidR="009F1DF9" w:rsidRPr="00322691" w:rsidRDefault="009F1DF9" w:rsidP="009F1DF9">
      <w:pPr>
        <w:pStyle w:val="NormalHanging12a"/>
        <w:rPr>
          <w:noProof/>
        </w:rPr>
      </w:pPr>
      <w:r w:rsidRPr="00322691">
        <w:t>8.</w:t>
      </w:r>
      <w:r w:rsidRPr="00322691">
        <w:tab/>
        <w:t>Europaparlamentet påminner om att de individanpassade tjänster som ska tillhandahållas arbetstagarna i samförstånd med fackföreningar, experter och arbetsmarknadens parter består av följande åtgärder: informationsmöten för återinträde på arbetsmarknaden, omställningstjänster, inbegripet IKT-utbildning, stöd med att hitta arbete genom vägledning och stöd i arbetssökandet, utbildning och omskolning, jobbmässa samt kartläggning av tjänster och jobbmatchning. Parlamentet betonar vikten av att främja framtidsorienterade arbetstillfällen av hög kvalitet för att säkerställa långsiktig ekonomisk och social resiliens. Parlamentet uppmanar de belgiska myndigheterna att inleda en dialog med de nya europeiska företrädarna för Tupperware för att undersöka möjligheterna att återintegrera uppsagda arbetstagare i deras ekonomiska verksamhet.</w:t>
      </w:r>
    </w:p>
    <w:p w14:paraId="460960AC" w14:textId="77777777" w:rsidR="009F1DF9" w:rsidRPr="00322691" w:rsidRDefault="009F1DF9" w:rsidP="009F1DF9">
      <w:pPr>
        <w:pStyle w:val="NormalHanging12a"/>
        <w:rPr>
          <w:noProof/>
        </w:rPr>
      </w:pPr>
      <w:r w:rsidRPr="00322691">
        <w:t>9.</w:t>
      </w:r>
      <w:r w:rsidRPr="00322691">
        <w:tab/>
        <w:t xml:space="preserve">Europaparlamentet understryker att de uppsagda arbetstagarnas kvalifikationer och färdigheter fortfarande är avgörande för en framtidssäkrad europeisk ekonomi. Parlamentet anser därför att utnyttjandet av fonden måste ingå i en bredare politisk </w:t>
      </w:r>
      <w:r w:rsidRPr="00322691">
        <w:lastRenderedPageBreak/>
        <w:t>insats på alla politiska nivåer för att säkerställa att de berörda arbetstagarna hittar lämpliga möjligheter i linje med sina kvalifikationer och färdigheter. Parlamentet påminner vidare om att fonden är ett instrument för solidaritet och rättvis omställning och att unionens främsta uppgift måste vara att förhindra sådana nedläggningar. Parlamentet anser att EGF ger nödvändigt stöd till drabbade arbetstagare, men att en kraftfullare industripolitik, en mer robust, hållbar och motståndskraftig ekonomi och en minskning av strategiska beroenden är avgörande för att skydda den europeiska industriella sysselsättningsbasen.</w:t>
      </w:r>
    </w:p>
    <w:p w14:paraId="70CE8A5C" w14:textId="77777777" w:rsidR="009F1DF9" w:rsidRPr="00322691" w:rsidRDefault="009F1DF9" w:rsidP="009F1DF9">
      <w:pPr>
        <w:pStyle w:val="NormalHanging12a"/>
        <w:rPr>
          <w:bCs/>
          <w:iCs/>
          <w:noProof/>
        </w:rPr>
      </w:pPr>
      <w:r w:rsidRPr="00322691">
        <w:t>10.</w:t>
      </w:r>
      <w:r w:rsidRPr="00322691">
        <w:tab/>
        <w:t>Europaparlamentet betonar att de belgiska myndigheterna ska säkerställa unionsfinansieringens synlighet och lyfta fram dess mervärde genom att tillhandahålla effektiv och riktad information till stödmottagare, regionala och lokala myndigheter, arbetsmarknadens parter och den bredare allmänheten.</w:t>
      </w:r>
    </w:p>
    <w:p w14:paraId="3E9EF07F" w14:textId="77777777" w:rsidR="009F1DF9" w:rsidRPr="00322691" w:rsidRDefault="009F1DF9" w:rsidP="009F1DF9">
      <w:pPr>
        <w:pStyle w:val="NormalHanging12a"/>
        <w:rPr>
          <w:noProof/>
        </w:rPr>
      </w:pPr>
      <w:r w:rsidRPr="00322691">
        <w:t>11.</w:t>
      </w:r>
      <w:r w:rsidRPr="00322691">
        <w:tab/>
        <w:t>Europaparlamentet efterlyser noggranna slutliga utvärderingar av de åtgärder som genomförts, inbegripet tydlig information om hur medlen har använts och huruvida de använts i enlighet med de godkända planerna. Parlamentet betonar att sådana utvärderingar bör grunda sig på tydligt fastställda mål och mätbara resultat för att möjliggöra en bedömning av de resultat som uppnåtts för de berörda arbetstagarna. Parlamentet understryker vikten av att säkerställa snabbare och effektivare insatser och påminner i detta sammanhang om behovet av att undersöka olika sätt att säkerställa hållbarheten för EGF eller dess efterföljande program inom ramen för nästa fleråriga budgetram 2028–2034.</w:t>
      </w:r>
    </w:p>
    <w:p w14:paraId="727D0263" w14:textId="77777777" w:rsidR="009F1DF9" w:rsidRPr="00322691" w:rsidRDefault="009F1DF9" w:rsidP="009F1DF9">
      <w:pPr>
        <w:pStyle w:val="NormalHanging12a"/>
        <w:rPr>
          <w:noProof/>
        </w:rPr>
      </w:pPr>
      <w:r w:rsidRPr="00322691">
        <w:t>12.</w:t>
      </w:r>
      <w:r w:rsidRPr="00322691">
        <w:tab/>
        <w:t>Europarlamentet noterar att Belgien började tillhandahålla individanpassade tjänster till de berörda stödmottagarna den 17 februari 2025 och att perioden för berättigande till ekonomiskt bidrag från EGF därför kommer att löpa från och med detta datum till och med 24 månader efter den dag då finansieringsbeslutet träder i kraft.</w:t>
      </w:r>
    </w:p>
    <w:p w14:paraId="40D19064" w14:textId="77777777" w:rsidR="009F1DF9" w:rsidRPr="00322691" w:rsidRDefault="009F1DF9" w:rsidP="009F1DF9">
      <w:pPr>
        <w:pStyle w:val="NormalHanging12a"/>
        <w:rPr>
          <w:noProof/>
        </w:rPr>
      </w:pPr>
      <w:r w:rsidRPr="00322691">
        <w:t>13.</w:t>
      </w:r>
      <w:r w:rsidRPr="00322691">
        <w:tab/>
        <w:t>Europaparlamentet noterar att Belgien började ådra sig administrativa kostnader för att genomföra EGF den 17 februari 2025 och att dessa utgifter därför ska berättiga till ekonomiskt bidrag från EGF från och med detta datum till och med 31 månader efter den dag då finansieringsbeslutet träder i kraft.</w:t>
      </w:r>
    </w:p>
    <w:p w14:paraId="429D330E" w14:textId="77777777" w:rsidR="009F1DF9" w:rsidRPr="00322691" w:rsidRDefault="009F1DF9" w:rsidP="009F1DF9">
      <w:pPr>
        <w:pStyle w:val="NormalHanging12a"/>
        <w:rPr>
          <w:noProof/>
        </w:rPr>
      </w:pPr>
      <w:r w:rsidRPr="00322691">
        <w:t>14.</w:t>
      </w:r>
      <w:r w:rsidRPr="00322691">
        <w:tab/>
        <w:t>Europaparlamentet noterar att de belgiska myndigheterna har bekräftat att principerna om likabehandling och icke-diskriminering kommer att respekteras när det gäller tillgången till de föreslagna åtgärderna och deras genomförande och att dubbelfinansiering kommer att förhindras.</w:t>
      </w:r>
    </w:p>
    <w:p w14:paraId="23BC7B0D" w14:textId="77777777" w:rsidR="009F1DF9" w:rsidRPr="00322691" w:rsidRDefault="009F1DF9" w:rsidP="009F1DF9">
      <w:pPr>
        <w:pStyle w:val="NormalHanging12a"/>
        <w:rPr>
          <w:noProof/>
        </w:rPr>
      </w:pPr>
      <w:r w:rsidRPr="00322691">
        <w:t>15.</w:t>
      </w:r>
      <w:r w:rsidRPr="00322691">
        <w:tab/>
        <w:t>Europaparlamentet upprepar att bidrag från EGF inte får ersätta åtgärder som enligt nationell rätt eller kollektivavtal åligger företagen.</w:t>
      </w:r>
    </w:p>
    <w:p w14:paraId="10C968D5" w14:textId="77777777" w:rsidR="009F1DF9" w:rsidRPr="00322691" w:rsidRDefault="009F1DF9" w:rsidP="009F1DF9">
      <w:pPr>
        <w:pStyle w:val="NormalHanging12a"/>
        <w:rPr>
          <w:noProof/>
        </w:rPr>
      </w:pPr>
      <w:r w:rsidRPr="00322691">
        <w:t>16.</w:t>
      </w:r>
      <w:r w:rsidRPr="00322691">
        <w:tab/>
        <w:t>Europaparlamentet godkänner det bifogade beslutet.</w:t>
      </w:r>
    </w:p>
    <w:p w14:paraId="19C77552" w14:textId="77777777" w:rsidR="009F1DF9" w:rsidRPr="00322691" w:rsidRDefault="009F1DF9" w:rsidP="009F1DF9">
      <w:pPr>
        <w:pStyle w:val="NormalHanging12a"/>
        <w:rPr>
          <w:noProof/>
        </w:rPr>
      </w:pPr>
      <w:r w:rsidRPr="00322691">
        <w:t>17.</w:t>
      </w:r>
      <w:r w:rsidRPr="00322691">
        <w:tab/>
        <w:t xml:space="preserve">Europaparlamentet uppdrar åt talmannen att tillsammans med rådets ordförande underteckna beslutet och se till att det offentliggörs i </w:t>
      </w:r>
      <w:r w:rsidRPr="00322691">
        <w:rPr>
          <w:i/>
        </w:rPr>
        <w:t>Europeiska unionens officiella tidning</w:t>
      </w:r>
      <w:r w:rsidRPr="00322691">
        <w:t>.</w:t>
      </w:r>
    </w:p>
    <w:p w14:paraId="13EC7846" w14:textId="77777777" w:rsidR="009F1DF9" w:rsidRPr="00322691" w:rsidRDefault="009F1DF9" w:rsidP="009F1DF9">
      <w:pPr>
        <w:pStyle w:val="NormalHanging12a"/>
        <w:rPr>
          <w:noProof/>
        </w:rPr>
      </w:pPr>
      <w:r w:rsidRPr="00322691">
        <w:t>18.</w:t>
      </w:r>
      <w:r w:rsidRPr="00322691">
        <w:tab/>
        <w:t>Europaparlamentet uppdrar åt talmannen att översända denna resolution med bilaga till rådet och kommissionen.</w:t>
      </w:r>
    </w:p>
    <w:p w14:paraId="2676CD03" w14:textId="77777777" w:rsidR="009F1DF9" w:rsidRPr="00322691" w:rsidRDefault="009F1DF9" w:rsidP="009F1DF9">
      <w:pPr>
        <w:rPr>
          <w:noProof/>
        </w:rPr>
      </w:pPr>
    </w:p>
    <w:p w14:paraId="36A3C2C8" w14:textId="77777777" w:rsidR="009F1DF9" w:rsidRPr="00322691" w:rsidRDefault="009F1DF9" w:rsidP="009F1DF9">
      <w:pPr>
        <w:pStyle w:val="PageHeading"/>
        <w:rPr>
          <w:noProof/>
        </w:rPr>
        <w:sectPr w:rsidR="009F1DF9" w:rsidRPr="00322691" w:rsidSect="00B743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AC3334" w14:textId="77777777" w:rsidR="00F03CA9" w:rsidRPr="00CA3495" w:rsidRDefault="009F1DF9" w:rsidP="00CA3495">
      <w:pPr>
        <w:pStyle w:val="PageHeading"/>
        <w:spacing w:after="240"/>
        <w:rPr>
          <w:rFonts w:ascii="Times New Roman" w:hAnsi="Times New Roman" w:cs="Times New Roman"/>
        </w:rPr>
      </w:pPr>
      <w:bookmarkStart w:id="7" w:name="_Toc223442801"/>
      <w:r w:rsidRPr="00CA3495">
        <w:rPr>
          <w:rFonts w:ascii="Times New Roman" w:hAnsi="Times New Roman" w:cs="Times New Roman"/>
        </w:rPr>
        <w:lastRenderedPageBreak/>
        <w:t>BILAGA</w:t>
      </w:r>
    </w:p>
    <w:p w14:paraId="43745291" w14:textId="08B85227" w:rsidR="009F1DF9" w:rsidRPr="00CA3495" w:rsidRDefault="009F1DF9" w:rsidP="00FC1C9A">
      <w:pPr>
        <w:pStyle w:val="PageHeading"/>
        <w:spacing w:after="120"/>
        <w:rPr>
          <w:rFonts w:ascii="Times New Roman" w:hAnsi="Times New Roman" w:cs="Times New Roman"/>
          <w:noProof/>
        </w:rPr>
      </w:pPr>
      <w:r w:rsidRPr="00CA3495">
        <w:rPr>
          <w:rFonts w:ascii="Times New Roman" w:hAnsi="Times New Roman" w:cs="Times New Roman"/>
        </w:rPr>
        <w:t>EUROPAPARLAMENTETS OCH RÅDETS BESLUT</w:t>
      </w:r>
      <w:bookmarkEnd w:id="7"/>
    </w:p>
    <w:p w14:paraId="60904B55" w14:textId="77777777" w:rsidR="009F1DF9" w:rsidRPr="00322691" w:rsidRDefault="009F1DF9" w:rsidP="00FC1C9A">
      <w:pPr>
        <w:pStyle w:val="Institutionquiagit"/>
        <w:spacing w:before="240"/>
        <w:jc w:val="center"/>
        <w:rPr>
          <w:b/>
          <w:bCs/>
        </w:rPr>
      </w:pPr>
      <w:r w:rsidRPr="00322691">
        <w:rPr>
          <w:b/>
        </w:rPr>
        <w:t>om utnyttjande av Europeiska fonden för justering för globaliseringseffekter för uppsagda arbetstagare efter en ansökan från Belgien – EGF/2025/004 BE/Tupperware</w:t>
      </w:r>
    </w:p>
    <w:p w14:paraId="171DAAB3" w14:textId="6470E0C8" w:rsidR="00795B1F" w:rsidRPr="00795B1F" w:rsidRDefault="00795B1F" w:rsidP="00CA3495">
      <w:pPr>
        <w:widowControl/>
        <w:spacing w:before="240"/>
        <w:jc w:val="both"/>
        <w:rPr>
          <w:rFonts w:eastAsia="Calibri"/>
          <w:i/>
          <w:szCs w:val="24"/>
          <w:lang w:eastAsia="en-US"/>
        </w:rPr>
      </w:pPr>
      <w:r w:rsidRPr="00795B1F">
        <w:rPr>
          <w:rFonts w:eastAsia="Calibri"/>
          <w:i/>
          <w:szCs w:val="24"/>
          <w:lang w:eastAsia="en-US"/>
        </w:rPr>
        <w:t>(Texten till denna bilaga återges inte här eftersom den motsvaras av den slutliga rättsakten, beslut</w:t>
      </w:r>
      <w:r>
        <w:rPr>
          <w:rFonts w:eastAsia="Calibri"/>
          <w:i/>
          <w:szCs w:val="24"/>
          <w:lang w:eastAsia="en-US"/>
        </w:rPr>
        <w:t xml:space="preserve"> </w:t>
      </w:r>
      <w:r w:rsidRPr="00795B1F">
        <w:rPr>
          <w:rFonts w:eastAsia="Calibri"/>
          <w:i/>
          <w:szCs w:val="24"/>
          <w:lang w:eastAsia="en-US"/>
        </w:rPr>
        <w:t xml:space="preserve">(EU) </w:t>
      </w:r>
      <w:r>
        <w:rPr>
          <w:rFonts w:eastAsia="Calibri"/>
          <w:i/>
          <w:szCs w:val="24"/>
          <w:lang w:eastAsia="en-US"/>
        </w:rPr>
        <w:t>2026</w:t>
      </w:r>
      <w:r w:rsidRPr="00795B1F">
        <w:rPr>
          <w:rFonts w:eastAsia="Calibri"/>
          <w:i/>
          <w:szCs w:val="24"/>
          <w:lang w:eastAsia="en-US"/>
        </w:rPr>
        <w:t>/</w:t>
      </w:r>
      <w:r>
        <w:rPr>
          <w:rFonts w:eastAsia="Calibri"/>
          <w:i/>
          <w:szCs w:val="24"/>
          <w:lang w:eastAsia="en-US"/>
        </w:rPr>
        <w:t>723</w:t>
      </w:r>
      <w:r w:rsidRPr="00795B1F">
        <w:rPr>
          <w:rFonts w:eastAsia="Calibri"/>
          <w:i/>
          <w:szCs w:val="24"/>
          <w:lang w:eastAsia="en-US"/>
        </w:rPr>
        <w:t>.)</w:t>
      </w:r>
    </w:p>
    <w:p w14:paraId="7ECA8E7E" w14:textId="4E9153B6" w:rsidR="00E365E1" w:rsidRPr="00322691" w:rsidRDefault="00E365E1" w:rsidP="00CA3495">
      <w:pPr>
        <w:pStyle w:val="Institutionquiagit"/>
      </w:pPr>
    </w:p>
    <w:sectPr w:rsidR="00E365E1" w:rsidRPr="00322691" w:rsidSect="00B743B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1D1CA" w14:textId="77777777" w:rsidR="009A4CC4" w:rsidRPr="00B743BC" w:rsidRDefault="009A4CC4">
      <w:r w:rsidRPr="00B743BC">
        <w:separator/>
      </w:r>
    </w:p>
  </w:endnote>
  <w:endnote w:type="continuationSeparator" w:id="0">
    <w:p w14:paraId="5E56C3C2" w14:textId="77777777" w:rsidR="009A4CC4" w:rsidRPr="00B743BC" w:rsidRDefault="009A4CC4">
      <w:r w:rsidRPr="00B743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2A70" w14:textId="77777777" w:rsidR="009F1DF9" w:rsidRPr="00B743BC" w:rsidRDefault="009F1DF9" w:rsidP="00AF2360">
    <w:pPr>
      <w:pStyle w:val="EPFooter"/>
    </w:pPr>
    <w:r w:rsidRPr="00B743BC">
      <w:t>PE</w:t>
    </w:r>
    <w:r w:rsidRPr="00B743BC">
      <w:rPr>
        <w:rStyle w:val="HideTWBExt"/>
      </w:rPr>
      <w:t>&lt;</w:t>
    </w:r>
    <w:proofErr w:type="spellStart"/>
    <w:r w:rsidRPr="00B743BC">
      <w:rPr>
        <w:rStyle w:val="HideTWBExt"/>
      </w:rPr>
      <w:t>NoPE</w:t>
    </w:r>
    <w:proofErr w:type="spellEnd"/>
    <w:r w:rsidRPr="00B743BC">
      <w:rPr>
        <w:rStyle w:val="HideTWBExt"/>
      </w:rPr>
      <w:t>&gt;</w:t>
    </w:r>
    <w:r w:rsidRPr="00B743BC">
      <w:t>782.416</w:t>
    </w:r>
    <w:r w:rsidRPr="00B743BC">
      <w:rPr>
        <w:rStyle w:val="HideTWBExt"/>
      </w:rPr>
      <w:t>&lt;/</w:t>
    </w:r>
    <w:proofErr w:type="spellStart"/>
    <w:r w:rsidRPr="00B743BC">
      <w:rPr>
        <w:rStyle w:val="HideTWBExt"/>
      </w:rPr>
      <w:t>NoPE</w:t>
    </w:r>
    <w:proofErr w:type="spellEnd"/>
    <w:r w:rsidRPr="00B743BC">
      <w:rPr>
        <w:rStyle w:val="HideTWBExt"/>
      </w:rPr>
      <w:t>&gt;&lt;Version&gt;</w:t>
    </w:r>
    <w:r w:rsidRPr="00B743BC">
      <w:t>v02-00</w:t>
    </w:r>
    <w:r w:rsidRPr="00B743BC">
      <w:rPr>
        <w:rStyle w:val="HideTWBExt"/>
      </w:rPr>
      <w:t>&lt;/Version&gt;</w:t>
    </w:r>
    <w:r w:rsidRPr="00B743BC">
      <w:tab/>
    </w:r>
    <w:r w:rsidRPr="00B743BC">
      <w:fldChar w:fldCharType="begin"/>
    </w:r>
    <w:r w:rsidRPr="00B743BC">
      <w:instrText xml:space="preserve"> PAGE  \* MERGEFORMAT </w:instrText>
    </w:r>
    <w:r w:rsidRPr="00B743BC">
      <w:fldChar w:fldCharType="separate"/>
    </w:r>
    <w:r w:rsidRPr="00B743BC">
      <w:rPr>
        <w:noProof/>
      </w:rPr>
      <w:t>12</w:t>
    </w:r>
    <w:r w:rsidRPr="00B743BC">
      <w:fldChar w:fldCharType="end"/>
    </w:r>
    <w:r w:rsidRPr="00B743BC">
      <w:t>/</w:t>
    </w:r>
    <w:fldSimple w:instr=" NUMPAGES  \* MERGEFORMAT ">
      <w:r w:rsidRPr="00B743BC">
        <w:rPr>
          <w:noProof/>
        </w:rPr>
        <w:t>18</w:t>
      </w:r>
    </w:fldSimple>
    <w:r w:rsidRPr="00B743BC">
      <w:tab/>
    </w:r>
    <w:r w:rsidRPr="00B743BC">
      <w:rPr>
        <w:rStyle w:val="HideTWBExt"/>
      </w:rPr>
      <w:t>&lt;PathFdR&gt;</w:t>
    </w:r>
    <w:r w:rsidRPr="00B743BC">
      <w:t>RR\1338392SV.docx</w:t>
    </w:r>
    <w:r w:rsidRPr="00B743BC">
      <w:rPr>
        <w:rStyle w:val="HideTWBExt"/>
      </w:rPr>
      <w:t>&lt;/</w:t>
    </w:r>
    <w:proofErr w:type="spellStart"/>
    <w:r w:rsidRPr="00B743BC">
      <w:rPr>
        <w:rStyle w:val="HideTWBExt"/>
      </w:rPr>
      <w:t>PathFdR</w:t>
    </w:r>
    <w:proofErr w:type="spellEnd"/>
    <w:r w:rsidRPr="00B743BC">
      <w:rPr>
        <w:rStyle w:val="HideTWBExt"/>
      </w:rPr>
      <w:t>&gt;</w:t>
    </w:r>
  </w:p>
  <w:p w14:paraId="6D3AF60F" w14:textId="77777777" w:rsidR="009F1DF9" w:rsidRPr="00B743BC" w:rsidRDefault="009F1DF9" w:rsidP="00AF2360">
    <w:pPr>
      <w:pStyle w:val="EPFooter2"/>
    </w:pPr>
    <w:r w:rsidRPr="00B743B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79B0" w14:textId="333E88DB" w:rsidR="009F1DF9" w:rsidRPr="00B743BC" w:rsidRDefault="009F1DF9" w:rsidP="00AF236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A57C" w14:textId="77777777" w:rsidR="009F1DF9" w:rsidRPr="00B743BC" w:rsidRDefault="009F1DF9" w:rsidP="00AF2360">
    <w:pPr>
      <w:pStyle w:val="EPFooter"/>
    </w:pPr>
    <w:r w:rsidRPr="00B743BC">
      <w:rPr>
        <w:rStyle w:val="HideTWBExt"/>
      </w:rPr>
      <w:t>&lt;PathFdR&gt;</w:t>
    </w:r>
    <w:r w:rsidRPr="00B743BC">
      <w:t>RR\1338392SV.docx</w:t>
    </w:r>
    <w:r w:rsidRPr="00B743BC">
      <w:rPr>
        <w:rStyle w:val="HideTWBExt"/>
      </w:rPr>
      <w:t>&lt;/</w:t>
    </w:r>
    <w:proofErr w:type="spellStart"/>
    <w:r w:rsidRPr="00B743BC">
      <w:rPr>
        <w:rStyle w:val="HideTWBExt"/>
      </w:rPr>
      <w:t>PathFdR</w:t>
    </w:r>
    <w:proofErr w:type="spellEnd"/>
    <w:r w:rsidRPr="00B743BC">
      <w:rPr>
        <w:rStyle w:val="HideTWBExt"/>
      </w:rPr>
      <w:t>&gt;</w:t>
    </w:r>
    <w:r w:rsidRPr="00B743BC">
      <w:tab/>
    </w:r>
    <w:r w:rsidRPr="00B743BC">
      <w:tab/>
      <w:t>PE</w:t>
    </w:r>
    <w:r w:rsidRPr="00B743BC">
      <w:rPr>
        <w:rStyle w:val="HideTWBExt"/>
      </w:rPr>
      <w:t>&lt;</w:t>
    </w:r>
    <w:proofErr w:type="spellStart"/>
    <w:r w:rsidRPr="00B743BC">
      <w:rPr>
        <w:rStyle w:val="HideTWBExt"/>
      </w:rPr>
      <w:t>NoPE</w:t>
    </w:r>
    <w:proofErr w:type="spellEnd"/>
    <w:r w:rsidRPr="00B743BC">
      <w:rPr>
        <w:rStyle w:val="HideTWBExt"/>
      </w:rPr>
      <w:t>&gt;</w:t>
    </w:r>
    <w:r w:rsidRPr="00B743BC">
      <w:t>782.416</w:t>
    </w:r>
    <w:r w:rsidRPr="00B743BC">
      <w:rPr>
        <w:rStyle w:val="HideTWBExt"/>
      </w:rPr>
      <w:t>&lt;/</w:t>
    </w:r>
    <w:proofErr w:type="spellStart"/>
    <w:r w:rsidRPr="00B743BC">
      <w:rPr>
        <w:rStyle w:val="HideTWBExt"/>
      </w:rPr>
      <w:t>NoPE</w:t>
    </w:r>
    <w:proofErr w:type="spellEnd"/>
    <w:r w:rsidRPr="00B743BC">
      <w:rPr>
        <w:rStyle w:val="HideTWBExt"/>
      </w:rPr>
      <w:t>&gt;&lt;Version&gt;</w:t>
    </w:r>
    <w:r w:rsidRPr="00B743BC">
      <w:t>v02-00</w:t>
    </w:r>
    <w:r w:rsidRPr="00B743BC">
      <w:rPr>
        <w:rStyle w:val="HideTWBExt"/>
      </w:rPr>
      <w:t>&lt;/Version&gt;</w:t>
    </w:r>
  </w:p>
  <w:p w14:paraId="61BF722B" w14:textId="77777777" w:rsidR="009F1DF9" w:rsidRPr="00B743BC" w:rsidRDefault="009F1DF9" w:rsidP="00AF2360">
    <w:pPr>
      <w:pStyle w:val="EPFooter2"/>
    </w:pPr>
    <w:r w:rsidRPr="00B743BC">
      <w:t>SV</w:t>
    </w:r>
    <w:r w:rsidRPr="00B743BC">
      <w:tab/>
    </w:r>
    <w:r w:rsidRPr="00B743BC">
      <w:rPr>
        <w:b w:val="0"/>
        <w:i/>
        <w:color w:val="C0C0C0"/>
        <w:sz w:val="22"/>
      </w:rPr>
      <w:t>Förenade i mångfalden</w:t>
    </w:r>
    <w:r w:rsidRPr="00B743BC">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60B4E" w14:textId="77777777" w:rsidR="00064002" w:rsidRPr="00B743B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B24E" w14:textId="77777777" w:rsidR="00064002" w:rsidRPr="00B743B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5C92" w14:textId="77777777" w:rsidR="00064002" w:rsidRPr="00B743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67F48" w14:textId="77777777" w:rsidR="009A4CC4" w:rsidRPr="00B743BC" w:rsidRDefault="009A4CC4">
      <w:r w:rsidRPr="00B743BC">
        <w:separator/>
      </w:r>
    </w:p>
  </w:footnote>
  <w:footnote w:type="continuationSeparator" w:id="0">
    <w:p w14:paraId="45FF508C" w14:textId="77777777" w:rsidR="009A4CC4" w:rsidRPr="00B743BC" w:rsidRDefault="009A4CC4">
      <w:r w:rsidRPr="00B743BC">
        <w:continuationSeparator/>
      </w:r>
    </w:p>
  </w:footnote>
  <w:footnote w:id="1">
    <w:p w14:paraId="17AF5499" w14:textId="1C62F219" w:rsidR="009F1DF9" w:rsidRPr="00E75E5C" w:rsidRDefault="009F1DF9" w:rsidP="00B743BC">
      <w:pPr>
        <w:pStyle w:val="FootnoteText"/>
        <w:ind w:left="567" w:hanging="567"/>
        <w:rPr>
          <w:sz w:val="24"/>
          <w:lang w:val="fi-FI"/>
        </w:rPr>
      </w:pPr>
      <w:r w:rsidRPr="00B743BC">
        <w:rPr>
          <w:rStyle w:val="FootnoteReference"/>
          <w:sz w:val="24"/>
          <w:lang w:val="sv-SE"/>
        </w:rPr>
        <w:footnoteRef/>
      </w:r>
      <w:r w:rsidR="00B743BC" w:rsidRPr="00E75E5C">
        <w:rPr>
          <w:sz w:val="24"/>
          <w:lang w:val="fi-FI"/>
        </w:rPr>
        <w:t xml:space="preserve"> </w:t>
      </w:r>
      <w:r w:rsidR="00B743BC" w:rsidRPr="00E75E5C">
        <w:rPr>
          <w:sz w:val="24"/>
          <w:lang w:val="fi-FI"/>
        </w:rPr>
        <w:tab/>
      </w:r>
      <w:r w:rsidRPr="00E75E5C">
        <w:rPr>
          <w:sz w:val="24"/>
          <w:lang w:val="fi-FI"/>
        </w:rPr>
        <w:t xml:space="preserve">EUT L 153, 3.5.2021, s. 48, ELI: </w:t>
      </w:r>
      <w:hyperlink r:id="rId1" w:history="1">
        <w:r w:rsidRPr="00E75E5C">
          <w:rPr>
            <w:rStyle w:val="Hyperlink"/>
            <w:sz w:val="24"/>
            <w:lang w:val="fi-FI"/>
          </w:rPr>
          <w:t>http://data.europa.eu/eli/reg/2021/691/oj</w:t>
        </w:r>
      </w:hyperlink>
      <w:r w:rsidRPr="00E75E5C">
        <w:rPr>
          <w:sz w:val="24"/>
          <w:lang w:val="fi-FI"/>
        </w:rPr>
        <w:t>.</w:t>
      </w:r>
    </w:p>
  </w:footnote>
  <w:footnote w:id="2">
    <w:p w14:paraId="3C4D2E5A" w14:textId="46532C42" w:rsidR="009F1DF9" w:rsidRPr="00E75E5C" w:rsidRDefault="009F1DF9" w:rsidP="00B743BC">
      <w:pPr>
        <w:pStyle w:val="FootnoteText"/>
        <w:ind w:left="567" w:hanging="567"/>
        <w:rPr>
          <w:sz w:val="24"/>
          <w:lang w:val="fi-FI"/>
        </w:rPr>
      </w:pPr>
      <w:r w:rsidRPr="00B743BC">
        <w:rPr>
          <w:rStyle w:val="FootnoteReference"/>
          <w:sz w:val="24"/>
          <w:lang w:val="sv-SE"/>
        </w:rPr>
        <w:footnoteRef/>
      </w:r>
      <w:r w:rsidR="00B743BC" w:rsidRPr="00E75E5C">
        <w:rPr>
          <w:sz w:val="24"/>
          <w:lang w:val="fi-FI"/>
        </w:rPr>
        <w:t xml:space="preserve"> </w:t>
      </w:r>
      <w:r w:rsidR="00B743BC" w:rsidRPr="00E75E5C">
        <w:rPr>
          <w:sz w:val="24"/>
          <w:lang w:val="fi-FI"/>
        </w:rPr>
        <w:tab/>
      </w:r>
      <w:r w:rsidRPr="00E75E5C">
        <w:rPr>
          <w:sz w:val="24"/>
          <w:lang w:val="fi-FI"/>
        </w:rPr>
        <w:t xml:space="preserve">EUT L 433 I, 22.12.2020, s. 11, ELI: </w:t>
      </w:r>
      <w:hyperlink r:id="rId2" w:history="1">
        <w:r w:rsidRPr="00E75E5C">
          <w:rPr>
            <w:rStyle w:val="Hyperlink"/>
            <w:sz w:val="24"/>
            <w:lang w:val="fi-FI"/>
          </w:rPr>
          <w:t>http://data.europa.eu/eli/reg/2020/2093/oj</w:t>
        </w:r>
      </w:hyperlink>
      <w:r w:rsidRPr="00E75E5C">
        <w:rPr>
          <w:sz w:val="24"/>
          <w:lang w:val="fi-FI"/>
        </w:rPr>
        <w:t>.</w:t>
      </w:r>
    </w:p>
  </w:footnote>
  <w:footnote w:id="3">
    <w:p w14:paraId="77F80916" w14:textId="774C47D3" w:rsidR="009F1DF9" w:rsidRPr="00B743BC" w:rsidRDefault="009F1DF9" w:rsidP="00B743BC">
      <w:pPr>
        <w:pStyle w:val="FootnoteText"/>
        <w:ind w:left="567" w:hanging="567"/>
        <w:rPr>
          <w:sz w:val="24"/>
          <w:lang w:val="sv-SE"/>
        </w:rPr>
      </w:pPr>
      <w:r w:rsidRPr="00B743BC">
        <w:rPr>
          <w:rStyle w:val="FootnoteReference"/>
          <w:sz w:val="24"/>
          <w:lang w:val="sv-SE"/>
        </w:rPr>
        <w:footnoteRef/>
      </w:r>
      <w:r w:rsidR="00B743BC" w:rsidRPr="00B743BC">
        <w:rPr>
          <w:sz w:val="24"/>
          <w:shd w:val="clear" w:color="auto" w:fill="FFFFFF"/>
          <w:lang w:val="sv-SE"/>
        </w:rPr>
        <w:t xml:space="preserve"> </w:t>
      </w:r>
      <w:r w:rsidR="00B743BC" w:rsidRPr="00B743BC">
        <w:rPr>
          <w:sz w:val="24"/>
          <w:shd w:val="clear" w:color="auto" w:fill="FFFFFF"/>
          <w:lang w:val="sv-SE"/>
        </w:rPr>
        <w:tab/>
      </w:r>
      <w:r w:rsidRPr="00B743BC">
        <w:rPr>
          <w:sz w:val="24"/>
          <w:shd w:val="clear" w:color="auto" w:fill="FFFFFF"/>
          <w:lang w:val="sv-SE"/>
        </w:rPr>
        <w:t>Rådets förordning (EU, Euratom) 2024/765 av den 29 februari 2024 om ändring av förordning (EU, Euratom) 2020/2093 om den fleråriga budgetramen 2021–2027 (EUT L</w:t>
      </w:r>
      <w:r w:rsidR="00795B1F">
        <w:rPr>
          <w:sz w:val="24"/>
          <w:shd w:val="clear" w:color="auto" w:fill="FFFFFF"/>
          <w:lang w:val="sv-SE"/>
        </w:rPr>
        <w:t>,</w:t>
      </w:r>
      <w:r w:rsidRPr="00B743BC">
        <w:rPr>
          <w:sz w:val="24"/>
          <w:shd w:val="clear" w:color="auto" w:fill="FFFFFF"/>
          <w:lang w:val="sv-SE"/>
        </w:rPr>
        <w:t> 2024/765, 29.2.2024, ELI:</w:t>
      </w:r>
      <w:r w:rsidRPr="00B743BC">
        <w:rPr>
          <w:color w:val="333333"/>
          <w:sz w:val="24"/>
          <w:shd w:val="clear" w:color="auto" w:fill="FFFFFF"/>
          <w:lang w:val="sv-SE"/>
        </w:rPr>
        <w:t xml:space="preserve"> </w:t>
      </w:r>
      <w:hyperlink r:id="rId3" w:history="1">
        <w:r w:rsidRPr="00B743BC">
          <w:rPr>
            <w:rStyle w:val="Hyperlink"/>
            <w:sz w:val="24"/>
            <w:shd w:val="clear" w:color="auto" w:fill="FFFFFF"/>
            <w:lang w:val="sv-SE"/>
          </w:rPr>
          <w:t>http://data.europa.eu/eli/reg/2024/765/oj</w:t>
        </w:r>
      </w:hyperlink>
      <w:r w:rsidRPr="00B743BC">
        <w:rPr>
          <w:i/>
          <w:color w:val="333333"/>
          <w:sz w:val="24"/>
          <w:shd w:val="clear" w:color="auto" w:fill="FFFFFF"/>
          <w:lang w:val="sv-SE"/>
        </w:rPr>
        <w:t>).</w:t>
      </w:r>
    </w:p>
  </w:footnote>
  <w:footnote w:id="4">
    <w:p w14:paraId="01817B65" w14:textId="025AB55D" w:rsidR="009F1DF9" w:rsidRPr="00E75E5C" w:rsidRDefault="009F1DF9" w:rsidP="00B743BC">
      <w:pPr>
        <w:pStyle w:val="FootnoteText"/>
        <w:ind w:left="567" w:hanging="567"/>
        <w:rPr>
          <w:sz w:val="24"/>
          <w:lang w:val="fi-FI"/>
        </w:rPr>
      </w:pPr>
      <w:r w:rsidRPr="00B743BC">
        <w:rPr>
          <w:rStyle w:val="FootnoteReference"/>
          <w:sz w:val="24"/>
          <w:lang w:val="sv-SE"/>
        </w:rPr>
        <w:footnoteRef/>
      </w:r>
      <w:r w:rsidR="00B743BC" w:rsidRPr="00E75E5C">
        <w:rPr>
          <w:sz w:val="24"/>
          <w:lang w:val="fi-FI"/>
        </w:rPr>
        <w:t xml:space="preserve"> </w:t>
      </w:r>
      <w:r w:rsidR="00B743BC" w:rsidRPr="00E75E5C">
        <w:rPr>
          <w:sz w:val="24"/>
          <w:lang w:val="fi-FI"/>
        </w:rPr>
        <w:tab/>
      </w:r>
      <w:r w:rsidRPr="00E75E5C">
        <w:rPr>
          <w:sz w:val="24"/>
          <w:lang w:val="fi-FI"/>
        </w:rPr>
        <w:t xml:space="preserve">EUT L 433 I, 22.12.2020, s. 28, ELI: </w:t>
      </w:r>
      <w:hyperlink r:id="rId4" w:history="1">
        <w:r w:rsidRPr="00E75E5C">
          <w:rPr>
            <w:rStyle w:val="Hyperlink"/>
            <w:sz w:val="24"/>
            <w:lang w:val="fi-FI"/>
          </w:rPr>
          <w:t>http://data.europa.eu/eli/agree_interinstit/2020/1222/oj</w:t>
        </w:r>
      </w:hyperlink>
      <w:r w:rsidRPr="00E75E5C">
        <w:rPr>
          <w:sz w:val="24"/>
          <w:lang w:val="fi-FI"/>
        </w:rPr>
        <w:t>.</w:t>
      </w:r>
    </w:p>
  </w:footnote>
  <w:footnote w:id="5">
    <w:p w14:paraId="5F678278" w14:textId="448CE77B" w:rsidR="009F1DF9" w:rsidRPr="00B743BC" w:rsidRDefault="009F1DF9" w:rsidP="00B743BC">
      <w:pPr>
        <w:pStyle w:val="FootnoteText"/>
        <w:ind w:left="567" w:hanging="567"/>
        <w:rPr>
          <w:sz w:val="24"/>
          <w:lang w:val="sv-SE"/>
        </w:rPr>
      </w:pPr>
      <w:r w:rsidRPr="00B743BC">
        <w:rPr>
          <w:rStyle w:val="FootnoteReference"/>
          <w:sz w:val="24"/>
          <w:lang w:val="sv-SE"/>
        </w:rPr>
        <w:footnoteRef/>
      </w:r>
      <w:r w:rsidR="00B743BC" w:rsidRPr="00B743BC">
        <w:rPr>
          <w:sz w:val="24"/>
          <w:lang w:val="sv-SE"/>
        </w:rPr>
        <w:t xml:space="preserve"> </w:t>
      </w:r>
      <w:r w:rsidR="00B743BC" w:rsidRPr="00B743BC">
        <w:rPr>
          <w:sz w:val="24"/>
          <w:lang w:val="sv-SE"/>
        </w:rPr>
        <w:tab/>
      </w:r>
      <w:r w:rsidRPr="00B743BC">
        <w:rPr>
          <w:sz w:val="24"/>
          <w:lang w:val="sv-SE"/>
        </w:rPr>
        <w:t>I den mening som avses i artikel 3 i EGF-förordningen.</w:t>
      </w:r>
    </w:p>
  </w:footnote>
  <w:footnote w:id="6">
    <w:p w14:paraId="210518F4" w14:textId="497A8E75" w:rsidR="009F1DF9" w:rsidRPr="00B743BC" w:rsidRDefault="009F1DF9" w:rsidP="00B743BC">
      <w:pPr>
        <w:pStyle w:val="FootnoteText"/>
        <w:ind w:left="567" w:hanging="567"/>
        <w:rPr>
          <w:sz w:val="24"/>
          <w:lang w:val="sv-SE"/>
        </w:rPr>
      </w:pPr>
      <w:r w:rsidRPr="00B743BC">
        <w:rPr>
          <w:rStyle w:val="FootnoteReference"/>
          <w:sz w:val="24"/>
          <w:lang w:val="sv-SE"/>
        </w:rPr>
        <w:footnoteRef/>
      </w:r>
      <w:r w:rsidR="00B743BC" w:rsidRPr="00B743BC">
        <w:rPr>
          <w:sz w:val="24"/>
          <w:lang w:val="sv-SE"/>
        </w:rPr>
        <w:t xml:space="preserve"> </w:t>
      </w:r>
      <w:r w:rsidR="00B743BC" w:rsidRPr="00B743BC">
        <w:rPr>
          <w:sz w:val="24"/>
          <w:lang w:val="sv-SE"/>
        </w:rPr>
        <w:tab/>
      </w:r>
      <w:r w:rsidRPr="00B743BC">
        <w:rPr>
          <w:sz w:val="24"/>
          <w:lang w:val="sv-SE"/>
        </w:rPr>
        <w:t>Artikel 8 i förordningen om den fleråriga budgetramen.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131E" w14:textId="77777777" w:rsidR="009F1DF9" w:rsidRPr="00B743BC" w:rsidRDefault="009F1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2DBA" w14:textId="77777777" w:rsidR="009F1DF9" w:rsidRPr="00B743BC" w:rsidRDefault="009F1D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D219" w14:textId="77777777" w:rsidR="009F1DF9" w:rsidRPr="00B743BC" w:rsidRDefault="009F1D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7A55" w14:textId="77777777" w:rsidR="00064002" w:rsidRPr="00B743B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6B47" w14:textId="77777777" w:rsidR="00064002" w:rsidRPr="00B743B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0A5BD" w14:textId="77777777" w:rsidR="00064002" w:rsidRPr="00B743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6624312">
    <w:abstractNumId w:val="9"/>
  </w:num>
  <w:num w:numId="2" w16cid:durableId="141123608">
    <w:abstractNumId w:val="9"/>
  </w:num>
  <w:num w:numId="3" w16cid:durableId="1662344096">
    <w:abstractNumId w:val="7"/>
  </w:num>
  <w:num w:numId="4" w16cid:durableId="63644104">
    <w:abstractNumId w:val="7"/>
  </w:num>
  <w:num w:numId="5" w16cid:durableId="439222443">
    <w:abstractNumId w:val="6"/>
  </w:num>
  <w:num w:numId="6" w16cid:durableId="90204739">
    <w:abstractNumId w:val="6"/>
  </w:num>
  <w:num w:numId="7" w16cid:durableId="439573225">
    <w:abstractNumId w:val="5"/>
  </w:num>
  <w:num w:numId="8" w16cid:durableId="765808632">
    <w:abstractNumId w:val="5"/>
  </w:num>
  <w:num w:numId="9" w16cid:durableId="54743350">
    <w:abstractNumId w:val="4"/>
  </w:num>
  <w:num w:numId="10" w16cid:durableId="854542091">
    <w:abstractNumId w:val="4"/>
  </w:num>
  <w:num w:numId="11" w16cid:durableId="1625455235">
    <w:abstractNumId w:val="8"/>
  </w:num>
  <w:num w:numId="12" w16cid:durableId="1794865644">
    <w:abstractNumId w:val="8"/>
  </w:num>
  <w:num w:numId="13" w16cid:durableId="1447576825">
    <w:abstractNumId w:val="3"/>
  </w:num>
  <w:num w:numId="14" w16cid:durableId="1295209770">
    <w:abstractNumId w:val="3"/>
  </w:num>
  <w:num w:numId="15" w16cid:durableId="2142728156">
    <w:abstractNumId w:val="2"/>
  </w:num>
  <w:num w:numId="16" w16cid:durableId="1032539446">
    <w:abstractNumId w:val="2"/>
  </w:num>
  <w:num w:numId="17" w16cid:durableId="2118065466">
    <w:abstractNumId w:val="1"/>
  </w:num>
  <w:num w:numId="18" w16cid:durableId="39013172">
    <w:abstractNumId w:val="1"/>
  </w:num>
  <w:num w:numId="19" w16cid:durableId="401370961">
    <w:abstractNumId w:val="0"/>
  </w:num>
  <w:num w:numId="20" w16cid:durableId="1152334428">
    <w:abstractNumId w:val="0"/>
  </w:num>
  <w:num w:numId="21" w16cid:durableId="1724520231">
    <w:abstractNumId w:val="9"/>
  </w:num>
  <w:num w:numId="22" w16cid:durableId="293146796">
    <w:abstractNumId w:val="7"/>
  </w:num>
  <w:num w:numId="23" w16cid:durableId="44989361">
    <w:abstractNumId w:val="6"/>
  </w:num>
  <w:num w:numId="24" w16cid:durableId="1693998435">
    <w:abstractNumId w:val="5"/>
  </w:num>
  <w:num w:numId="25" w16cid:durableId="1304578657">
    <w:abstractNumId w:val="4"/>
  </w:num>
  <w:num w:numId="26" w16cid:durableId="2084378228">
    <w:abstractNumId w:val="8"/>
  </w:num>
  <w:num w:numId="27" w16cid:durableId="410202191">
    <w:abstractNumId w:val="3"/>
  </w:num>
  <w:num w:numId="28" w16cid:durableId="743258405">
    <w:abstractNumId w:val="2"/>
  </w:num>
  <w:num w:numId="29" w16cid:durableId="1166894920">
    <w:abstractNumId w:val="1"/>
  </w:num>
  <w:num w:numId="30" w16cid:durableId="634677750">
    <w:abstractNumId w:val="0"/>
  </w:num>
  <w:num w:numId="31" w16cid:durableId="1619676540">
    <w:abstractNumId w:val="9"/>
  </w:num>
  <w:num w:numId="32" w16cid:durableId="542251860">
    <w:abstractNumId w:val="7"/>
  </w:num>
  <w:num w:numId="33" w16cid:durableId="2003001347">
    <w:abstractNumId w:val="6"/>
  </w:num>
  <w:num w:numId="34" w16cid:durableId="1734304551">
    <w:abstractNumId w:val="5"/>
  </w:num>
  <w:num w:numId="35" w16cid:durableId="908686949">
    <w:abstractNumId w:val="4"/>
  </w:num>
  <w:num w:numId="36" w16cid:durableId="1513302071">
    <w:abstractNumId w:val="8"/>
  </w:num>
  <w:num w:numId="37" w16cid:durableId="805322507">
    <w:abstractNumId w:val="3"/>
  </w:num>
  <w:num w:numId="38" w16cid:durableId="1421676562">
    <w:abstractNumId w:val="2"/>
  </w:num>
  <w:num w:numId="39" w16cid:durableId="521744940">
    <w:abstractNumId w:val="1"/>
  </w:num>
  <w:num w:numId="40" w16cid:durableId="28267574">
    <w:abstractNumId w:val="0"/>
  </w:num>
  <w:num w:numId="41" w16cid:durableId="1601572655">
    <w:abstractNumId w:val="10"/>
  </w:num>
  <w:num w:numId="42" w16cid:durableId="252713810">
    <w:abstractNumId w:val="10"/>
  </w:num>
  <w:num w:numId="43" w16cid:durableId="1031567842">
    <w:abstractNumId w:val="10"/>
  </w:num>
  <w:num w:numId="44" w16cid:durableId="1080328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SV"/>
    <w:docVar w:name="dvnumam" w:val="0"/>
    <w:docVar w:name="dvpe" w:val="782.416"/>
    <w:docVar w:name="dvrapporteur" w:val="Föredragande: "/>
    <w:docVar w:name="dvtitre" w:val="Europaparlamentets lagstiftningsresolution av den xx xx 2026 om förslaget till Europaparlamentets och rådets beslut om utnyttjande av Europeiska fonden för justering för globaliseringseffekter för uppsagda arbetstagare efter en ansökan från Belgien – EGF/2025/004 BE/Tupperware (COM(2026)0001 – C10-0012/2026 – 2026/0004(BUD))"/>
  </w:docVars>
  <w:rsids>
    <w:rsidRoot w:val="009A4CC4"/>
    <w:rsid w:val="00002272"/>
    <w:rsid w:val="00064002"/>
    <w:rsid w:val="000677B9"/>
    <w:rsid w:val="000831BA"/>
    <w:rsid w:val="000A42CC"/>
    <w:rsid w:val="000E7DD9"/>
    <w:rsid w:val="0010095E"/>
    <w:rsid w:val="00125B37"/>
    <w:rsid w:val="00187494"/>
    <w:rsid w:val="001F32AE"/>
    <w:rsid w:val="0022563B"/>
    <w:rsid w:val="002767FF"/>
    <w:rsid w:val="002826C6"/>
    <w:rsid w:val="002908A6"/>
    <w:rsid w:val="002B18FE"/>
    <w:rsid w:val="002B5493"/>
    <w:rsid w:val="0032269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E8D"/>
    <w:rsid w:val="005C1472"/>
    <w:rsid w:val="005C2568"/>
    <w:rsid w:val="005F1B17"/>
    <w:rsid w:val="006037C0"/>
    <w:rsid w:val="006235FE"/>
    <w:rsid w:val="006631B6"/>
    <w:rsid w:val="00680577"/>
    <w:rsid w:val="006F74FA"/>
    <w:rsid w:val="00731ADD"/>
    <w:rsid w:val="00734777"/>
    <w:rsid w:val="00747932"/>
    <w:rsid w:val="00751A4A"/>
    <w:rsid w:val="00756632"/>
    <w:rsid w:val="00762C74"/>
    <w:rsid w:val="00786EC0"/>
    <w:rsid w:val="00795B1F"/>
    <w:rsid w:val="007D1690"/>
    <w:rsid w:val="007E22AD"/>
    <w:rsid w:val="00817416"/>
    <w:rsid w:val="00835264"/>
    <w:rsid w:val="00842779"/>
    <w:rsid w:val="0086418A"/>
    <w:rsid w:val="00865F67"/>
    <w:rsid w:val="00881A7B"/>
    <w:rsid w:val="008840E5"/>
    <w:rsid w:val="00887B3E"/>
    <w:rsid w:val="008C2AC6"/>
    <w:rsid w:val="0091121F"/>
    <w:rsid w:val="00917994"/>
    <w:rsid w:val="00930C23"/>
    <w:rsid w:val="0093193B"/>
    <w:rsid w:val="009509D8"/>
    <w:rsid w:val="00950B64"/>
    <w:rsid w:val="00981893"/>
    <w:rsid w:val="009A4CC4"/>
    <w:rsid w:val="009B43AC"/>
    <w:rsid w:val="009F1DF9"/>
    <w:rsid w:val="00A1687D"/>
    <w:rsid w:val="00A43E52"/>
    <w:rsid w:val="00A4678D"/>
    <w:rsid w:val="00A778C7"/>
    <w:rsid w:val="00AB441E"/>
    <w:rsid w:val="00AB6293"/>
    <w:rsid w:val="00AB7DB4"/>
    <w:rsid w:val="00AE0928"/>
    <w:rsid w:val="00AF3B82"/>
    <w:rsid w:val="00B12E95"/>
    <w:rsid w:val="00B22876"/>
    <w:rsid w:val="00B558F0"/>
    <w:rsid w:val="00B743BC"/>
    <w:rsid w:val="00BD48FE"/>
    <w:rsid w:val="00BD7BD8"/>
    <w:rsid w:val="00BE6ADC"/>
    <w:rsid w:val="00BE7563"/>
    <w:rsid w:val="00C05BFE"/>
    <w:rsid w:val="00C23CD4"/>
    <w:rsid w:val="00C61C0C"/>
    <w:rsid w:val="00C941CB"/>
    <w:rsid w:val="00CA3495"/>
    <w:rsid w:val="00CC2357"/>
    <w:rsid w:val="00CF071A"/>
    <w:rsid w:val="00D058B8"/>
    <w:rsid w:val="00D56C11"/>
    <w:rsid w:val="00D834A0"/>
    <w:rsid w:val="00D872DF"/>
    <w:rsid w:val="00D91E21"/>
    <w:rsid w:val="00DA7FCD"/>
    <w:rsid w:val="00E365E1"/>
    <w:rsid w:val="00E75E5C"/>
    <w:rsid w:val="00E820A4"/>
    <w:rsid w:val="00EB006A"/>
    <w:rsid w:val="00EB4772"/>
    <w:rsid w:val="00ED169E"/>
    <w:rsid w:val="00ED4235"/>
    <w:rsid w:val="00F03CA9"/>
    <w:rsid w:val="00F04346"/>
    <w:rsid w:val="00F075DC"/>
    <w:rsid w:val="00F149E9"/>
    <w:rsid w:val="00F5134D"/>
    <w:rsid w:val="00F74202"/>
    <w:rsid w:val="00F87713"/>
    <w:rsid w:val="00FB4360"/>
    <w:rsid w:val="00FC1C9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05294"/>
  <w15:chartTrackingRefBased/>
  <w15:docId w15:val="{17AB7C43-2BB9-4510-9677-5C2A8D04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1DF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F1DF9"/>
    <w:pPr>
      <w:keepNext/>
      <w:spacing w:after="480"/>
      <w:jc w:val="center"/>
    </w:pPr>
    <w:rPr>
      <w:rFonts w:ascii="Arial" w:hAnsi="Arial" w:cs="Arial"/>
      <w:b/>
    </w:rPr>
  </w:style>
  <w:style w:type="paragraph" w:customStyle="1" w:styleId="NormalBold">
    <w:name w:val="NormalBold"/>
    <w:basedOn w:val="Normal"/>
    <w:rsid w:val="009F1DF9"/>
    <w:rPr>
      <w:b/>
    </w:rPr>
  </w:style>
  <w:style w:type="paragraph" w:customStyle="1" w:styleId="NormalHanging12a">
    <w:name w:val="NormalHanging12a"/>
    <w:basedOn w:val="Normal"/>
    <w:link w:val="NormalHanging12aChar"/>
    <w:rsid w:val="009F1DF9"/>
    <w:pPr>
      <w:spacing w:after="240"/>
      <w:ind w:left="567" w:hanging="567"/>
    </w:pPr>
  </w:style>
  <w:style w:type="paragraph" w:styleId="Header">
    <w:name w:val="header"/>
    <w:basedOn w:val="Normal"/>
    <w:link w:val="HeaderChar"/>
    <w:rsid w:val="009F1DF9"/>
    <w:pPr>
      <w:tabs>
        <w:tab w:val="center" w:pos="4513"/>
        <w:tab w:val="right" w:pos="9026"/>
      </w:tabs>
    </w:pPr>
  </w:style>
  <w:style w:type="character" w:customStyle="1" w:styleId="HeaderChar">
    <w:name w:val="Header Char"/>
    <w:basedOn w:val="DefaultParagraphFont"/>
    <w:link w:val="Header"/>
    <w:rsid w:val="009F1DF9"/>
    <w:rPr>
      <w:sz w:val="24"/>
      <w:lang w:val="sv-SE"/>
    </w:rPr>
  </w:style>
  <w:style w:type="paragraph" w:customStyle="1" w:styleId="EPFooter">
    <w:name w:val="EPFooter"/>
    <w:basedOn w:val="Normal"/>
    <w:rsid w:val="009F1DF9"/>
    <w:pPr>
      <w:tabs>
        <w:tab w:val="center" w:pos="4535"/>
        <w:tab w:val="right" w:pos="9071"/>
      </w:tabs>
      <w:spacing w:before="240" w:after="240"/>
    </w:pPr>
    <w:rPr>
      <w:color w:val="010000"/>
      <w:sz w:val="22"/>
    </w:rPr>
  </w:style>
  <w:style w:type="paragraph" w:customStyle="1" w:styleId="EPComma">
    <w:name w:val="EPComma"/>
    <w:basedOn w:val="Normal"/>
    <w:rsid w:val="009F1DF9"/>
    <w:pPr>
      <w:spacing w:before="480" w:after="240"/>
    </w:pPr>
  </w:style>
  <w:style w:type="character" w:styleId="Hyperlink">
    <w:name w:val="Hyperlink"/>
    <w:basedOn w:val="DefaultParagraphFont"/>
    <w:uiPriority w:val="99"/>
    <w:rsid w:val="009F1DF9"/>
    <w:rPr>
      <w:color w:val="0563C1" w:themeColor="hyperlink"/>
      <w:u w:val="single"/>
    </w:rPr>
  </w:style>
  <w:style w:type="paragraph" w:customStyle="1" w:styleId="Institutionquiagit">
    <w:name w:val="Institution qui agit"/>
    <w:basedOn w:val="Normal"/>
    <w:next w:val="Normal"/>
    <w:rsid w:val="009F1DF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F1DF9"/>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9F1DF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F1DF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F1DF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F1DF9"/>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9F1DF9"/>
    <w:rPr>
      <w:rFonts w:ascii="Arial" w:hAnsi="Arial" w:cs="Arial"/>
      <w:b/>
      <w:sz w:val="24"/>
      <w:lang w:val="sv-SE"/>
    </w:rPr>
  </w:style>
  <w:style w:type="character" w:customStyle="1" w:styleId="NormalHanging12aChar">
    <w:name w:val="NormalHanging12a Char"/>
    <w:basedOn w:val="DefaultParagraphFont"/>
    <w:link w:val="NormalHanging12a"/>
    <w:locked/>
    <w:rsid w:val="009F1DF9"/>
    <w:rPr>
      <w:sz w:val="24"/>
      <w:lang w:val="sv-SE"/>
    </w:rPr>
  </w:style>
  <w:style w:type="paragraph" w:customStyle="1" w:styleId="Personnequisigne">
    <w:name w:val="Personne qui signe"/>
    <w:basedOn w:val="Normal"/>
    <w:next w:val="Institutionquisigne"/>
    <w:rsid w:val="009F1DF9"/>
    <w:pPr>
      <w:widowControl/>
      <w:tabs>
        <w:tab w:val="left" w:pos="4252"/>
      </w:tabs>
    </w:pPr>
    <w:rPr>
      <w:rFonts w:eastAsiaTheme="minorHAnsi"/>
      <w:i/>
      <w:szCs w:val="22"/>
      <w:lang w:eastAsia="en-US"/>
    </w:rPr>
  </w:style>
  <w:style w:type="paragraph" w:styleId="Revision">
    <w:name w:val="Revision"/>
    <w:hidden/>
    <w:uiPriority w:val="99"/>
    <w:semiHidden/>
    <w:rsid w:val="0091121F"/>
    <w:rPr>
      <w:sz w:val="24"/>
      <w:lang w:val="sv-SE"/>
    </w:rPr>
  </w:style>
  <w:style w:type="character" w:styleId="UnresolvedMention">
    <w:name w:val="Unresolved Mention"/>
    <w:basedOn w:val="DefaultParagraphFont"/>
    <w:uiPriority w:val="99"/>
    <w:semiHidden/>
    <w:unhideWhenUsed/>
    <w:rsid w:val="00322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1426</Words>
  <Characters>9327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2026-05-11T12:46:00Z</dcterms:created>
  <dcterms:modified xsi:type="dcterms:W3CDTF">2026-05-11T12:46:00Z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P10_TA(2026)0073_</vt:lpwstr>
  </property>
  <property fmtid="{D5CDD505-2E9C-101B-9397-08002B2CF9AE}" pid="4" name="&lt;Type&gt;">
    <vt:lpwstr>RR</vt:lpwstr>
  </property>
</Properties>
</file>