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50F" w14:paraId="30835C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52EC42" w14:textId="2193365E" w:rsidR="00751A4A" w:rsidRPr="00B3550F" w:rsidRDefault="000931E1" w:rsidP="0010095E">
            <w:pPr>
              <w:pStyle w:val="EPName"/>
            </w:pPr>
            <w:r w:rsidRPr="00B3550F">
              <w:t>Европейски</w:t>
            </w:r>
            <w:r w:rsidR="00A1666F" w:rsidRPr="00B3550F">
              <w:t xml:space="preserve"> парламент</w:t>
            </w:r>
          </w:p>
          <w:p w14:paraId="3C3E898D" w14:textId="699C89E2" w:rsidR="00751A4A" w:rsidRPr="00B355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50F">
              <w:t>2024</w:t>
            </w:r>
            <w:r w:rsidR="000931E1">
              <w:rPr>
                <w:lang w:val="en-GB"/>
              </w:rPr>
              <w:t> – </w:t>
            </w:r>
            <w:r w:rsidR="00817416" w:rsidRPr="00B3550F">
              <w:t>202</w:t>
            </w:r>
            <w:r w:rsidRPr="00B3550F">
              <w:t>9</w:t>
            </w:r>
          </w:p>
        </w:tc>
        <w:tc>
          <w:tcPr>
            <w:tcW w:w="2268" w:type="dxa"/>
            <w:shd w:val="clear" w:color="auto" w:fill="auto"/>
          </w:tcPr>
          <w:p w14:paraId="462FBD70" w14:textId="77777777" w:rsidR="00751A4A" w:rsidRPr="00B3550F" w:rsidRDefault="00187494" w:rsidP="0010095E">
            <w:pPr>
              <w:pStyle w:val="EPLogo"/>
            </w:pPr>
            <w:r w:rsidRPr="00B3550F">
              <w:rPr>
                <w:noProof/>
                <w:lang w:eastAsia="ja-JP"/>
              </w:rPr>
              <w:drawing>
                <wp:inline distT="0" distB="0" distL="0" distR="0" wp14:anchorId="00D1E886" wp14:editId="0FD210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DAF44" w14:textId="77777777" w:rsidR="00D058B8" w:rsidRPr="00B3550F" w:rsidRDefault="00D058B8" w:rsidP="004C5D52">
      <w:pPr>
        <w:pStyle w:val="LineTop"/>
      </w:pPr>
    </w:p>
    <w:p w14:paraId="1CE984D1" w14:textId="18F7487B" w:rsidR="00680577" w:rsidRPr="00B3550F" w:rsidRDefault="00A1666F" w:rsidP="00680577">
      <w:pPr>
        <w:pStyle w:val="EPBodyTA1"/>
      </w:pPr>
      <w:r w:rsidRPr="00B3550F">
        <w:t>ПРИЕТИ ТЕКСТОВЕ</w:t>
      </w:r>
    </w:p>
    <w:p w14:paraId="459919D8" w14:textId="77777777" w:rsidR="00D058B8" w:rsidRPr="00B3550F" w:rsidRDefault="00D058B8" w:rsidP="00D058B8">
      <w:pPr>
        <w:pStyle w:val="LineBottom"/>
      </w:pPr>
    </w:p>
    <w:p w14:paraId="6D7447F7" w14:textId="45BA9B06" w:rsidR="00A1666F" w:rsidRPr="00B3550F" w:rsidRDefault="00A1666F" w:rsidP="00A1666F">
      <w:pPr>
        <w:pStyle w:val="ATHeading1"/>
      </w:pPr>
      <w:bookmarkStart w:id="0" w:name="TANumber"/>
      <w:r w:rsidRPr="00B3550F">
        <w:t>P10_TA(2026)00</w:t>
      </w:r>
      <w:r w:rsidR="00092240">
        <w:t>75</w:t>
      </w:r>
      <w:bookmarkEnd w:id="0"/>
    </w:p>
    <w:p w14:paraId="2B4E8991" w14:textId="77777777" w:rsidR="00A1666F" w:rsidRPr="00B3550F" w:rsidRDefault="00A1666F" w:rsidP="00A1666F">
      <w:pPr>
        <w:pStyle w:val="ATHeading2"/>
      </w:pPr>
      <w:bookmarkStart w:id="1" w:name="title"/>
      <w:r w:rsidRPr="00B3550F">
        <w:t>Европейски семестър за координация на икономическите политики през 2026 г.</w:t>
      </w:r>
      <w:bookmarkEnd w:id="1"/>
    </w:p>
    <w:p w14:paraId="6A5710D3" w14:textId="77777777" w:rsidR="00A1666F" w:rsidRPr="00B3550F" w:rsidRDefault="00A1666F" w:rsidP="00A1666F">
      <w:pPr>
        <w:rPr>
          <w:i/>
          <w:vanish/>
        </w:rPr>
      </w:pPr>
      <w:r w:rsidRPr="00B3550F">
        <w:rPr>
          <w:i/>
        </w:rPr>
        <w:fldChar w:fldCharType="begin"/>
      </w:r>
      <w:r w:rsidRPr="00B3550F">
        <w:rPr>
          <w:i/>
        </w:rPr>
        <w:instrText xml:space="preserve"> TC"(</w:instrText>
      </w:r>
      <w:bookmarkStart w:id="2" w:name="DocNumber"/>
      <w:r w:rsidRPr="00B3550F">
        <w:rPr>
          <w:i/>
        </w:rPr>
        <w:instrText>A10-0036/2026</w:instrText>
      </w:r>
      <w:bookmarkEnd w:id="2"/>
      <w:r w:rsidRPr="00B3550F">
        <w:rPr>
          <w:i/>
        </w:rPr>
        <w:instrText xml:space="preserve"> - Докладчик: Кира Мари Петер-Хансен)"\l3 \n&gt; \* MERGEFORMAT </w:instrText>
      </w:r>
      <w:r w:rsidRPr="00B3550F">
        <w:rPr>
          <w:i/>
        </w:rPr>
        <w:fldChar w:fldCharType="end"/>
      </w:r>
    </w:p>
    <w:p w14:paraId="7D6A4F3D" w14:textId="77777777" w:rsidR="00A1666F" w:rsidRPr="00B3550F" w:rsidRDefault="00A1666F" w:rsidP="00A1666F">
      <w:pPr>
        <w:rPr>
          <w:vanish/>
        </w:rPr>
      </w:pPr>
      <w:bookmarkStart w:id="3" w:name="Commission"/>
      <w:r w:rsidRPr="00B3550F">
        <w:rPr>
          <w:vanish/>
        </w:rPr>
        <w:t>Комисия по икономически и парични въпроси</w:t>
      </w:r>
      <w:bookmarkEnd w:id="3"/>
    </w:p>
    <w:p w14:paraId="7920481C" w14:textId="77777777" w:rsidR="00A1666F" w:rsidRPr="00B3550F" w:rsidRDefault="00A1666F" w:rsidP="00A1666F">
      <w:pPr>
        <w:rPr>
          <w:vanish/>
        </w:rPr>
      </w:pPr>
      <w:bookmarkStart w:id="4" w:name="PE"/>
      <w:r w:rsidRPr="00B3550F">
        <w:rPr>
          <w:vanish/>
        </w:rPr>
        <w:t>PE779.614</w:t>
      </w:r>
      <w:bookmarkEnd w:id="4"/>
    </w:p>
    <w:p w14:paraId="57DD6032" w14:textId="450DE296" w:rsidR="00A1666F" w:rsidRPr="00B3550F" w:rsidRDefault="00A1666F" w:rsidP="00A1666F">
      <w:pPr>
        <w:pStyle w:val="ATHeading3"/>
      </w:pPr>
      <w:bookmarkStart w:id="5" w:name="Sujet"/>
      <w:r w:rsidRPr="00B3550F">
        <w:t xml:space="preserve">Резолюция на Европейския парламент от </w:t>
      </w:r>
      <w:r w:rsidR="006E0FF7">
        <w:rPr>
          <w:lang w:val="en-GB"/>
        </w:rPr>
        <w:t>11</w:t>
      </w:r>
      <w:r w:rsidRPr="00B3550F">
        <w:t xml:space="preserve"> </w:t>
      </w:r>
      <w:r w:rsidR="000931E1">
        <w:t xml:space="preserve">март </w:t>
      </w:r>
      <w:r w:rsidRPr="00B3550F">
        <w:t>2026 г. относно европейския семестър за координация на икономическите политики през 2026 г.</w:t>
      </w:r>
      <w:bookmarkEnd w:id="5"/>
      <w:r w:rsidRPr="00B3550F">
        <w:t xml:space="preserve"> </w:t>
      </w:r>
      <w:bookmarkStart w:id="6" w:name="References"/>
      <w:r w:rsidRPr="00B3550F">
        <w:t>(2025/2214(INI))</w:t>
      </w:r>
      <w:bookmarkEnd w:id="6"/>
    </w:p>
    <w:p w14:paraId="1357CB00" w14:textId="77777777" w:rsidR="00E84D37" w:rsidRPr="00B3550F" w:rsidRDefault="00E84D37" w:rsidP="00E84D37">
      <w:pPr>
        <w:pStyle w:val="Normal12"/>
      </w:pPr>
      <w:r w:rsidRPr="00B3550F">
        <w:rPr>
          <w:i/>
        </w:rPr>
        <w:t>Европейският парламент</w:t>
      </w:r>
      <w:r w:rsidRPr="00B3550F">
        <w:t>,</w:t>
      </w:r>
    </w:p>
    <w:p w14:paraId="2A137134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Договора за функционирането на Европейския съюз (ДФЕС), и по-специално членове 121, 126 и 136 от него,</w:t>
      </w:r>
    </w:p>
    <w:p w14:paraId="46EAA631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Протокол № 1 към Договора за Европейския съюз (ДЕС) и ДФЕС относно ролята на националните парламенти в Европейския съюз,</w:t>
      </w:r>
    </w:p>
    <w:p w14:paraId="32F67886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Протокол № 2 към ДЕС и ДФЕС относно прилагането на принципите на субсидиарност и на пропорционалност,</w:t>
      </w:r>
    </w:p>
    <w:p w14:paraId="347A7489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Парижкото споразумение, прието на Конференцията на страните по Рамковата конвенция на ООН по изменение на климата на 12 декември 2015 г., и Целите за устойчиво развитие на Организацията на обединените нации (ООН),</w:t>
      </w:r>
    </w:p>
    <w:p w14:paraId="58D58D06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 (ЕС) 2021/1119 на Европейския парламент и на Съвета от 30 юни 2021 г. за създаване на рамката за постигане на неутралност по отношение на климата и за изменение на регламенти (ЕО) № 401/2009 и (ЕС) 2018/1999 („Европейски закон за климата“)</w:t>
      </w:r>
      <w:r w:rsidRPr="00B3550F">
        <w:rPr>
          <w:rStyle w:val="FootnoteReference"/>
        </w:rPr>
        <w:footnoteReference w:customMarkFollows="1" w:id="1"/>
        <w:t>1</w:t>
      </w:r>
      <w:r w:rsidRPr="00B3550F">
        <w:t>,</w:t>
      </w:r>
    </w:p>
    <w:p w14:paraId="1390168B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Протокол № 12 към ДЕС и ДФЕС относно процедурата при прекомерен дефицит,</w:t>
      </w:r>
    </w:p>
    <w:p w14:paraId="19BD9389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Договора за стабилност, координация и управление в икономическия и паричен съюз,</w:t>
      </w:r>
    </w:p>
    <w:p w14:paraId="18D1BBB9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 xml:space="preserve">като взе предвид Регламент (ЕС) 2024/1263 на Европейския парламент и на Съвета от 29 април 2024 г. за ефективна координация на икономическите </w:t>
      </w:r>
      <w:r w:rsidRPr="00B3550F">
        <w:lastRenderedPageBreak/>
        <w:t>политики и за многостранно бюджетно наблюдение и за отмяна на Регламент (ЕО) № 1466/97 на Съвета</w:t>
      </w:r>
      <w:r w:rsidRPr="00B3550F">
        <w:rPr>
          <w:rStyle w:val="FootnoteReference"/>
        </w:rPr>
        <w:footnoteReference w:customMarkFollows="1" w:id="2"/>
        <w:t>2</w:t>
      </w:r>
      <w:r w:rsidRPr="00B3550F">
        <w:t>,</w:t>
      </w:r>
    </w:p>
    <w:p w14:paraId="411B7097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 (ЕС) 2024/1264 на Съвета от 29 април 2024 г. за изменение на Регламент (ЕО) № 1467/97 за ускоряване и изясняване на прилагането на процедурата при прекомерен дефицит</w:t>
      </w:r>
      <w:r w:rsidRPr="00B3550F">
        <w:rPr>
          <w:rStyle w:val="FootnoteReference"/>
        </w:rPr>
        <w:footnoteReference w:customMarkFollows="1" w:id="3"/>
        <w:t>3</w:t>
      </w:r>
      <w:r w:rsidRPr="00B3550F">
        <w:t>,</w:t>
      </w:r>
    </w:p>
    <w:p w14:paraId="54BB162A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Директива (ЕС) 2024/1265 на Съвета от 29 април 2024 г. за изменение на Директива 2011/85/ЕС относно изискванията за бюджетните рамки на държавите членки</w:t>
      </w:r>
      <w:r w:rsidRPr="00B3550F">
        <w:rPr>
          <w:rStyle w:val="FootnoteReference"/>
        </w:rPr>
        <w:footnoteReference w:customMarkFollows="1" w:id="4"/>
        <w:t>4</w:t>
      </w:r>
      <w:r w:rsidRPr="00B3550F">
        <w:t>,</w:t>
      </w:r>
    </w:p>
    <w:p w14:paraId="284E23C6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 (ЕС) № 1173/2011 на Европейския парламент и на Съвета от 16 ноември 2011 г. за ефективното прилагане на бюджетното наблюдение в еврозоната</w:t>
      </w:r>
      <w:r w:rsidRPr="00B3550F">
        <w:rPr>
          <w:rStyle w:val="FootnoteReference"/>
        </w:rPr>
        <w:footnoteReference w:customMarkFollows="1" w:id="5"/>
        <w:t>5</w:t>
      </w:r>
      <w:r w:rsidRPr="00B3550F">
        <w:t>,</w:t>
      </w:r>
    </w:p>
    <w:p w14:paraId="58BF2697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 (ЕС) № 1174/2011 на Европейския парламент и на Съвета от 16 ноември 2011 г. относно принудителните мерки за коригиране на прекомерните макроикономически дисбаланси в еврозоната</w:t>
      </w:r>
      <w:r w:rsidRPr="00B3550F">
        <w:rPr>
          <w:rStyle w:val="FootnoteReference"/>
        </w:rPr>
        <w:footnoteReference w:customMarkFollows="1" w:id="6"/>
        <w:t>6</w:t>
      </w:r>
      <w:r w:rsidRPr="00B3550F">
        <w:t>,</w:t>
      </w:r>
    </w:p>
    <w:p w14:paraId="38384985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 (ЕС) № 1176/2011 на Европейския парламент и на Съвета от 16 ноември 2011 г. относно предотвратяването и коригирането на макроикономическите дисбаланси</w:t>
      </w:r>
      <w:r w:rsidRPr="00B3550F">
        <w:rPr>
          <w:rStyle w:val="FootnoteReference"/>
        </w:rPr>
        <w:footnoteReference w:customMarkFollows="1" w:id="7"/>
        <w:t>7</w:t>
      </w:r>
      <w:r w:rsidRPr="00B3550F">
        <w:t>,</w:t>
      </w:r>
    </w:p>
    <w:p w14:paraId="626944E9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 (ЕС) № 472/2013 на Европейския парламент и на Съвета от 21 май 2013 г. за засилване на икономическото и бюджетно наблюдение над държавите членки в еврозоната, изпитващи или застрашени от сериозни затруднения по отношение на финансовата си стабилност</w:t>
      </w:r>
      <w:r w:rsidRPr="00B3550F">
        <w:rPr>
          <w:rStyle w:val="FootnoteReference"/>
        </w:rPr>
        <w:footnoteReference w:customMarkFollows="1" w:id="8"/>
        <w:t>8</w:t>
      </w:r>
      <w:r w:rsidRPr="00B3550F">
        <w:t>,</w:t>
      </w:r>
    </w:p>
    <w:p w14:paraId="7B85976D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Регламент (ЕС) № 473/2013 на Европейския парламент и на Съвета от 21 май 2013 г. относно общите разпоредби за мониторинг и оценка на проектите за бюджетни планове и за гарантиране на коригирането на прекомерния дефицит на държавите членки в еврозоната</w:t>
      </w:r>
      <w:r w:rsidRPr="00B3550F">
        <w:rPr>
          <w:rStyle w:val="FootnoteReference"/>
        </w:rPr>
        <w:footnoteReference w:customMarkFollows="1" w:id="9"/>
        <w:t>9</w:t>
      </w:r>
      <w:r w:rsidRPr="00B3550F">
        <w:t>,</w:t>
      </w:r>
    </w:p>
    <w:p w14:paraId="4F0F294E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икономическата прогноза на Комисията от пролетта на 2025 г., публикувана на 19 май 2025 г.,</w:t>
      </w:r>
    </w:p>
    <w:p w14:paraId="13B08728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икономическата прогноза на Комисията от есента на 2025 г., публикувана на 17 ноември 2025 г.,</w:t>
      </w:r>
    </w:p>
    <w:p w14:paraId="763DB9A2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есенния пакет на Комисията за европейския семестър за 2026 г., публикуван на 25 ноември 2025 г.,</w:t>
      </w:r>
    </w:p>
    <w:p w14:paraId="39076D38" w14:textId="77777777" w:rsidR="00E84D37" w:rsidRPr="00B3550F" w:rsidRDefault="00E84D37" w:rsidP="00E84D37">
      <w:pPr>
        <w:pStyle w:val="NormalHanging"/>
      </w:pPr>
      <w:r w:rsidRPr="00B3550F">
        <w:lastRenderedPageBreak/>
        <w:t>–</w:t>
      </w:r>
      <w:r w:rsidRPr="00B3550F">
        <w:tab/>
        <w:t>като взе предвид Обзора на Комисията за устойчивостта на обслужването на дълга за 2024 г., публикуван на 17 март 2025 г.,</w:t>
      </w:r>
    </w:p>
    <w:p w14:paraId="6CF5D070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съобщението на Комисията от 19 март 2025 г., озаглавено „Включване на увеличените разходи за отбрана в рамките на пакта за стабилност и растеж“ (C(2025)2000),</w:t>
      </w:r>
    </w:p>
    <w:p w14:paraId="2D4A4363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годишния доклад на Европейския фискален съвет за 2025 г., публикуван на 22 октомври 2025 г.,</w:t>
      </w:r>
    </w:p>
    <w:p w14:paraId="1507F99F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доклада на Марио Драги от 9 септември 2024 г., озаглавен „Бъдещето на европейската конкурентоспособност“ („доклада на Марио Драги“),</w:t>
      </w:r>
    </w:p>
    <w:p w14:paraId="6DFFF544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19 март 2025 г., озаглавено „Съвместна бяла книга за европейската отбранителна готовност до 2030 г.“ (JOIN(2025)0120),</w:t>
      </w:r>
    </w:p>
    <w:p w14:paraId="0F712DDD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доклада на Съвместния изследователски център на Европейската комисия, озаглавен „</w:t>
      </w:r>
      <w:proofErr w:type="spellStart"/>
      <w:r w:rsidRPr="00B3550F">
        <w:t>Measuring</w:t>
      </w:r>
      <w:proofErr w:type="spellEnd"/>
      <w:r w:rsidRPr="00B3550F">
        <w:t xml:space="preserve"> </w:t>
      </w:r>
      <w:proofErr w:type="spellStart"/>
      <w:r w:rsidRPr="00B3550F">
        <w:t>sustainable</w:t>
      </w:r>
      <w:proofErr w:type="spellEnd"/>
      <w:r w:rsidRPr="00B3550F">
        <w:t xml:space="preserve"> </w:t>
      </w:r>
      <w:proofErr w:type="spellStart"/>
      <w:r w:rsidRPr="00B3550F">
        <w:t>and</w:t>
      </w:r>
      <w:proofErr w:type="spellEnd"/>
      <w:r w:rsidRPr="00B3550F">
        <w:t xml:space="preserve"> </w:t>
      </w:r>
      <w:proofErr w:type="spellStart"/>
      <w:r w:rsidRPr="00B3550F">
        <w:t>inclusive</w:t>
      </w:r>
      <w:proofErr w:type="spellEnd"/>
      <w:r w:rsidRPr="00B3550F">
        <w:t xml:space="preserve"> </w:t>
      </w:r>
      <w:proofErr w:type="spellStart"/>
      <w:r w:rsidRPr="00B3550F">
        <w:t>wellbeing</w:t>
      </w:r>
      <w:proofErr w:type="spellEnd"/>
      <w:r w:rsidRPr="00B3550F">
        <w:t xml:space="preserve">: a </w:t>
      </w:r>
      <w:proofErr w:type="spellStart"/>
      <w:r w:rsidRPr="00B3550F">
        <w:t>multidimensional</w:t>
      </w:r>
      <w:proofErr w:type="spellEnd"/>
      <w:r w:rsidRPr="00B3550F">
        <w:t xml:space="preserve"> </w:t>
      </w:r>
      <w:proofErr w:type="spellStart"/>
      <w:r w:rsidRPr="00B3550F">
        <w:t>dashboard</w:t>
      </w:r>
      <w:proofErr w:type="spellEnd"/>
      <w:r w:rsidRPr="00B3550F">
        <w:t xml:space="preserve"> </w:t>
      </w:r>
      <w:proofErr w:type="spellStart"/>
      <w:r w:rsidRPr="00B3550F">
        <w:t>approach</w:t>
      </w:r>
      <w:proofErr w:type="spellEnd"/>
      <w:r w:rsidRPr="00B3550F">
        <w:t>“ („Измерване на устойчивото и приобщаващо благоденствие — многоизмерен подход към набора от показатели“), публикуван на 28 януари 2025 г.,</w:t>
      </w:r>
    </w:p>
    <w:p w14:paraId="03F92A04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Междуинституционалната прокламация относно Европейския стълб на социалните права от 13 декември 2017 г.,</w:t>
      </w:r>
    </w:p>
    <w:p w14:paraId="08CD8DCF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 xml:space="preserve">като взе предвид Декларацията от Ла </w:t>
      </w:r>
      <w:proofErr w:type="spellStart"/>
      <w:r w:rsidRPr="00B3550F">
        <w:t>Юлп</w:t>
      </w:r>
      <w:proofErr w:type="spellEnd"/>
      <w:r w:rsidRPr="00B3550F">
        <w:t xml:space="preserve"> относно бъдещето на Европейския стълб на социалните права от 16 април 2024 г.,</w:t>
      </w:r>
    </w:p>
    <w:p w14:paraId="50C5F412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Социалния ангажимент от Порто от 7 май 2021 г. на Съвета, Комисията, Парламента и социалните партньори,</w:t>
      </w:r>
    </w:p>
    <w:p w14:paraId="55314761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член 55 от своя Правилник за дейността,</w:t>
      </w:r>
    </w:p>
    <w:p w14:paraId="5E8C4335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становището на комисията по бюджети,</w:t>
      </w:r>
    </w:p>
    <w:p w14:paraId="45FB2278" w14:textId="77777777" w:rsidR="00E84D37" w:rsidRPr="00B3550F" w:rsidRDefault="00E84D37" w:rsidP="00E84D37">
      <w:pPr>
        <w:pStyle w:val="NormalHanging"/>
      </w:pPr>
      <w:r w:rsidRPr="00B3550F">
        <w:t>–</w:t>
      </w:r>
      <w:r w:rsidRPr="00B3550F">
        <w:tab/>
        <w:t>като взе предвид доклада на комисията по икономически и парични въпроси (A10-0036/2026),</w:t>
      </w:r>
    </w:p>
    <w:p w14:paraId="4E6623BE" w14:textId="77777777" w:rsidR="00E84D37" w:rsidRPr="00B3550F" w:rsidRDefault="00E84D37" w:rsidP="00E84D37">
      <w:pPr>
        <w:pStyle w:val="NormalHanging"/>
      </w:pPr>
      <w:r w:rsidRPr="00B3550F">
        <w:t>А.</w:t>
      </w:r>
      <w:r w:rsidRPr="00B3550F">
        <w:tab/>
        <w:t>като има предвид, че Европейският семестър играе съществена роля за координирането и съгласуването на икономическите и бюджетните политики на държавите членки с цел гарантиране на макроикономическата стабилност на Икономическия и паричен съюз и постигане на социално справедлив преход към устойчива икономика;</w:t>
      </w:r>
    </w:p>
    <w:p w14:paraId="3F761B2C" w14:textId="77777777" w:rsidR="00E84D37" w:rsidRPr="00B3550F" w:rsidRDefault="00E84D37" w:rsidP="00E84D37">
      <w:pPr>
        <w:pStyle w:val="NormalHanging"/>
      </w:pPr>
      <w:r w:rsidRPr="00B3550F">
        <w:t>Б.</w:t>
      </w:r>
      <w:r w:rsidRPr="00B3550F">
        <w:tab/>
        <w:t>като има предвид, че препоръките на европейския семестър през 2026 г. ще изпълняват съществена роля при оформянето на плановете за национално и регионално партньорство, които трябва да бъдат изготвени от държавите членки;</w:t>
      </w:r>
    </w:p>
    <w:p w14:paraId="30FD3715" w14:textId="77777777" w:rsidR="00E84D37" w:rsidRPr="00B3550F" w:rsidRDefault="00E84D37" w:rsidP="00E84D37">
      <w:pPr>
        <w:pStyle w:val="NormalHanging"/>
      </w:pPr>
      <w:r w:rsidRPr="00B3550F">
        <w:t>В.</w:t>
      </w:r>
      <w:r w:rsidRPr="00B3550F">
        <w:tab/>
        <w:t xml:space="preserve">като има предвид, че специфичните за всяка държава препоръки в рамките на европейския семестър редовно включват съкращения на социалните разходи, като </w:t>
      </w:r>
      <w:r w:rsidRPr="00B3550F">
        <w:lastRenderedPageBreak/>
        <w:t>същевременно почти не предвиждат мерки във връзка с увеличаването на приходите;</w:t>
      </w:r>
    </w:p>
    <w:p w14:paraId="7D370122" w14:textId="77777777" w:rsidR="00E84D37" w:rsidRPr="00B3550F" w:rsidRDefault="00E84D37" w:rsidP="00E84D37">
      <w:pPr>
        <w:pStyle w:val="NormalHanging"/>
      </w:pPr>
      <w:r w:rsidRPr="00B3550F">
        <w:t>Г.</w:t>
      </w:r>
      <w:r w:rsidRPr="00B3550F">
        <w:tab/>
        <w:t>като има предвид, че икономическите перспективи остават несигурни, по-специално поради нашествието на Русия в Украйна и несигурността, породена от протекционистките политики, митата и напрежението в търговията, като всичко това оказва отрицателно въздействие върху икономиката;</w:t>
      </w:r>
    </w:p>
    <w:p w14:paraId="423373C1" w14:textId="77777777" w:rsidR="00E84D37" w:rsidRPr="00B3550F" w:rsidRDefault="00E84D37" w:rsidP="00E84D37">
      <w:pPr>
        <w:pStyle w:val="NormalHanging"/>
      </w:pPr>
      <w:r w:rsidRPr="00B3550F">
        <w:t>Д.</w:t>
      </w:r>
      <w:r w:rsidRPr="00B3550F">
        <w:tab/>
        <w:t>като има предвид, че според икономическата прогноза на Комисията от есента на 2025 г. растежът на БВП в ЕС се очаква да бъде близо до потенциалния растеж, като пълната заетост и инфлацията се доближават до целевото равнище, въпреки че в някои държави членки инфлацията продължава да бъде висока;</w:t>
      </w:r>
    </w:p>
    <w:p w14:paraId="4AEC9D70" w14:textId="77777777" w:rsidR="00E84D37" w:rsidRPr="00B3550F" w:rsidRDefault="00E84D37" w:rsidP="00E84D37">
      <w:pPr>
        <w:pStyle w:val="NormalHanging"/>
      </w:pPr>
      <w:r w:rsidRPr="00B3550F">
        <w:t>Е.</w:t>
      </w:r>
      <w:r w:rsidRPr="00B3550F">
        <w:tab/>
        <w:t>като има предвид, че за ЕС като цяло Комисията прогнозира растеж от 1,4%—1,5% за периода между 2025 г. и 2027 г., докато в еврозоната се очаква динамиката да бъде по-слабо изразена (1,2%—1,4%); като има предвид, че потенциалният растеж в ЕС се очаква да намалее от приблизително 1,5% през 2024 г. на 1,3% през 2027 г. (в еврозоната от 1,4% на 1,2%) главно поради неблагоприятните демографски тенденции;</w:t>
      </w:r>
    </w:p>
    <w:p w14:paraId="7260A1DC" w14:textId="77777777" w:rsidR="00E84D37" w:rsidRPr="00B3550F" w:rsidRDefault="00E84D37" w:rsidP="00E84D37">
      <w:pPr>
        <w:pStyle w:val="NormalHanging"/>
      </w:pPr>
      <w:r w:rsidRPr="00B3550F">
        <w:t>Ж.</w:t>
      </w:r>
      <w:r w:rsidRPr="00B3550F">
        <w:tab/>
        <w:t>като има предвид, че ЕС има огромни нужди от инвестиции, включително за допълнителни годишни инвестиции в размер на 800 милиарда евро, които според доклада на Марио Драги са необходими за повишаването на конкурентоспособността и производителността на Европа, включително 450 милиарда евро само за енергийния преход, от които според института „Русо“ 260 милиарда евро следва да бъдат осигурени от публичния сектор; като има предвид, че са предвидени допълнителни инвестиции в размер на 800 милиарда евро за разходи за отбрана в рамките на плана „</w:t>
      </w:r>
      <w:proofErr w:type="spellStart"/>
      <w:r w:rsidRPr="00B3550F">
        <w:t>ReArm</w:t>
      </w:r>
      <w:proofErr w:type="spellEnd"/>
      <w:r w:rsidRPr="00B3550F">
        <w:t xml:space="preserve"> </w:t>
      </w:r>
      <w:proofErr w:type="spellStart"/>
      <w:r w:rsidRPr="00B3550F">
        <w:t>Europe</w:t>
      </w:r>
      <w:proofErr w:type="spellEnd"/>
      <w:r w:rsidRPr="00B3550F">
        <w:t>/Готовност 2030“; като има предвид, че за тези инвестиционни цели не са налични съответните нови собствени ресурси, в резултат на което Съюзът не разполага с фискалния капацитет, необходим за постигането на заявените от него цели; като има предвид, че тези нужди не могат да бъдат задоволени само с публично финансиране;</w:t>
      </w:r>
    </w:p>
    <w:p w14:paraId="002E5C67" w14:textId="77777777" w:rsidR="00E84D37" w:rsidRPr="00B3550F" w:rsidRDefault="00E84D37" w:rsidP="00E84D37">
      <w:pPr>
        <w:pStyle w:val="NormalHanging"/>
      </w:pPr>
      <w:r w:rsidRPr="00B3550F">
        <w:t>З.</w:t>
      </w:r>
      <w:r w:rsidRPr="00B3550F">
        <w:tab/>
        <w:t>като има предвид, че ЕС е изправен пред големи предизвикателства, вариращи от заплахите, които продължават да съществуват по източните му граници във връзка с агресивната война на Русия срещу Украйна, до геополитическата нестабилност и несигурността в областта на търговията, като същевременно продължават да са налице дългосрочни предизвикателства като екологичния и цифровия преход;</w:t>
      </w:r>
    </w:p>
    <w:p w14:paraId="0D9B890D" w14:textId="77777777" w:rsidR="00E84D37" w:rsidRPr="00B3550F" w:rsidRDefault="00E84D37" w:rsidP="00E84D37">
      <w:pPr>
        <w:pStyle w:val="NormalHanging"/>
      </w:pPr>
      <w:r w:rsidRPr="00B3550F">
        <w:t>И.</w:t>
      </w:r>
      <w:r w:rsidRPr="00B3550F">
        <w:tab/>
        <w:t>като има предвид, че ДФЕС установява референтни стойности в размер до не повече от 3% за бюджетния дефицит и 60% за съотношението на дълга към брутния вътрешен продукт (БВП); като има предвид, че номиналният дефицит и съотношението на държавния дълг към БВП в ЕС продължават да бъдат над референтните стойности; като има предвид, че както номиналният дефицит, така и съотношението на държавния дълг към БВП варират в рамките на ЕС, като положението се различава значително в отделните държави членки;</w:t>
      </w:r>
    </w:p>
    <w:p w14:paraId="22E582F4" w14:textId="77777777" w:rsidR="00E84D37" w:rsidRPr="00B3550F" w:rsidRDefault="00E84D37" w:rsidP="00E84D37">
      <w:pPr>
        <w:pStyle w:val="NormalHanging"/>
      </w:pPr>
      <w:r w:rsidRPr="00B3550F">
        <w:lastRenderedPageBreak/>
        <w:t>Й.</w:t>
      </w:r>
      <w:r w:rsidRPr="00B3550F">
        <w:tab/>
        <w:t>като има предвид, че Съветът не е започвал нито веднъж процедура при прекомерен макроикономически дисбаланс от въвеждането на тази процедура през 2011 г. насам;</w:t>
      </w:r>
    </w:p>
    <w:p w14:paraId="59DD9A92" w14:textId="77777777" w:rsidR="00E84D37" w:rsidRPr="00B3550F" w:rsidRDefault="00E84D37" w:rsidP="00E84D37">
      <w:pPr>
        <w:pStyle w:val="NormalHanging"/>
      </w:pPr>
      <w:r w:rsidRPr="00B3550F">
        <w:t>К.</w:t>
      </w:r>
      <w:r w:rsidRPr="00B3550F">
        <w:tab/>
        <w:t xml:space="preserve">като има предвид, че настоящата Комисия е поела ангажимент да бъде „Комисия на инвестициите“ и разчита на подкрепата на Парламента в качеството му на </w:t>
      </w:r>
      <w:proofErr w:type="spellStart"/>
      <w:r w:rsidRPr="00B3550F">
        <w:t>съзаконодател</w:t>
      </w:r>
      <w:proofErr w:type="spellEnd"/>
      <w:r w:rsidRPr="00B3550F">
        <w:t>, за да предприеме значителни действия за стимулиране на инвестициите в ЕС до равнище, съизмеримо с нуждите на екологичния и цифровия преход; като има предвид, че Комисията все още не е представила адекватен отговор за огромните инвестиционни потребности на Съюза, по-специално предвид приключването на действието на Механизма за възстановяване и устойчивост (МВУ) в края на 2026 г.;</w:t>
      </w:r>
    </w:p>
    <w:p w14:paraId="257FAD7B" w14:textId="77777777" w:rsidR="00E84D37" w:rsidRPr="00B3550F" w:rsidRDefault="00E84D37" w:rsidP="00E84D37">
      <w:pPr>
        <w:pStyle w:val="NormalHanging"/>
      </w:pPr>
      <w:r w:rsidRPr="00B3550F">
        <w:t>Л.</w:t>
      </w:r>
      <w:r w:rsidRPr="00B3550F">
        <w:tab/>
        <w:t>като има предвид, че кризите от миналото, включително пандемията от COVID-19, показаха, че наличието на обща и координирана европейска реакция укрепва Съюза; като има предвид, че в условията на конкурентна геоикономическа среда Европа може да защитава своите интереси и ценности само чрез единство, което подчертава необходимостта от стабилна макроикономическа рамка за политиките и още по-тясна координация на икономическите и социалните политики чрез европейския семестър;</w:t>
      </w:r>
    </w:p>
    <w:p w14:paraId="2E2F0460" w14:textId="77777777" w:rsidR="00E84D37" w:rsidRPr="00B3550F" w:rsidRDefault="00E84D37" w:rsidP="00E84D37">
      <w:pPr>
        <w:pStyle w:val="Normal12a"/>
      </w:pPr>
      <w:r w:rsidRPr="00B3550F">
        <w:rPr>
          <w:b/>
          <w:i/>
        </w:rPr>
        <w:t>Икономически перспективи за ЕС</w:t>
      </w:r>
    </w:p>
    <w:p w14:paraId="5CC7B5A8" w14:textId="77777777" w:rsidR="00E84D37" w:rsidRPr="00B3550F" w:rsidRDefault="00E84D37" w:rsidP="00E84D37">
      <w:pPr>
        <w:pStyle w:val="NormalHanging12a"/>
      </w:pPr>
      <w:r w:rsidRPr="00B3550F">
        <w:t>1.</w:t>
      </w:r>
      <w:r w:rsidRPr="00B3550F">
        <w:tab/>
        <w:t>отбелязва, че през последните пет години ЕС беше изправен пред големи предизвикателства, включително избухването на пандемията от COVID-19 и незаконната и неоправдана война на Русия в Украйна, които оказаха значително икономическо въздействие; отбелязва бързото прилагане и въздействието на инициативите и инструментите, обхващащи целия ЕС, които имат за цел да се предприемат мерки за справяне с икономическите и социалните последици от външни сътресения, и по-специално МВУ и Европейския инструмент за временна подкрепа с цел смекчаване на рисковете от безработица при извънредни обстоятелства (SURE);</w:t>
      </w:r>
    </w:p>
    <w:p w14:paraId="7490E59D" w14:textId="77777777" w:rsidR="00E84D37" w:rsidRPr="00B3550F" w:rsidRDefault="00E84D37" w:rsidP="00E84D37">
      <w:pPr>
        <w:pStyle w:val="NormalHanging12a"/>
      </w:pPr>
      <w:r w:rsidRPr="00B3550F">
        <w:t>2.</w:t>
      </w:r>
      <w:r w:rsidRPr="00B3550F">
        <w:tab/>
        <w:t>отбелязва, че според икономическата прогноза на Комисията от есента на 2025 г., публикувана на 17 ноември 2025 г., се очаква БВП на ЕС да нарасне с 1,4% през 2025 г. спрямо 2024 г. и с 1,4% през 2026 г.; отбелязва, че въз основа на тази прогноза ЕС все още изостава значително от САЩ и Китай по отношение на очаквания растеж; подчертава, че въпреки значителните предизвикателства еврозоната и ЕС показаха устойчивост;</w:t>
      </w:r>
    </w:p>
    <w:p w14:paraId="75C5B457" w14:textId="77777777" w:rsidR="00E84D37" w:rsidRPr="00B3550F" w:rsidRDefault="00E84D37" w:rsidP="00E84D37">
      <w:pPr>
        <w:pStyle w:val="NormalHanging12a"/>
      </w:pPr>
      <w:r w:rsidRPr="00B3550F">
        <w:t>3.</w:t>
      </w:r>
      <w:r w:rsidRPr="00B3550F">
        <w:tab/>
        <w:t>отбелязва, че потенциалният растеж, отразяващ темпа на растеж, който дадена икономика може да поддържа без прекомерна инфлация, се очаква да спадне от 1,5% през 2024 г. на 1,3% през 2027 г. в ЕС и съответно от 1,4% на 1,2% в еврозоната, тъй като ръстът на населението в трудоспособна възраст се забавя; счита, че тези равнища на потенциален растеж са твърде ниски, за да се овладеят предизвикателствата, с които ще се сблъска европейската икономика през следващите години;</w:t>
      </w:r>
    </w:p>
    <w:p w14:paraId="3CA454A2" w14:textId="77777777" w:rsidR="00E84D37" w:rsidRPr="00B3550F" w:rsidRDefault="00E84D37" w:rsidP="00E84D37">
      <w:pPr>
        <w:pStyle w:val="NormalHanging12a"/>
      </w:pPr>
      <w:r w:rsidRPr="00B3550F">
        <w:t>4.</w:t>
      </w:r>
      <w:r w:rsidRPr="00B3550F">
        <w:tab/>
        <w:t xml:space="preserve">отбелязва, че според икономическата прогноза на Комисията от есента на 2025 г. съвкупният дефицит в еврозоната се очаква да нарасне от 3,1% от БВП </w:t>
      </w:r>
      <w:r w:rsidRPr="00B3550F">
        <w:lastRenderedPageBreak/>
        <w:t>през 2024 г. на 3,2% от БВП през 2025 г.; отбелязва, че въз основа на настоящите политики се очаква през 2026 г. дефицитът да нарасне до 3,3% от БВП;</w:t>
      </w:r>
    </w:p>
    <w:p w14:paraId="074F9B67" w14:textId="77777777" w:rsidR="00E84D37" w:rsidRPr="00B3550F" w:rsidRDefault="00E84D37" w:rsidP="00E84D37">
      <w:pPr>
        <w:pStyle w:val="NormalHanging12a"/>
      </w:pPr>
      <w:r w:rsidRPr="00B3550F">
        <w:t>5.</w:t>
      </w:r>
      <w:r w:rsidRPr="00B3550F">
        <w:tab/>
        <w:t>отбелязва, че се очаква 12 държави членки да имат дефицит, надвишаващ 3% от БВП през 2027 г., и че 10 държави членки са обект на процедури при прекомерен дефицит;</w:t>
      </w:r>
    </w:p>
    <w:p w14:paraId="14097C03" w14:textId="77777777" w:rsidR="00E84D37" w:rsidRPr="00B3550F" w:rsidRDefault="00E84D37" w:rsidP="00E84D37">
      <w:pPr>
        <w:pStyle w:val="NormalHanging12a"/>
      </w:pPr>
      <w:r w:rsidRPr="00B3550F">
        <w:t>6.</w:t>
      </w:r>
      <w:r w:rsidRPr="00B3550F">
        <w:tab/>
        <w:t>отбелязва, че съотношението на консолидирания държавен дълг към БВП в ЕС се очаква да достигне 82,8% през 2025 г. и според прогнозите ще нарасне до 83,8% през 2026 г. и до 84,5% през 2027 г, което надхвърля заложената в Договорите референтна стойност от 60% за отделните държави членки; отбелязва, че според прогнозите консолидираният държавен дълг в еврозоната ще нарасне до 89,8% през 2026 г. и до 90,4% през 2027 г.; отбелязва, че равнищата на дълга се различават значително в отделните държави членки;</w:t>
      </w:r>
    </w:p>
    <w:p w14:paraId="4AE73E67" w14:textId="77777777" w:rsidR="00E84D37" w:rsidRPr="00B3550F" w:rsidRDefault="00E84D37" w:rsidP="00E84D37">
      <w:pPr>
        <w:pStyle w:val="NormalHanging12a"/>
      </w:pPr>
      <w:r w:rsidRPr="00B3550F">
        <w:t>7.</w:t>
      </w:r>
      <w:r w:rsidRPr="00B3550F">
        <w:tab/>
        <w:t>призовава държавите членки да следват разумни фискални политики с цел да гарантират устойчивостта на публичния дълг;</w:t>
      </w:r>
    </w:p>
    <w:p w14:paraId="2451E1EB" w14:textId="77777777" w:rsidR="00E84D37" w:rsidRPr="00B3550F" w:rsidRDefault="00E84D37" w:rsidP="00E84D37">
      <w:pPr>
        <w:pStyle w:val="NormalHanging12a"/>
      </w:pPr>
      <w:r w:rsidRPr="00B3550F">
        <w:t>8.</w:t>
      </w:r>
      <w:r w:rsidRPr="00B3550F">
        <w:tab/>
        <w:t>припомня, че екстремните метеорологични явления оказват съществено въздействие върху публичните финанси; съзнава, че въздействието и честотата на екстремните метеорологични явления само ще се засилват през следващите години;</w:t>
      </w:r>
    </w:p>
    <w:p w14:paraId="7454A872" w14:textId="77777777" w:rsidR="00E84D37" w:rsidRPr="00B3550F" w:rsidRDefault="00E84D37" w:rsidP="00E84D37">
      <w:pPr>
        <w:pStyle w:val="NormalHanging12a"/>
      </w:pPr>
      <w:r w:rsidRPr="00B3550F">
        <w:t>9.</w:t>
      </w:r>
      <w:r w:rsidRPr="00B3550F">
        <w:tab/>
        <w:t>приветства факта, че инфлацията в еврозоната беше сведена до целевото равнище на Европейската централна банка, след като достигна върховото си равнище от 10,6% през октомври 2022 г.; отбелязва обаче, че инфлацията продължава да бъде на различни равнища в отделните държави членки, като в някои от тях тя е по-висока, включително в държавите членки с енергоемки промишлени отрасли; отбелязва, че базисната инфлация, както и инфлационните очаквания, все още остават над целевото равнище; подчертава продължаващото въздействие на инфлацията при храните и енергията върху европейските домакинства; отбелязва, че инфлацията засяга неравномерно различните групи по доходи, като домакинствата с ниски доходи са най-силно засегнати;</w:t>
      </w:r>
    </w:p>
    <w:p w14:paraId="6ECF0077" w14:textId="77777777" w:rsidR="00E84D37" w:rsidRPr="00B3550F" w:rsidRDefault="00E84D37" w:rsidP="00E84D37">
      <w:pPr>
        <w:pStyle w:val="NormalHanging12a"/>
      </w:pPr>
      <w:r w:rsidRPr="00B3550F">
        <w:t>10.</w:t>
      </w:r>
      <w:r w:rsidRPr="00B3550F">
        <w:tab/>
        <w:t xml:space="preserve">изразява загриженост, че недостатъчните частни и публични инвестиции вероятно ще възпрепятстват устойчивия растеж и конкурентоспособността в Европа и ще попречат на ЕС да изпълни общите приоритети, посочени в стратегическата програма на ЕС за периода 2024—2029 г.; подчертава, че държавите членки трябва да полагат повече усилия за премахване на пречките и мобилизиране на по-големи частни инвестиции в съответствие със стратегията на Комисията за съюз на спестяванията и инвестициите; отчита политическата цел на Комисията за опростяване на нормативната уредба и значително намаляване на административната тежест с цел насърчаване на частните инвестиции; подчертава, че спешно са необходими инвестиции в области като научноизследователската и развойна дейност, инфраструктурата и иновациите, за да се повиши потенциалният растеж в ЕС; настоява, че следващата многогодишна финансова рамка (МФР) ще изпълнява решаваща роля не само за осигуряването на публични инвестиции, но и като подпомага мобилизирането на частни инвестиции, и подчертава във връзка с това, че финансовите инструменти и бюджетните гаранции са мощни и ефективни инструменти за постигане на целите </w:t>
      </w:r>
      <w:r w:rsidRPr="00B3550F">
        <w:lastRenderedPageBreak/>
        <w:t>на политиката на ЕС от критично значение, както и готови за използване в целия ЕС финансови инструменти;</w:t>
      </w:r>
    </w:p>
    <w:p w14:paraId="1651DA88" w14:textId="77777777" w:rsidR="00E84D37" w:rsidRPr="00B3550F" w:rsidRDefault="00E84D37" w:rsidP="00E84D37">
      <w:pPr>
        <w:pStyle w:val="NormalHanging12a"/>
      </w:pPr>
      <w:r w:rsidRPr="00B3550F">
        <w:t>11.</w:t>
      </w:r>
      <w:r w:rsidRPr="00B3550F">
        <w:tab/>
        <w:t>отбелязва, че в Европейския макроикономически доклад на Комисията се признава, че финансовата достъпност на жилищата е въпрос с макроикономическо и социално измерение, по-специално като налага потенциални ограничения върху трудовата мобилност и отслабва растежа на производителността в дългосрочен план;</w:t>
      </w:r>
    </w:p>
    <w:p w14:paraId="5D394C46" w14:textId="1B9F5631" w:rsidR="00E84D37" w:rsidRPr="00B3550F" w:rsidRDefault="00E84D37" w:rsidP="00E84D37">
      <w:pPr>
        <w:pStyle w:val="NormalHanging12a"/>
      </w:pPr>
      <w:r w:rsidRPr="00B3550F">
        <w:t>12.</w:t>
      </w:r>
      <w:r w:rsidRPr="00B3550F">
        <w:tab/>
        <w:t xml:space="preserve">подчертава, че последователната и </w:t>
      </w:r>
      <w:r w:rsidR="006E0FF7" w:rsidRPr="006E0FF7">
        <w:t>целенасочена</w:t>
      </w:r>
      <w:r w:rsidRPr="00B3550F">
        <w:t xml:space="preserve"> промишлена политика е от </w:t>
      </w:r>
      <w:r w:rsidR="006E0FF7" w:rsidRPr="006E0FF7">
        <w:t>жизнено</w:t>
      </w:r>
      <w:r w:rsidRPr="00B3550F">
        <w:t xml:space="preserve"> значение за подпомагането на технологичната трансформация на ЕС и на сигурните и устойчиви вериги на доставки, като същевременно се запазват конкурентни и незасегнати от нарушения пазари;</w:t>
      </w:r>
    </w:p>
    <w:p w14:paraId="7A301475" w14:textId="77777777" w:rsidR="00E84D37" w:rsidRPr="00B3550F" w:rsidRDefault="00E84D37" w:rsidP="00E84D37">
      <w:pPr>
        <w:pStyle w:val="NormalHanging12a"/>
      </w:pPr>
      <w:r w:rsidRPr="00B3550F">
        <w:t>13.</w:t>
      </w:r>
      <w:r w:rsidRPr="00B3550F">
        <w:tab/>
        <w:t>отбелязва, че равнището на заетост в ЕС е достигнало рекордно високо равнище, което е отражение на динамичния пазар на труда в повечето държави членки; изтъква включването на рамката за социална конвергенция в европейския семестър; подчертава, че моделът на професионално образование и обучение се е доказал като успешен в държавите членки, които са го избрали; изразява съжаление относно големите разлики, които са налице между отделните държави членки по отношение на равнищата на безработица, по-специално по отношение на младите хора;</w:t>
      </w:r>
    </w:p>
    <w:p w14:paraId="218DD673" w14:textId="77777777" w:rsidR="00E84D37" w:rsidRPr="00B3550F" w:rsidRDefault="00E84D37" w:rsidP="00E84D37">
      <w:pPr>
        <w:pStyle w:val="NormalHanging12a"/>
      </w:pPr>
      <w:r w:rsidRPr="00B3550F">
        <w:t>14.</w:t>
      </w:r>
      <w:r w:rsidRPr="00B3550F">
        <w:tab/>
        <w:t>отново подчертава колко е важно да се гарантират еднакви условия на конкуренция на единния пазар и призовава държавите членки да предприемат действия за задълбочаване на единния пазар чрез премахване на вътрешните пречки;</w:t>
      </w:r>
    </w:p>
    <w:p w14:paraId="5968BCB0" w14:textId="77777777" w:rsidR="00E84D37" w:rsidRPr="00113D09" w:rsidRDefault="00E84D37" w:rsidP="00E84D37">
      <w:pPr>
        <w:pStyle w:val="Normal12a"/>
        <w:rPr>
          <w:b/>
          <w:bCs/>
          <w:i/>
          <w:iCs/>
        </w:rPr>
      </w:pPr>
      <w:r w:rsidRPr="00113D09">
        <w:rPr>
          <w:b/>
          <w:bCs/>
          <w:i/>
          <w:iCs/>
        </w:rPr>
        <w:t>Прилагане на преразгледаната рамка на ЕС за икономическо управление</w:t>
      </w:r>
    </w:p>
    <w:p w14:paraId="221B8DA5" w14:textId="77777777" w:rsidR="00E84D37" w:rsidRPr="00B3550F" w:rsidRDefault="00E84D37" w:rsidP="00E84D37">
      <w:pPr>
        <w:pStyle w:val="NormalHanging12a"/>
      </w:pPr>
      <w:r w:rsidRPr="00B3550F">
        <w:t>15.</w:t>
      </w:r>
      <w:r w:rsidRPr="00B3550F">
        <w:tab/>
        <w:t>припомня, че целта на реформата на рамката за икономическо управление е тя да бъде опростена, да стане по-прозрачна и по-ефективна, с по-високо равнище на национална ангажираност и по-добро гарантиране на изпълнението, както и да се подобри нейната способност да се справи с разнородността на фискалните позиции, публичния дълг и икономическите предизвикателства и да спомогне за предприемането на мерки с цел справяне със средносрочните и дългосрочните предизвикателства, с които се сблъскват ЕС и неговите държави членки, включително чрез насърчаване на антициклични фискални политики;</w:t>
      </w:r>
    </w:p>
    <w:p w14:paraId="1615C763" w14:textId="77777777" w:rsidR="00E84D37" w:rsidRPr="00B3550F" w:rsidRDefault="00E84D37" w:rsidP="00E84D37">
      <w:pPr>
        <w:pStyle w:val="NormalHanging12a"/>
      </w:pPr>
      <w:r w:rsidRPr="00B3550F">
        <w:t>16.</w:t>
      </w:r>
      <w:r w:rsidRPr="00B3550F">
        <w:tab/>
        <w:t>подчертава, че съгласно реформираната рамка за икономическо управление ръстът на нетните разходи е единственият оперативен показател за наблюдение на спазването от страна на държавите членки на съответните препоръки на Съвета; подчертава, че много държави членки ще продължат да се сблъскват с проблема за липса на достатъчен фискален капацитет, който на им позволява да отговорят на значителните нужди от инвестиции; отбелязва, че националната клауза за дерогация вече е била задействана за разходите за отбрана само една година след влизането в сила на преразгледаните правила като краткосрочен отговор на извънредни събития извън контрола на държавите; подчертава, че националната клауза за дерогация е предвидена за временни, специфични за всяка държава извънредни ситуации и не е подходяща за предприемане на мерки с цел справяне с дългосрочни структурни нужди;</w:t>
      </w:r>
    </w:p>
    <w:p w14:paraId="5C8EEFA3" w14:textId="77777777" w:rsidR="00E84D37" w:rsidRPr="00B3550F" w:rsidRDefault="00E84D37" w:rsidP="00E84D37">
      <w:pPr>
        <w:pStyle w:val="NormalHanging12a"/>
      </w:pPr>
      <w:r w:rsidRPr="00B3550F">
        <w:lastRenderedPageBreak/>
        <w:t>17.</w:t>
      </w:r>
      <w:r w:rsidRPr="00B3550F">
        <w:tab/>
        <w:t xml:space="preserve">подчертава, че Комисията разшири </w:t>
      </w:r>
      <w:proofErr w:type="spellStart"/>
      <w:r w:rsidRPr="00B3550F">
        <w:t>дискреционните</w:t>
      </w:r>
      <w:proofErr w:type="spellEnd"/>
      <w:r w:rsidRPr="00B3550F">
        <w:t xml:space="preserve"> си правомощия съгласно реформираната рамка за икономическо управление, по-специално чрез процеса, който е в основата на средносрочните фискално-структурни планове; отбелязва констатацията на Европейския фискален съвет, че Комисията е използвала известна свобода на преценка, когато е забавяла или е вземала решение да не открива процедури при прекомерен дефицит; подчертава, че еднаквото прилагане на фискалните правила на ЕС е от първостепенно значение, за да се запази доверието в рамката за икономическо управление, да се гарантира равно третиране на държавите членки и да се утвърди съгласуван и истински европейски подход;</w:t>
      </w:r>
    </w:p>
    <w:p w14:paraId="728C35C6" w14:textId="77777777" w:rsidR="00E84D37" w:rsidRPr="00B3550F" w:rsidRDefault="00E84D37" w:rsidP="00E84D37">
      <w:pPr>
        <w:pStyle w:val="NormalHanging12a"/>
      </w:pPr>
      <w:r w:rsidRPr="00B3550F">
        <w:t>18.</w:t>
      </w:r>
      <w:r w:rsidRPr="00B3550F">
        <w:tab/>
        <w:t>отбелязва целенасочените изменения на рамката на ЕС за икономическо управление, публикувани от Комисията на 2 октомври 2025 г., които имат за цел постигането на съгласуваност след най-новата актуализация на рамката за икономическо управление;</w:t>
      </w:r>
    </w:p>
    <w:p w14:paraId="07F7ECE9" w14:textId="77777777" w:rsidR="00E84D37" w:rsidRPr="00B3550F" w:rsidRDefault="00E84D37" w:rsidP="00E84D37">
      <w:pPr>
        <w:pStyle w:val="NormalHanging12a"/>
      </w:pPr>
      <w:r w:rsidRPr="00B3550F">
        <w:t>19.</w:t>
      </w:r>
      <w:r w:rsidRPr="00B3550F">
        <w:tab/>
        <w:t>отбелязва със загриженост констатациите на Европейския фискален съвет, че приблизително половината от независимите фискални институции не са участвали официално в изготвянето на средносрочните фискално-структурни планове; счита, че по-голямото участие на независими фискални институции ще увеличи прозрачността и външния надзор в ключов момент на преход;</w:t>
      </w:r>
    </w:p>
    <w:p w14:paraId="4D486369" w14:textId="77777777" w:rsidR="00E84D37" w:rsidRPr="00B3550F" w:rsidRDefault="00E84D37" w:rsidP="00E84D37">
      <w:pPr>
        <w:pStyle w:val="Normal12a"/>
      </w:pPr>
      <w:r w:rsidRPr="00B3550F">
        <w:rPr>
          <w:b/>
          <w:i/>
        </w:rPr>
        <w:t>Фискална позиция</w:t>
      </w:r>
    </w:p>
    <w:p w14:paraId="6D1A98E5" w14:textId="77777777" w:rsidR="00E84D37" w:rsidRPr="00B3550F" w:rsidRDefault="00E84D37" w:rsidP="00E84D37">
      <w:pPr>
        <w:pStyle w:val="NormalHanging12a"/>
      </w:pPr>
      <w:r w:rsidRPr="00B3550F">
        <w:t>20.</w:t>
      </w:r>
      <w:r w:rsidRPr="00B3550F">
        <w:tab/>
        <w:t>подчертава, че публичните инвестиции са се увеличили значително през последните години, като приблизително половината от увеличението за периода между 2019 г. и 2025 г. е финансирано от ЕС главно чрез МВУ; отбелязва, че се очаква тези ползи да продължат да се реализират и след 2026 г. със значително въздействие в други области в държавите членки и че дългосрочното въздействие на структурните реформи може да повиши потенциалния обем на производството в еврозоната с до 1,3% от БВП през периода 2020–2033 г. в сравнение със сценарий без използване на МВУ; изразява загриженост относно факта, че действието на МВУ приключва през 2026 г., и относно въздействието, което това може да окаже върху цялостната фискална позиция на ЕС; настоятелно призовава държавите членки да приключат изпълнението на своите планове за възстановяване и устойчивост до август 2026 г.; припомня, че дългът, емитиран за финансиране на МВУ, трябва да бъде изплатен до 2058 г. по начин, гарантиращ стабилно и предвидимо намаляване на задълженията;</w:t>
      </w:r>
    </w:p>
    <w:p w14:paraId="30687CA8" w14:textId="77777777" w:rsidR="00E84D37" w:rsidRPr="00B3550F" w:rsidRDefault="00E84D37" w:rsidP="00E84D37">
      <w:pPr>
        <w:pStyle w:val="NormalHanging12a"/>
      </w:pPr>
      <w:r w:rsidRPr="00B3550F">
        <w:t>21.</w:t>
      </w:r>
      <w:r w:rsidRPr="00B3550F">
        <w:tab/>
        <w:t>отбелязва препоръката на Комисията, според която общата фискална позиция на държавите членки следва да продължи да бъде като цяло неутрална през 2026 г. въпреки значителните различия между държавите членки;</w:t>
      </w:r>
    </w:p>
    <w:p w14:paraId="33830F6D" w14:textId="77777777" w:rsidR="00E84D37" w:rsidRPr="00B3550F" w:rsidRDefault="00E84D37" w:rsidP="00E84D37">
      <w:pPr>
        <w:pStyle w:val="NormalHanging12a"/>
      </w:pPr>
      <w:r w:rsidRPr="00B3550F">
        <w:t>22.</w:t>
      </w:r>
      <w:r w:rsidRPr="00B3550F">
        <w:tab/>
        <w:t xml:space="preserve">подчертава, че публичните приходи и публичните разходи са от съществено значение за гарантиране на устойчивостта на публичните финанси; припомня препоръката на Съвета от 17 февруари 2026 г. относно икономическата политика на еврозоната, в която се призовава за намаляване на разликите в данъчното облагане чрез подобряване на спазването на данъчното законодателство, включително чрез справяне с избягването на данъци и отклонението от данъчно облагане и борба с агресивното данъчно планиране; подчертава, че слабото правоприлагане в рамките на данъчната администрация и на борбата срещу </w:t>
      </w:r>
      <w:r w:rsidRPr="00B3550F">
        <w:lastRenderedPageBreak/>
        <w:t>отклонението от данъчно облагане и избягването на данъци подкопава фискалната устойчивост и допринася за макроикономически дисбаланси;</w:t>
      </w:r>
    </w:p>
    <w:p w14:paraId="45F38CA2" w14:textId="77777777" w:rsidR="00E84D37" w:rsidRPr="00B3550F" w:rsidRDefault="00E84D37" w:rsidP="00E84D37">
      <w:pPr>
        <w:pStyle w:val="NormalHanging12a"/>
      </w:pPr>
      <w:r w:rsidRPr="00B3550F">
        <w:t>23.</w:t>
      </w:r>
      <w:r w:rsidRPr="00B3550F">
        <w:tab/>
        <w:t>отбелязва програмната промяна в политиката на Комисията в рамките на настоящия цикъл на европейския семестър, вследствие на която насоки за пакета на европейския семестър вече се предоставят не в годишния обзор на устойчивия растеж, а в компаса за конкурентоспособността; подчертава, че тази промяна подобрява насочеността на рамката на семестъра;  подчертава колко е важно да е налице последователност по отношение на специфичните за всяка държава препоръки, които са замислени като многогодишни и дългосрочни ангажименти за реформи, както и на усилията на държавите членки за постигане на дългосрочните цели; призовава Комисията да гарантира наличието на цялостна визия за европейската конкурентоспособност, както и че дългосрочните приоритети на прехода продължават да бъдат последователно и съгласувано отразявани в специфичните за всяка държава препоръки през последователните цикли на семестъра;</w:t>
      </w:r>
    </w:p>
    <w:p w14:paraId="2B66F9FF" w14:textId="77777777" w:rsidR="00E84D37" w:rsidRPr="00B3550F" w:rsidRDefault="00E84D37" w:rsidP="00E84D37">
      <w:pPr>
        <w:pStyle w:val="Normal12a"/>
      </w:pPr>
      <w:r w:rsidRPr="00B3550F">
        <w:rPr>
          <w:b/>
          <w:i/>
        </w:rPr>
        <w:t>Специфични за всяка държава препоръки</w:t>
      </w:r>
    </w:p>
    <w:p w14:paraId="289168A1" w14:textId="77777777" w:rsidR="00E84D37" w:rsidRPr="00B3550F" w:rsidRDefault="00E84D37" w:rsidP="00E84D37">
      <w:pPr>
        <w:pStyle w:val="NormalHanging12a"/>
      </w:pPr>
      <w:r w:rsidRPr="00B3550F">
        <w:t>24.</w:t>
      </w:r>
      <w:r w:rsidRPr="00B3550F">
        <w:tab/>
        <w:t>отбелязва, че специфичните за всяка държава препоръки съдържат препоръка относно фискалната политика, включително относно фискалните структурни реформи, когато това е целесъобразно; отбелязва ангажимента на Комисията да използва европейския семестър за насърчаване на конкурентоспособността, стабилността, икономическия растеж, устойчивостта и социалната справедливост, както и да интегрира целите на ООН за устойчиво развитие и Европейския стълб на социалните права в европейския семестър; подчертава, че европейският семестър е ключов инструмент за координиране на макроикономическите и бюджетните политики на държавите членки, с което се гарантира макроикономическата стабилност на икономическия и паричен съюз; подчертава значението на специфичните за всяка държава препоръки като крайъгълен камък на координацията на европейската икономическа политика; припомня, че специфичните за всяка държава препоръки са политически действия, които са неразделна част и от средносрочните фискални структурни планове, националните планове за възстановяване и устойчивост и обявеното предложение за плановете за национално и регионално партньорство;</w:t>
      </w:r>
    </w:p>
    <w:p w14:paraId="6D67BCC8" w14:textId="77777777" w:rsidR="00E84D37" w:rsidRPr="00B3550F" w:rsidRDefault="00E84D37" w:rsidP="00E84D37">
      <w:pPr>
        <w:pStyle w:val="NormalHanging12a"/>
      </w:pPr>
      <w:r w:rsidRPr="00B3550F">
        <w:t>25.</w:t>
      </w:r>
      <w:r w:rsidRPr="00B3550F">
        <w:tab/>
        <w:t>припомня ролята на специфичните за всяка държава препоръки за координирането на приоритетите на ЕС; отбелязва липсата на напредък в действителното изпълнение на специфичните за всяка държава препоръки; отбелязва, че между 2019 г. и 2023 г. по отношение на 25,1% от специфичните за всяка държава препоръки не е бил отбелязан никакъв напредък или само ограничен напредък; призовава Комисията да преосмисли начина, по който се разработват специфичните за всяка държава препоръки и по който се предприемат последващи действия във връзка с тях, по-специално по отношение на бъдещата им роля в достъпа до средства на ЕС; припомня призива си специфичните за всяка държава препоръки да бъдат по-малко на брой и да бъдат по-целенасочени;</w:t>
      </w:r>
    </w:p>
    <w:p w14:paraId="3FC22BC2" w14:textId="77777777" w:rsidR="00E84D37" w:rsidRPr="00B3550F" w:rsidRDefault="00E84D37" w:rsidP="00E84D37">
      <w:pPr>
        <w:pStyle w:val="NormalHanging12a"/>
      </w:pPr>
      <w:r w:rsidRPr="00B3550F">
        <w:t>26.</w:t>
      </w:r>
      <w:r w:rsidRPr="00B3550F">
        <w:tab/>
        <w:t xml:space="preserve">отбелязва амбицията на Комисията да отрази допълнително в специфичните за всяка държава препоръки действията, които са от основно значение за съюза на </w:t>
      </w:r>
      <w:r w:rsidRPr="00B3550F">
        <w:lastRenderedPageBreak/>
        <w:t>спестяванията и инвестициите, обявен в съобщението на Комисията от 19 март 2025 г.</w:t>
      </w:r>
      <w:r w:rsidRPr="00B3550F">
        <w:rPr>
          <w:rStyle w:val="FootnoteReference"/>
        </w:rPr>
        <w:footnoteReference w:customMarkFollows="1" w:id="10"/>
        <w:t>10</w:t>
      </w:r>
      <w:r w:rsidRPr="00B3550F">
        <w:t>;</w:t>
      </w:r>
    </w:p>
    <w:p w14:paraId="171588EC" w14:textId="77777777" w:rsidR="00E84D37" w:rsidRPr="00B3550F" w:rsidRDefault="00E84D37" w:rsidP="00E84D37">
      <w:pPr>
        <w:pStyle w:val="NormalHanging12a"/>
      </w:pPr>
      <w:r w:rsidRPr="00B3550F">
        <w:t>27.</w:t>
      </w:r>
      <w:r w:rsidRPr="00B3550F">
        <w:tab/>
        <w:t>отбелязва, че се очаква специфичните за всяка държава препоръки да играят по-голяма роля в следващата многогодишна финансова рамка за насочване на инвестициите и реформите на национално и регионално равнище; счита, че подборът на реформи и инвестиции следва да се ръководи от тяхната ефективност при изпълнението на съответните специфични за всяка държава препоръки с оглед на осъществяването на справедлив преход към екологична и конкурентоспособна европейска икономика; подчертава, че този процес трябва да бъде придружен от по-силен демократичен контрол и от по-голяма ангажираност от страна на държавите членки;</w:t>
      </w:r>
    </w:p>
    <w:p w14:paraId="3032783D" w14:textId="77777777" w:rsidR="00E84D37" w:rsidRPr="00B3550F" w:rsidRDefault="00E84D37" w:rsidP="00E84D37">
      <w:pPr>
        <w:pStyle w:val="NormalHanging12a"/>
      </w:pPr>
      <w:r w:rsidRPr="00B3550F">
        <w:t>28.</w:t>
      </w:r>
      <w:r w:rsidRPr="00B3550F">
        <w:tab/>
        <w:t>подчертава нарастващото значение на специфичните за всяка държава препоръки, свързани с плановете за национално и регионално партньорство; насочва вниманието към факта, че понастоящем не съществува прозрачна или проследима методика за разработване и подбор на специфични за всяка държава препоръки, нито яснота относно причините, поради които някои от тях се предлагат, а други – не, което поражда опасения относно отчетността и равното третиране на държавите членки; призовава Комисията да изясни основните процедури и критерии за подбор; подчертава, че всяко цялостно разширяване на оперативната самостоятелност на Комисията трябва да бъде придружено от съответните механизми за последваща отчетност и от значително увеличаване на потока от информация към Парламента;</w:t>
      </w:r>
    </w:p>
    <w:p w14:paraId="1B3B7FF9" w14:textId="77777777" w:rsidR="00E84D37" w:rsidRPr="00B3550F" w:rsidRDefault="00E84D37" w:rsidP="00E84D37">
      <w:pPr>
        <w:pStyle w:val="NormalHanging12a"/>
      </w:pPr>
      <w:r w:rsidRPr="00B3550F">
        <w:t>29.</w:t>
      </w:r>
      <w:r w:rsidRPr="00B3550F">
        <w:tab/>
        <w:t>отбелязва, че специфичните за всяка държава препоръки за 2025 г. бяха съсредоточени в по-голяма степен върху конкурентоспособността и опростяването в съответствие с приоритетите, определени в компаса за конкурентоспособността, като същевременно подчертаваха необходимостта от насърчаване на високите научни постижения, научните изследвания, иновациите и технологичното развитие като ключови двигатели на дългосрочната производителност и издръжливост; подчертава, че по-малка част от специфичните за всяка държава препоръки са посветени на социалните политики и политиките в областта на климата; отбелязва, че за някои държави членки специфичните за всяка държава препоръки включват препоръка за постепенно премахване на субсидиите за изкопаеми горива;</w:t>
      </w:r>
    </w:p>
    <w:p w14:paraId="54A935B1" w14:textId="77777777" w:rsidR="00E84D37" w:rsidRPr="00B3550F" w:rsidRDefault="00E84D37" w:rsidP="00E84D37">
      <w:pPr>
        <w:pStyle w:val="NormalHanging12a"/>
      </w:pPr>
      <w:r w:rsidRPr="00B3550F">
        <w:t>30.</w:t>
      </w:r>
      <w:r w:rsidRPr="00B3550F">
        <w:tab/>
        <w:t>отбелязва, че за Комисията препоръката за еврозоната е преди всичко инструмент за насочване на обсъжданията в Еврогрупата; приканва обаче Комисията да предприеме последващи действия във връзка с препоръките за еврозоната, включително като ги вземе предвид при изготвянето на специфичните за всяка държава препоръки; изразява съжаление, че през 2025 г. Комисията не публикува преглед на изпълнението на препоръките за еврозоната, както правеше в миналото като част от своите доклади за еврозоната; отбелязва, че през 2025 г. специфичните за всяка държава препоръки не включват пряко препоръки, свързани с изменението на климата;</w:t>
      </w:r>
    </w:p>
    <w:p w14:paraId="7A7DB704" w14:textId="77777777" w:rsidR="00E84D37" w:rsidRPr="00B3550F" w:rsidRDefault="00E84D37" w:rsidP="00E84D37">
      <w:pPr>
        <w:pStyle w:val="Normal12a"/>
      </w:pPr>
      <w:r w:rsidRPr="00B3550F">
        <w:rPr>
          <w:b/>
          <w:i/>
        </w:rPr>
        <w:lastRenderedPageBreak/>
        <w:t>Преодоляване на недостига на инвестиции</w:t>
      </w:r>
    </w:p>
    <w:p w14:paraId="43E30DFD" w14:textId="77777777" w:rsidR="00E84D37" w:rsidRPr="00B3550F" w:rsidRDefault="00E84D37" w:rsidP="00E84D37">
      <w:pPr>
        <w:pStyle w:val="NormalHanging12a"/>
      </w:pPr>
      <w:r w:rsidRPr="00B3550F">
        <w:t>31.</w:t>
      </w:r>
      <w:r w:rsidRPr="00B3550F">
        <w:tab/>
        <w:t>припомня, че докладът на Марио Драги убедително показа необходимостта от увеличаване на публичните и частните инвестиции и от осъществяване на амбициозни реформи с цел да се повиши конкурентоспособността на ЕС; призовава Комисията и държавите членки да представят стратегия за покриване на нуждите от инвестиции в периода след 2026 г.;</w:t>
      </w:r>
    </w:p>
    <w:p w14:paraId="789C6E5C" w14:textId="77777777" w:rsidR="00E84D37" w:rsidRPr="00B3550F" w:rsidRDefault="00E84D37" w:rsidP="00E84D37">
      <w:pPr>
        <w:pStyle w:val="NormalHanging12a"/>
      </w:pPr>
      <w:r w:rsidRPr="00B3550F">
        <w:t>32.</w:t>
      </w:r>
      <w:r w:rsidRPr="00B3550F">
        <w:tab/>
        <w:t>счита, че рамката на ЕС за икономическо управление следва да бъде допълнена от инструменти и средства на равнището на ЕС, когато това е целесъобразно, така че да се сведат до минимум разходите за данъкоплатците в ЕС и да се увеличи максимално ефективността при предоставянето на европейски обществени блага, както и да се реагира на кризи, засягащи целия Съюз, например продължаващата криза в областта на сигурността и отбраната; отбелязва, че дълговите ценни книжа на ЕС могат да служат като еталон и че това би могло да засили интеграцията на финансовите пазари на ЕС; призовава за въвеждането на нови собствени ресурси за финансиране на политиките на Съюза; подкрепя създаването на Европейския фонд за конкурентоспособност и на Фонда за разрастване в Европа;</w:t>
      </w:r>
    </w:p>
    <w:p w14:paraId="2442BC41" w14:textId="77777777" w:rsidR="00E84D37" w:rsidRPr="00B3550F" w:rsidRDefault="00E84D37" w:rsidP="00E84D37">
      <w:pPr>
        <w:pStyle w:val="NormalHanging12a"/>
      </w:pPr>
      <w:r w:rsidRPr="00B3550F">
        <w:t>33.</w:t>
      </w:r>
      <w:r w:rsidRPr="00B3550F">
        <w:tab/>
        <w:t>подчертава постигнатото в рамките на Европейския съвет съгласие за предоставяне на заем в размер на 90 млрд. евро на Украйна за 2026 г. и 2027 г. въз основа на заемане на средства от страна на ЕС на капиталовите пазари, обезпечено от маржа в бюджета на ЕС;</w:t>
      </w:r>
    </w:p>
    <w:p w14:paraId="2F3CD4C5" w14:textId="5FEF5DE5" w:rsidR="00E84D37" w:rsidRPr="00B3550F" w:rsidRDefault="00E84D37" w:rsidP="00E84D37">
      <w:pPr>
        <w:pStyle w:val="NormalHanging12a"/>
      </w:pPr>
      <w:r w:rsidRPr="00B3550F">
        <w:t>34.</w:t>
      </w:r>
      <w:r w:rsidRPr="00B3550F">
        <w:tab/>
        <w:t>отбелязва, че вследствие на променящата се геополитическа среда е необходимо между държавите членки да има още повече единство и солидарност, особено като се имат предвид опасенията на Съюза и неговите държави членки във връзка със сигурността; счита, че укрепването на сигурността на Европа чрез намаляване на стратегическите зависимости продължава да бъде от съществено значение за гарантирането на дългосрочната устойчивост на Съюза; подкрепя усилията на Комисията за преминаване към по-координиран подход към отбраната; отбелязва, че с инструмента „Мерки за сигурността на Европа“ (SAFE) се създава механизъм за отпускане на заеми в размер на 150 милиарда евро в подкрепа на инвестициите на държавите членки в отбраната; изразява обаче съжаление относно факта, че инструментът SAFE се основава на член 122 от ДФЕС, което ограничава парламентарния контрол; приветства факта, че показателят за нетните разходи изключва цялото национално съфинансиране в рамките на финансираните от ЕС програми, като предоставя по-големи фискални възможности на държавите членки да инвестират в общите приоритети на ЕС, посочени в Регламент (ЕС) 2024/1263</w:t>
      </w:r>
      <w:r w:rsidR="00A4556C">
        <w:t xml:space="preserve"> </w:t>
      </w:r>
      <w:r w:rsidR="00A4556C" w:rsidRPr="00A4556C">
        <w:t>на Европейския парламент и на Съвета</w:t>
      </w:r>
      <w:r w:rsidRPr="00B3550F">
        <w:rPr>
          <w:rStyle w:val="FootnoteReference"/>
        </w:rPr>
        <w:footnoteReference w:customMarkFollows="1" w:id="11"/>
        <w:t>11</w:t>
      </w:r>
      <w:r w:rsidRPr="00B3550F">
        <w:t xml:space="preserve">, като по този начин се допринася за засилването на полезните взаимодействия между бюджета на ЕС и националните бюджети, с което се намалява степента на разпокъсаност и се повишава цялостната ефективност на публичните разходи в някои области, например отбраната; подчертава, че ангажиментът на държавите членки за </w:t>
      </w:r>
      <w:r w:rsidRPr="00B3550F">
        <w:lastRenderedPageBreak/>
        <w:t>увеличаване на разходите за отбрана следва да не бъде за сметка на другите общи приоритети на ЕС;</w:t>
      </w:r>
    </w:p>
    <w:p w14:paraId="4BBB4429" w14:textId="77777777" w:rsidR="00E84D37" w:rsidRPr="00B3550F" w:rsidRDefault="00E84D37" w:rsidP="00E84D37">
      <w:pPr>
        <w:pStyle w:val="NormalHanging12a"/>
      </w:pPr>
      <w:r w:rsidRPr="00B3550F">
        <w:t>35.</w:t>
      </w:r>
      <w:r w:rsidRPr="00B3550F">
        <w:tab/>
        <w:t>отбелязва, че 16 държави членки са задействали националната клауза за дерогация за разходите за отбрана; подчертава, че тя предоставя на държавите членки гъвкавостта да увеличават разходите за отбрана, без да е необходимо това увеличение да се финансира незабавно чрез намаляване на разходите или чрез мерки за повишаване на приходите; отбелязва, че съответно тази гъвкавост предоставя на държавите членки необходимото време, за да успеят да включат по-високите разходи за отбрана в националните бюджети; подчертава, че частичното участие значително намалява прогнозните допълнителни разходи за отбрана от 650 милиарда евро на приблизително 297–337 милиарда евро;</w:t>
      </w:r>
    </w:p>
    <w:p w14:paraId="6A32B461" w14:textId="77777777" w:rsidR="00E84D37" w:rsidRPr="00B3550F" w:rsidRDefault="00E84D37" w:rsidP="00E84D37">
      <w:pPr>
        <w:pStyle w:val="NormalHanging12a"/>
      </w:pPr>
      <w:r w:rsidRPr="00B3550F">
        <w:t>36.</w:t>
      </w:r>
      <w:r w:rsidRPr="00B3550F">
        <w:tab/>
        <w:t>предупреждава, че разходите за отбрана са по своята същност инвестиция в потребление и сами по себе си не повишават потенциалните икономически резултати; счита, че поради това разходите за отбрана следва да не се финансират чрез увеличено емитиране на дълг в дългосрочен план;</w:t>
      </w:r>
    </w:p>
    <w:p w14:paraId="363EE520" w14:textId="77777777" w:rsidR="00E84D37" w:rsidRPr="00B3550F" w:rsidRDefault="00E84D37" w:rsidP="00E84D37">
      <w:pPr>
        <w:pStyle w:val="NormalHanging12a"/>
      </w:pPr>
      <w:r w:rsidRPr="00B3550F">
        <w:t>37.</w:t>
      </w:r>
      <w:r w:rsidRPr="00B3550F">
        <w:tab/>
        <w:t>подчертава, че е важно да се увеличат съгласуваността и сътрудничеството между държавите членки в областта на инвестициите в отбраната, по-специално по отношение на стратегическите спомагателни способности или стратегическите оръжейни системи, които са твърде скъпи за отделните държави членки, с оглед на неотложната необходимост от разрастване на европейския отбранителен сектор и обезпечаване на дългосрочната сигурност и стратегическата автономност;</w:t>
      </w:r>
    </w:p>
    <w:p w14:paraId="25E8C814" w14:textId="77777777" w:rsidR="00E84D37" w:rsidRPr="00B3550F" w:rsidRDefault="00E84D37" w:rsidP="00E84D37">
      <w:pPr>
        <w:pStyle w:val="NormalHanging12a"/>
      </w:pPr>
      <w:r w:rsidRPr="00B3550F">
        <w:t>38.</w:t>
      </w:r>
      <w:r w:rsidRPr="00B3550F">
        <w:tab/>
        <w:t>припомня, че Комисията никога досега не е започвала процедура при прекомерен дисбаланс, въпреки факта, че в някои държави членки се наблюдават многократни дисбаланси по текущата сметка; отбелязва, че в доклада си за механизма за предупреждение за 2026 г. Комисията ще извърши оценка на евентуалните макроикономически дисбаланси в седемте държави членки, които са избрани за извършването на задълбочени прегледи;</w:t>
      </w:r>
    </w:p>
    <w:p w14:paraId="6E507DBB" w14:textId="77777777" w:rsidR="00E84D37" w:rsidRPr="00B3550F" w:rsidRDefault="00E84D37" w:rsidP="00E84D37">
      <w:pPr>
        <w:pStyle w:val="NormalCenter12a"/>
      </w:pPr>
      <w:r w:rsidRPr="00B3550F">
        <w:t>°</w:t>
      </w:r>
    </w:p>
    <w:p w14:paraId="20F4604D" w14:textId="77777777" w:rsidR="00E84D37" w:rsidRPr="00B3550F" w:rsidRDefault="00E84D37" w:rsidP="00E84D37">
      <w:pPr>
        <w:pStyle w:val="NormalCenter12a"/>
      </w:pPr>
      <w:r w:rsidRPr="00B3550F">
        <w:t>°</w:t>
      </w:r>
      <w:r w:rsidRPr="00B3550F">
        <w:tab/>
        <w:t>°</w:t>
      </w:r>
    </w:p>
    <w:p w14:paraId="5A1F3D11" w14:textId="58F49131" w:rsidR="00B3550F" w:rsidRPr="00B3550F" w:rsidRDefault="00E84D37" w:rsidP="00B3550F">
      <w:pPr>
        <w:pStyle w:val="NormalHanging12a"/>
      </w:pPr>
      <w:r w:rsidRPr="00B3550F">
        <w:t>39.</w:t>
      </w:r>
      <w:r w:rsidRPr="00B3550F">
        <w:tab/>
        <w:t>възлага на своя председател да предаде настоящата резолюция съответно на Съвета и на Комисията.</w:t>
      </w:r>
    </w:p>
    <w:p w14:paraId="5E3FC963" w14:textId="3EC6F387" w:rsidR="00E365E1" w:rsidRPr="00B3550F" w:rsidRDefault="00E365E1" w:rsidP="00A1666F"/>
    <w:sectPr w:rsidR="00E365E1" w:rsidRPr="00B3550F" w:rsidSect="00B355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E0F69" w14:textId="77777777" w:rsidR="00A1666F" w:rsidRPr="00B3550F" w:rsidRDefault="00A1666F">
      <w:r w:rsidRPr="00B3550F">
        <w:separator/>
      </w:r>
    </w:p>
  </w:endnote>
  <w:endnote w:type="continuationSeparator" w:id="0">
    <w:p w14:paraId="574E2930" w14:textId="77777777" w:rsidR="00A1666F" w:rsidRPr="00B3550F" w:rsidRDefault="00A1666F">
      <w:r w:rsidRPr="00B355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0439" w14:textId="77777777" w:rsidR="00064002" w:rsidRPr="00B355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C616" w14:textId="77777777" w:rsidR="00064002" w:rsidRPr="00B355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1BBD" w14:textId="77777777" w:rsidR="00064002" w:rsidRPr="00B355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5A391" w14:textId="77777777" w:rsidR="00A1666F" w:rsidRPr="00B3550F" w:rsidRDefault="00A1666F">
      <w:r w:rsidRPr="00B3550F">
        <w:separator/>
      </w:r>
    </w:p>
  </w:footnote>
  <w:footnote w:type="continuationSeparator" w:id="0">
    <w:p w14:paraId="14CDC450" w14:textId="77777777" w:rsidR="00A1666F" w:rsidRPr="00B3550F" w:rsidRDefault="00A1666F">
      <w:r w:rsidRPr="00B3550F">
        <w:continuationSeparator/>
      </w:r>
    </w:p>
  </w:footnote>
  <w:footnote w:id="1">
    <w:p w14:paraId="10E02108" w14:textId="248C51AB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1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243, 9.7.2021 г., ELI: </w:t>
      </w:r>
      <w:hyperlink r:id="rId1" w:tgtFrame="http://data.europa.eu/eli/reg/2021/1119/oj" w:history="1">
        <w:r w:rsidRPr="00B3550F">
          <w:rPr>
            <w:rStyle w:val="Hyperlink"/>
            <w:sz w:val="24"/>
            <w:lang w:val="bg-BG"/>
          </w:rPr>
          <w:t>http://data.europa.eu/eli/reg/2021/1119/oj</w:t>
        </w:r>
      </w:hyperlink>
      <w:r w:rsidRPr="00B3550F">
        <w:rPr>
          <w:sz w:val="24"/>
          <w:lang w:val="bg-BG"/>
        </w:rPr>
        <w:t>.</w:t>
      </w:r>
    </w:p>
  </w:footnote>
  <w:footnote w:id="2">
    <w:p w14:paraId="015FDC7E" w14:textId="64965A02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2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L, 2024/1263, 30.4.2024 г., ELI: </w:t>
      </w:r>
      <w:hyperlink r:id="rId2" w:tgtFrame="http://data.europa.eu/eli/reg/2024/1263/oj" w:history="1">
        <w:r w:rsidRPr="00B3550F">
          <w:rPr>
            <w:rStyle w:val="Hyperlink"/>
            <w:sz w:val="24"/>
            <w:lang w:val="bg-BG"/>
          </w:rPr>
          <w:t>http://data.europa.eu/eli/reg/2024/1263/oj</w:t>
        </w:r>
      </w:hyperlink>
      <w:r w:rsidRPr="00B3550F">
        <w:rPr>
          <w:sz w:val="24"/>
          <w:lang w:val="bg-BG"/>
        </w:rPr>
        <w:t>.</w:t>
      </w:r>
    </w:p>
  </w:footnote>
  <w:footnote w:id="3">
    <w:p w14:paraId="559A842C" w14:textId="0356C0FD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3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L, 2024/1264, 30.4.2024 г., ELI: </w:t>
      </w:r>
      <w:hyperlink r:id="rId3" w:tgtFrame="http://data.europa.eu/eli/reg/2024/1264/oj" w:history="1">
        <w:r w:rsidRPr="00B3550F">
          <w:rPr>
            <w:rStyle w:val="Hyperlink"/>
            <w:sz w:val="24"/>
            <w:lang w:val="bg-BG"/>
          </w:rPr>
          <w:t>http://data.europa.eu/eli/reg/2024/1264/oj</w:t>
        </w:r>
      </w:hyperlink>
      <w:r w:rsidRPr="00B3550F">
        <w:rPr>
          <w:sz w:val="24"/>
          <w:lang w:val="bg-BG"/>
        </w:rPr>
        <w:t>.</w:t>
      </w:r>
    </w:p>
  </w:footnote>
  <w:footnote w:id="4">
    <w:p w14:paraId="23CD60E2" w14:textId="6BC8E3B4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4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L, 2024/1265, 30.4.2024 г., ELI: </w:t>
      </w:r>
      <w:hyperlink r:id="rId4" w:tgtFrame="http://data.europa.eu/eli/dir/2024/1265/oj" w:history="1">
        <w:r w:rsidRPr="00B3550F">
          <w:rPr>
            <w:rStyle w:val="Hyperlink"/>
            <w:sz w:val="24"/>
            <w:lang w:val="bg-BG"/>
          </w:rPr>
          <w:t>http://data.europa.eu/eli/dir/2024/1265/oj</w:t>
        </w:r>
      </w:hyperlink>
      <w:r w:rsidRPr="00B3550F">
        <w:rPr>
          <w:sz w:val="24"/>
          <w:lang w:val="bg-BG"/>
        </w:rPr>
        <w:t>.</w:t>
      </w:r>
    </w:p>
  </w:footnote>
  <w:footnote w:id="5">
    <w:p w14:paraId="190A7554" w14:textId="309ABAE3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5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306, 23.11.2011 г., стр. 1, ELI: </w:t>
      </w:r>
      <w:hyperlink r:id="rId5" w:tgtFrame="http://data.europa.eu/eli/reg/2011/1173/oj" w:history="1">
        <w:r w:rsidRPr="00B3550F">
          <w:rPr>
            <w:rStyle w:val="Hyperlink"/>
            <w:sz w:val="24"/>
            <w:lang w:val="bg-BG"/>
          </w:rPr>
          <w:t>http://data.europa.eu/eli/reg/2011/1173/oj</w:t>
        </w:r>
      </w:hyperlink>
      <w:r w:rsidRPr="00B3550F">
        <w:rPr>
          <w:sz w:val="24"/>
          <w:lang w:val="bg-BG"/>
        </w:rPr>
        <w:t>.</w:t>
      </w:r>
    </w:p>
  </w:footnote>
  <w:footnote w:id="6">
    <w:p w14:paraId="4143C5F9" w14:textId="18C7AA32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6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306, 23.11.2011 г., стр. 8, ELI: </w:t>
      </w:r>
      <w:hyperlink r:id="rId6" w:tgtFrame="http://data.europa.eu/eli/reg/2011/1174/oj" w:history="1">
        <w:r w:rsidRPr="00B3550F">
          <w:rPr>
            <w:rStyle w:val="Hyperlink"/>
            <w:sz w:val="24"/>
            <w:lang w:val="bg-BG"/>
          </w:rPr>
          <w:t>http://data.europa.eu/eli/reg/2011/1174/oj</w:t>
        </w:r>
      </w:hyperlink>
      <w:r w:rsidRPr="00B3550F">
        <w:rPr>
          <w:sz w:val="24"/>
          <w:lang w:val="bg-BG"/>
        </w:rPr>
        <w:t>.</w:t>
      </w:r>
    </w:p>
  </w:footnote>
  <w:footnote w:id="7">
    <w:p w14:paraId="600EAC9C" w14:textId="2477C735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7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306, 23.11.2011 г., стр. 25, ELI: </w:t>
      </w:r>
      <w:hyperlink r:id="rId7" w:tgtFrame="http://data.europa.eu/eli/reg/2011/1176/oj" w:history="1">
        <w:r w:rsidRPr="00B3550F">
          <w:rPr>
            <w:rStyle w:val="Hyperlink"/>
            <w:sz w:val="24"/>
            <w:lang w:val="bg-BG"/>
          </w:rPr>
          <w:t>http://data.europa.eu/eli/reg/2011/1176/oj</w:t>
        </w:r>
      </w:hyperlink>
      <w:r w:rsidRPr="00B3550F">
        <w:rPr>
          <w:sz w:val="24"/>
          <w:lang w:val="bg-BG"/>
        </w:rPr>
        <w:t>.</w:t>
      </w:r>
    </w:p>
  </w:footnote>
  <w:footnote w:id="8">
    <w:p w14:paraId="2E00BDA1" w14:textId="0F8E55B7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8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140, 27.5.2013 г., стр. 1, ELI: </w:t>
      </w:r>
      <w:hyperlink r:id="rId8" w:tgtFrame="http://data.europa.eu/eli/reg/2013/472/oj" w:history="1">
        <w:r w:rsidRPr="00B3550F">
          <w:rPr>
            <w:rStyle w:val="Hyperlink"/>
            <w:sz w:val="24"/>
            <w:lang w:val="bg-BG"/>
          </w:rPr>
          <w:t>http://data.europa.eu/eli/reg/2013/472/oj</w:t>
        </w:r>
      </w:hyperlink>
      <w:r w:rsidRPr="00B3550F">
        <w:rPr>
          <w:sz w:val="24"/>
          <w:lang w:val="bg-BG"/>
        </w:rPr>
        <w:t>.</w:t>
      </w:r>
    </w:p>
  </w:footnote>
  <w:footnote w:id="9">
    <w:p w14:paraId="6D77A4F9" w14:textId="242E2530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9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ОВ L 140, 27.5.2013 г., стр. 11, ELI: </w:t>
      </w:r>
      <w:hyperlink r:id="rId9" w:tgtFrame="http://data.europa.eu/eli/reg/2013/473/oj" w:history="1">
        <w:r w:rsidRPr="00B3550F">
          <w:rPr>
            <w:rStyle w:val="Hyperlink"/>
            <w:sz w:val="24"/>
            <w:lang w:val="bg-BG"/>
          </w:rPr>
          <w:t>http://data.europa.eu/eli/reg/2013/473/oj</w:t>
        </w:r>
      </w:hyperlink>
      <w:r w:rsidRPr="00B3550F">
        <w:rPr>
          <w:sz w:val="24"/>
          <w:lang w:val="bg-BG"/>
        </w:rPr>
        <w:t>.</w:t>
      </w:r>
    </w:p>
  </w:footnote>
  <w:footnote w:id="10">
    <w:p w14:paraId="2200DC58" w14:textId="7A4F1DDB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10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>Съобщение на Комисията от 19 март 2025 г., озаглавено „Съюз на спестяванията и инвестициите: Стратегия за насърчаване на благосъстоянието на гражданите и икономическата конкурентоспособност в ЕС“ (COM(2025)0124),</w:t>
      </w:r>
    </w:p>
  </w:footnote>
  <w:footnote w:id="11">
    <w:p w14:paraId="1611E76D" w14:textId="5C3ED272" w:rsidR="00E84D37" w:rsidRPr="00B3550F" w:rsidRDefault="00E84D37" w:rsidP="00B3550F">
      <w:pPr>
        <w:pStyle w:val="FootnoteText"/>
        <w:ind w:left="567" w:hanging="567"/>
        <w:rPr>
          <w:sz w:val="24"/>
          <w:lang w:val="bg-BG"/>
        </w:rPr>
      </w:pPr>
      <w:r w:rsidRPr="00B3550F">
        <w:rPr>
          <w:sz w:val="24"/>
          <w:vertAlign w:val="superscript"/>
          <w:lang w:val="bg-BG"/>
        </w:rPr>
        <w:t>11</w:t>
      </w:r>
      <w:r w:rsidR="00B3550F" w:rsidRPr="00B3550F">
        <w:rPr>
          <w:sz w:val="24"/>
          <w:vertAlign w:val="superscript"/>
          <w:lang w:val="bg-BG"/>
        </w:rPr>
        <w:t xml:space="preserve"> </w:t>
      </w:r>
      <w:r w:rsidR="00B3550F" w:rsidRPr="00B3550F">
        <w:rPr>
          <w:sz w:val="24"/>
          <w:vertAlign w:val="superscript"/>
          <w:lang w:val="bg-BG"/>
        </w:rPr>
        <w:tab/>
      </w:r>
      <w:r w:rsidRPr="00B3550F">
        <w:rPr>
          <w:sz w:val="24"/>
          <w:lang w:val="bg-BG"/>
        </w:rPr>
        <w:t xml:space="preserve">Регламент (ЕС) 2024/1263 на Европейския парламент и на Съвета от 29 април 2024 г. за ефективна координация на икономическите политики и за многостранно бюджетно наблюдение и за отмяна на Регламент (ЕО) № 1466/97 на Съвета (ОВ L, 2024/1263, 30.4.2024 г., ELI: </w:t>
      </w:r>
      <w:hyperlink r:id="rId10" w:tgtFrame="http://data.europa.eu/eli/reg/2024/1263/oj" w:history="1">
        <w:r w:rsidRPr="00B3550F">
          <w:rPr>
            <w:rStyle w:val="Hyperlink"/>
            <w:sz w:val="24"/>
            <w:lang w:val="bg-BG"/>
          </w:rPr>
          <w:t>http://data.europa.eu/eli/reg/2024/1263/oj</w:t>
        </w:r>
      </w:hyperlink>
      <w:r w:rsidRPr="00B3550F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C395" w14:textId="77777777" w:rsidR="00064002" w:rsidRPr="00B355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E7A1C" w14:textId="77777777" w:rsidR="00064002" w:rsidRPr="00B355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13E7" w14:textId="77777777" w:rsidR="00064002" w:rsidRPr="00B355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2897935">
    <w:abstractNumId w:val="9"/>
  </w:num>
  <w:num w:numId="2" w16cid:durableId="871841976">
    <w:abstractNumId w:val="9"/>
  </w:num>
  <w:num w:numId="3" w16cid:durableId="501429466">
    <w:abstractNumId w:val="7"/>
  </w:num>
  <w:num w:numId="4" w16cid:durableId="1210023715">
    <w:abstractNumId w:val="7"/>
  </w:num>
  <w:num w:numId="5" w16cid:durableId="1167864950">
    <w:abstractNumId w:val="6"/>
  </w:num>
  <w:num w:numId="6" w16cid:durableId="213734752">
    <w:abstractNumId w:val="6"/>
  </w:num>
  <w:num w:numId="7" w16cid:durableId="1149785195">
    <w:abstractNumId w:val="5"/>
  </w:num>
  <w:num w:numId="8" w16cid:durableId="893010781">
    <w:abstractNumId w:val="5"/>
  </w:num>
  <w:num w:numId="9" w16cid:durableId="1927299010">
    <w:abstractNumId w:val="4"/>
  </w:num>
  <w:num w:numId="10" w16cid:durableId="1920745554">
    <w:abstractNumId w:val="4"/>
  </w:num>
  <w:num w:numId="11" w16cid:durableId="848980481">
    <w:abstractNumId w:val="8"/>
  </w:num>
  <w:num w:numId="12" w16cid:durableId="1960138022">
    <w:abstractNumId w:val="8"/>
  </w:num>
  <w:num w:numId="13" w16cid:durableId="1296302478">
    <w:abstractNumId w:val="3"/>
  </w:num>
  <w:num w:numId="14" w16cid:durableId="406224504">
    <w:abstractNumId w:val="3"/>
  </w:num>
  <w:num w:numId="15" w16cid:durableId="166140113">
    <w:abstractNumId w:val="2"/>
  </w:num>
  <w:num w:numId="16" w16cid:durableId="359860453">
    <w:abstractNumId w:val="2"/>
  </w:num>
  <w:num w:numId="17" w16cid:durableId="2072192259">
    <w:abstractNumId w:val="1"/>
  </w:num>
  <w:num w:numId="18" w16cid:durableId="2138643893">
    <w:abstractNumId w:val="1"/>
  </w:num>
  <w:num w:numId="19" w16cid:durableId="292640768">
    <w:abstractNumId w:val="0"/>
  </w:num>
  <w:num w:numId="20" w16cid:durableId="1199658350">
    <w:abstractNumId w:val="0"/>
  </w:num>
  <w:num w:numId="21" w16cid:durableId="1741319548">
    <w:abstractNumId w:val="9"/>
  </w:num>
  <w:num w:numId="22" w16cid:durableId="1332298444">
    <w:abstractNumId w:val="7"/>
  </w:num>
  <w:num w:numId="23" w16cid:durableId="1893618635">
    <w:abstractNumId w:val="6"/>
  </w:num>
  <w:num w:numId="24" w16cid:durableId="1401560044">
    <w:abstractNumId w:val="5"/>
  </w:num>
  <w:num w:numId="25" w16cid:durableId="2027902512">
    <w:abstractNumId w:val="4"/>
  </w:num>
  <w:num w:numId="26" w16cid:durableId="190917456">
    <w:abstractNumId w:val="8"/>
  </w:num>
  <w:num w:numId="27" w16cid:durableId="348332883">
    <w:abstractNumId w:val="3"/>
  </w:num>
  <w:num w:numId="28" w16cid:durableId="1014769061">
    <w:abstractNumId w:val="2"/>
  </w:num>
  <w:num w:numId="29" w16cid:durableId="1478567126">
    <w:abstractNumId w:val="1"/>
  </w:num>
  <w:num w:numId="30" w16cid:durableId="285939874">
    <w:abstractNumId w:val="0"/>
  </w:num>
  <w:num w:numId="31" w16cid:durableId="1602301514">
    <w:abstractNumId w:val="9"/>
  </w:num>
  <w:num w:numId="32" w16cid:durableId="1996373653">
    <w:abstractNumId w:val="7"/>
  </w:num>
  <w:num w:numId="33" w16cid:durableId="307320383">
    <w:abstractNumId w:val="6"/>
  </w:num>
  <w:num w:numId="34" w16cid:durableId="299966150">
    <w:abstractNumId w:val="5"/>
  </w:num>
  <w:num w:numId="35" w16cid:durableId="1601789437">
    <w:abstractNumId w:val="4"/>
  </w:num>
  <w:num w:numId="36" w16cid:durableId="1963997286">
    <w:abstractNumId w:val="8"/>
  </w:num>
  <w:num w:numId="37" w16cid:durableId="1715956924">
    <w:abstractNumId w:val="3"/>
  </w:num>
  <w:num w:numId="38" w16cid:durableId="790637134">
    <w:abstractNumId w:val="2"/>
  </w:num>
  <w:num w:numId="39" w16cid:durableId="1719814989">
    <w:abstractNumId w:val="1"/>
  </w:num>
  <w:num w:numId="40" w16cid:durableId="650718918">
    <w:abstractNumId w:val="0"/>
  </w:num>
  <w:num w:numId="41" w16cid:durableId="998734369">
    <w:abstractNumId w:val="10"/>
  </w:num>
  <w:num w:numId="42" w16cid:durableId="1086077859">
    <w:abstractNumId w:val="10"/>
  </w:num>
  <w:num w:numId="43" w16cid:durableId="1663657256">
    <w:abstractNumId w:val="10"/>
  </w:num>
  <w:num w:numId="44" w16cid:durableId="9918344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BG"/>
    <w:docVar w:name="dvnumam" w:val="47"/>
    <w:docVar w:name="dvpe" w:val="779.614"/>
    <w:docVar w:name="dvrapporteur" w:val="Докладчик: "/>
    <w:docVar w:name="dvtitre" w:val="Резолюция на Европейския парламент от ... 2026 г. относно европейския семестър за координация на икономическите политики през 2026 г.(2025/2214(INI))"/>
  </w:docVars>
  <w:rsids>
    <w:rsidRoot w:val="00A1666F"/>
    <w:rsid w:val="00002272"/>
    <w:rsid w:val="00064002"/>
    <w:rsid w:val="000677B9"/>
    <w:rsid w:val="00081DBC"/>
    <w:rsid w:val="000831BA"/>
    <w:rsid w:val="00092240"/>
    <w:rsid w:val="000931E1"/>
    <w:rsid w:val="000A42CC"/>
    <w:rsid w:val="000E7DD9"/>
    <w:rsid w:val="0010095E"/>
    <w:rsid w:val="00113D0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E8"/>
    <w:rsid w:val="005C2568"/>
    <w:rsid w:val="005F1B17"/>
    <w:rsid w:val="006037C0"/>
    <w:rsid w:val="006631B6"/>
    <w:rsid w:val="00680577"/>
    <w:rsid w:val="006E0FF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66F"/>
    <w:rsid w:val="00A1687D"/>
    <w:rsid w:val="00A43E52"/>
    <w:rsid w:val="00A4556C"/>
    <w:rsid w:val="00A4678D"/>
    <w:rsid w:val="00A778C7"/>
    <w:rsid w:val="00AB441E"/>
    <w:rsid w:val="00AB6293"/>
    <w:rsid w:val="00AE0928"/>
    <w:rsid w:val="00AF3B82"/>
    <w:rsid w:val="00B12E95"/>
    <w:rsid w:val="00B22876"/>
    <w:rsid w:val="00B3550F"/>
    <w:rsid w:val="00B558F0"/>
    <w:rsid w:val="00B936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DF5"/>
    <w:rsid w:val="00E365E1"/>
    <w:rsid w:val="00E820A4"/>
    <w:rsid w:val="00E84D3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CB40E"/>
  <w15:chartTrackingRefBased/>
  <w15:docId w15:val="{30842F1A-886C-41FC-B9E9-10B1B075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84D3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84D3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84D3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84D3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84D3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84D37"/>
    <w:rPr>
      <w:color w:val="0000FF"/>
      <w:u w:val="single"/>
    </w:rPr>
  </w:style>
  <w:style w:type="paragraph" w:styleId="Revision">
    <w:name w:val="Revision"/>
    <w:hidden/>
    <w:uiPriority w:val="99"/>
    <w:semiHidden/>
    <w:rsid w:val="000931E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4583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2026-03-11T14:03:00Z</dcterms:created>
  <dcterms:modified xsi:type="dcterms:W3CDTF">2026-03-11T14:03:00Z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