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3375" w14:paraId="5A6B844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B15C5B" w14:textId="77777777" w:rsidR="00751A4A" w:rsidRPr="002D3375" w:rsidRDefault="005E1AC9" w:rsidP="0010095E">
            <w:pPr>
              <w:pStyle w:val="EPName"/>
            </w:pPr>
            <w:r w:rsidRPr="002D3375">
              <w:t>Evropský parlament</w:t>
            </w:r>
          </w:p>
          <w:p w14:paraId="1F30DD5C" w14:textId="77777777" w:rsidR="00751A4A" w:rsidRPr="002D337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D3375">
              <w:t>2024</w:t>
            </w:r>
            <w:r w:rsidR="00817416" w:rsidRPr="002D3375">
              <w:t>-202</w:t>
            </w:r>
            <w:r w:rsidRPr="002D3375">
              <w:t>9</w:t>
            </w:r>
          </w:p>
        </w:tc>
        <w:tc>
          <w:tcPr>
            <w:tcW w:w="2268" w:type="dxa"/>
            <w:shd w:val="clear" w:color="auto" w:fill="auto"/>
          </w:tcPr>
          <w:p w14:paraId="30A8E525" w14:textId="77777777" w:rsidR="00751A4A" w:rsidRPr="002D3375" w:rsidRDefault="00187494" w:rsidP="0010095E">
            <w:pPr>
              <w:pStyle w:val="EPLogo"/>
            </w:pPr>
            <w:r w:rsidRPr="002D3375">
              <w:rPr>
                <w:noProof/>
                <w:lang w:eastAsia="ja-JP"/>
              </w:rPr>
              <w:drawing>
                <wp:inline distT="0" distB="0" distL="0" distR="0" wp14:anchorId="5F224B24" wp14:editId="41A9831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BF38DD" w14:textId="77777777" w:rsidR="00D058B8" w:rsidRPr="002D3375" w:rsidRDefault="00D058B8" w:rsidP="004C5D52">
      <w:pPr>
        <w:pStyle w:val="LineTop"/>
      </w:pPr>
    </w:p>
    <w:p w14:paraId="67F56DA5" w14:textId="77777777" w:rsidR="00680577" w:rsidRPr="002D3375" w:rsidRDefault="005E1AC9" w:rsidP="00680577">
      <w:pPr>
        <w:pStyle w:val="EPBodyTA1"/>
      </w:pPr>
      <w:r w:rsidRPr="002D3375">
        <w:t>PŘIJATÉ TEXTY</w:t>
      </w:r>
    </w:p>
    <w:p w14:paraId="4D7C3A58" w14:textId="77777777" w:rsidR="00D058B8" w:rsidRPr="002D3375" w:rsidRDefault="00D058B8" w:rsidP="00D058B8">
      <w:pPr>
        <w:pStyle w:val="LineBottom"/>
      </w:pPr>
    </w:p>
    <w:p w14:paraId="31D70EEC" w14:textId="45A2D4A1" w:rsidR="005E1AC9" w:rsidRPr="002D3375" w:rsidRDefault="005E1AC9" w:rsidP="005E1AC9">
      <w:pPr>
        <w:pStyle w:val="ATHeading1"/>
      </w:pPr>
      <w:bookmarkStart w:id="0" w:name="TANumber"/>
      <w:r w:rsidRPr="002D3375">
        <w:t>P10_TA(2026)00</w:t>
      </w:r>
      <w:r w:rsidR="00934D3E">
        <w:t>7</w:t>
      </w:r>
      <w:r w:rsidR="009918C6">
        <w:t>5</w:t>
      </w:r>
      <w:bookmarkEnd w:id="0"/>
    </w:p>
    <w:p w14:paraId="22643C1E" w14:textId="77777777" w:rsidR="005E1AC9" w:rsidRPr="002D3375" w:rsidRDefault="005E1AC9" w:rsidP="005E1AC9">
      <w:pPr>
        <w:pStyle w:val="ATHeading2"/>
      </w:pPr>
      <w:bookmarkStart w:id="1" w:name="title"/>
      <w:r w:rsidRPr="002D3375">
        <w:t>Evropský semestr pro koordinaci hospodářských politik 2026</w:t>
      </w:r>
      <w:bookmarkEnd w:id="1"/>
    </w:p>
    <w:p w14:paraId="7A631034" w14:textId="77777777" w:rsidR="005E1AC9" w:rsidRPr="002D3375" w:rsidRDefault="005E1AC9" w:rsidP="005E1AC9">
      <w:pPr>
        <w:rPr>
          <w:i/>
          <w:vanish/>
        </w:rPr>
      </w:pPr>
      <w:r w:rsidRPr="002D3375">
        <w:rPr>
          <w:i/>
        </w:rPr>
        <w:fldChar w:fldCharType="begin"/>
      </w:r>
      <w:r w:rsidRPr="002D3375">
        <w:rPr>
          <w:i/>
        </w:rPr>
        <w:instrText xml:space="preserve"> TC"(</w:instrText>
      </w:r>
      <w:bookmarkStart w:id="2" w:name="DocNumber"/>
      <w:r w:rsidRPr="002D3375">
        <w:rPr>
          <w:i/>
        </w:rPr>
        <w:instrText>A10-0036/2026</w:instrText>
      </w:r>
      <w:bookmarkEnd w:id="2"/>
      <w:r w:rsidRPr="002D3375">
        <w:rPr>
          <w:i/>
        </w:rPr>
        <w:instrText xml:space="preserve"> - Zpravodajka: Kira Marie Peter-Hansen)"\l3 \n&gt; \* MERGEFORMAT </w:instrText>
      </w:r>
      <w:r w:rsidRPr="002D3375">
        <w:rPr>
          <w:i/>
        </w:rPr>
        <w:fldChar w:fldCharType="end"/>
      </w:r>
    </w:p>
    <w:p w14:paraId="45719BC4" w14:textId="77777777" w:rsidR="005E1AC9" w:rsidRPr="002D3375" w:rsidRDefault="005E1AC9" w:rsidP="005E1AC9">
      <w:pPr>
        <w:rPr>
          <w:vanish/>
        </w:rPr>
      </w:pPr>
      <w:bookmarkStart w:id="3" w:name="Commission"/>
      <w:r w:rsidRPr="002D3375">
        <w:rPr>
          <w:vanish/>
        </w:rPr>
        <w:t>Hospodářský a měnový výbor</w:t>
      </w:r>
      <w:bookmarkEnd w:id="3"/>
    </w:p>
    <w:p w14:paraId="3271983A" w14:textId="77777777" w:rsidR="005E1AC9" w:rsidRPr="002D3375" w:rsidRDefault="005E1AC9" w:rsidP="005E1AC9">
      <w:pPr>
        <w:rPr>
          <w:vanish/>
        </w:rPr>
      </w:pPr>
      <w:bookmarkStart w:id="4" w:name="PE"/>
      <w:r w:rsidRPr="002D3375">
        <w:rPr>
          <w:vanish/>
        </w:rPr>
        <w:t>PE779.614</w:t>
      </w:r>
      <w:bookmarkEnd w:id="4"/>
    </w:p>
    <w:p w14:paraId="4AE9C3BC" w14:textId="4EC529EE" w:rsidR="005E1AC9" w:rsidRPr="002D3375" w:rsidRDefault="005E1AC9" w:rsidP="005E1AC9">
      <w:pPr>
        <w:pStyle w:val="ATHeading3"/>
      </w:pPr>
      <w:bookmarkStart w:id="5" w:name="Sujet"/>
      <w:r w:rsidRPr="002D3375">
        <w:t>Usnesení Evropského parlamentu ze dne</w:t>
      </w:r>
      <w:r w:rsidR="00435746">
        <w:t xml:space="preserve"> </w:t>
      </w:r>
      <w:r w:rsidR="00934D3E">
        <w:t>11</w:t>
      </w:r>
      <w:r w:rsidR="00435746">
        <w:t>. března</w:t>
      </w:r>
      <w:r w:rsidRPr="002D3375">
        <w:t xml:space="preserve"> 2026 o evropském semestru pro koordinaci hospodářských politik 2026</w:t>
      </w:r>
      <w:bookmarkEnd w:id="5"/>
      <w:r w:rsidRPr="002D3375">
        <w:t xml:space="preserve"> </w:t>
      </w:r>
      <w:bookmarkStart w:id="6" w:name="References"/>
      <w:r w:rsidRPr="002D3375">
        <w:t>(2025/2214(INI))</w:t>
      </w:r>
      <w:bookmarkEnd w:id="6"/>
    </w:p>
    <w:p w14:paraId="7265246C" w14:textId="77777777" w:rsidR="001C68AD" w:rsidRPr="002D3375" w:rsidRDefault="001C68AD" w:rsidP="001C68AD">
      <w:pPr>
        <w:pStyle w:val="Normal12"/>
      </w:pPr>
      <w:r w:rsidRPr="002D3375">
        <w:rPr>
          <w:i/>
        </w:rPr>
        <w:t>Evropský parlament</w:t>
      </w:r>
      <w:r w:rsidRPr="002D3375">
        <w:t>,</w:t>
      </w:r>
    </w:p>
    <w:p w14:paraId="2D333EF1" w14:textId="77777777" w:rsidR="001C68AD" w:rsidRPr="002D3375" w:rsidRDefault="001C68AD" w:rsidP="001C68AD">
      <w:pPr>
        <w:pStyle w:val="NormalHanging"/>
      </w:pPr>
      <w:r w:rsidRPr="002D3375">
        <w:t>–</w:t>
      </w:r>
      <w:r w:rsidRPr="002D3375">
        <w:tab/>
        <w:t>s ohledem na Smlouvu o fungování Evropské unie a zejména na články 121, 126 a 136 této smlouvy,</w:t>
      </w:r>
    </w:p>
    <w:p w14:paraId="22027932" w14:textId="77777777" w:rsidR="001C68AD" w:rsidRPr="002D3375" w:rsidRDefault="001C68AD" w:rsidP="001C68AD">
      <w:pPr>
        <w:pStyle w:val="NormalHanging"/>
      </w:pPr>
      <w:r w:rsidRPr="002D3375">
        <w:t>–</w:t>
      </w:r>
      <w:r w:rsidRPr="002D3375">
        <w:tab/>
        <w:t>s ohledem na Protokol č. 1 ke Smlouvě o Evropské unii a Smlouvě o fungování Evropské unie o úloze vnitrostátních parlamentů v Evropské unii,</w:t>
      </w:r>
    </w:p>
    <w:p w14:paraId="53F03E3E" w14:textId="77777777" w:rsidR="001C68AD" w:rsidRPr="002D3375" w:rsidRDefault="001C68AD" w:rsidP="001C68AD">
      <w:pPr>
        <w:pStyle w:val="NormalHanging"/>
      </w:pPr>
      <w:r w:rsidRPr="002D3375">
        <w:t>–</w:t>
      </w:r>
      <w:r w:rsidRPr="002D3375">
        <w:tab/>
        <w:t>s ohledem na Protokol č. 2 ke Smlouvě o Evropské unii a Smlouvě o fungování Evropské unie o používání zásad subsidiarity a proporcionality,</w:t>
      </w:r>
    </w:p>
    <w:p w14:paraId="4290AA83" w14:textId="024F6FE4" w:rsidR="001C68AD" w:rsidRPr="002D3375" w:rsidRDefault="001C68AD" w:rsidP="001C68AD">
      <w:pPr>
        <w:pStyle w:val="NormalHanging"/>
      </w:pPr>
      <w:r w:rsidRPr="002D3375">
        <w:t>–</w:t>
      </w:r>
      <w:r w:rsidRPr="002D3375">
        <w:tab/>
        <w:t>s ohledem na Pařížskou dohodu Konference smluvních stran Rámcové úmluvy OSN o změně klimatu ze dne 12. prosince</w:t>
      </w:r>
      <w:r w:rsidR="00716E2A">
        <w:t xml:space="preserve"> 2015</w:t>
      </w:r>
      <w:r w:rsidRPr="002D3375">
        <w:t xml:space="preserve"> a na cíle OSN v oblasti udržitelného rozvoje,</w:t>
      </w:r>
    </w:p>
    <w:p w14:paraId="42EA4333" w14:textId="77777777" w:rsidR="001C68AD" w:rsidRPr="002D3375" w:rsidRDefault="001C68AD" w:rsidP="001C68AD">
      <w:pPr>
        <w:pStyle w:val="NormalHanging"/>
      </w:pPr>
      <w:r w:rsidRPr="002D3375">
        <w:t>–</w:t>
      </w:r>
      <w:r w:rsidRPr="002D3375">
        <w:tab/>
        <w:t>s ohledem na nařízení Evropského parlamentu a Rady (EU) 2021/1119 ze dne 30. června 2021, kterým se stanoví rámec pro dosažení klimatické neutrality a mění nařízení (ES) č. 401/2009 a nařízení (EU) 2018/1999 („evropský právní rámec pro klima“)</w:t>
      </w:r>
      <w:r w:rsidRPr="002D3375">
        <w:rPr>
          <w:rStyle w:val="FootnoteReference"/>
        </w:rPr>
        <w:footnoteReference w:customMarkFollows="1" w:id="1"/>
        <w:t>1</w:t>
      </w:r>
      <w:r w:rsidRPr="002D3375">
        <w:t>,</w:t>
      </w:r>
    </w:p>
    <w:p w14:paraId="3020CCAD" w14:textId="77777777" w:rsidR="001C68AD" w:rsidRPr="002D3375" w:rsidRDefault="001C68AD" w:rsidP="001C68AD">
      <w:pPr>
        <w:pStyle w:val="NormalHanging"/>
      </w:pPr>
      <w:r w:rsidRPr="002D3375">
        <w:t>–</w:t>
      </w:r>
      <w:r w:rsidRPr="002D3375">
        <w:tab/>
        <w:t>s ohledem na Protokol č. 12 ke Smlouvě o Evropské unii a Smlouvě o fungování Evropské unie o postupu při nadměrném schodku,</w:t>
      </w:r>
    </w:p>
    <w:p w14:paraId="7558D7D2" w14:textId="77777777" w:rsidR="001C68AD" w:rsidRPr="002D3375" w:rsidRDefault="001C68AD" w:rsidP="001C68AD">
      <w:pPr>
        <w:pStyle w:val="NormalHanging"/>
      </w:pPr>
      <w:r w:rsidRPr="002D3375">
        <w:t>–</w:t>
      </w:r>
      <w:r w:rsidRPr="002D3375">
        <w:tab/>
        <w:t>s ohledem na Smlouvu o stabilitě, koordinaci a správě v hospodářské a měnové unii,</w:t>
      </w:r>
    </w:p>
    <w:p w14:paraId="6C5C7E5C" w14:textId="77777777" w:rsidR="001C68AD" w:rsidRPr="002D3375" w:rsidRDefault="001C68AD" w:rsidP="001C68AD">
      <w:pPr>
        <w:pStyle w:val="NormalHanging"/>
      </w:pPr>
      <w:r w:rsidRPr="002D3375">
        <w:t>–</w:t>
      </w:r>
      <w:r w:rsidRPr="002D3375">
        <w:tab/>
        <w:t>s ohledem na nařízení Evropského parlamentu a Rady (EU) 2024/1263 ze dne 29. dubna 2024 o účinné koordinaci hospodářských politik a mnohostranném rozpočtovém dohledu a o zrušení nařízení Rady (ES) č. 1466/97</w:t>
      </w:r>
      <w:r w:rsidRPr="002D3375">
        <w:rPr>
          <w:rStyle w:val="FootnoteReference"/>
        </w:rPr>
        <w:footnoteReference w:customMarkFollows="1" w:id="2"/>
        <w:t>2</w:t>
      </w:r>
      <w:r w:rsidRPr="002D3375">
        <w:t>,</w:t>
      </w:r>
    </w:p>
    <w:p w14:paraId="33687EFE" w14:textId="77777777" w:rsidR="001C68AD" w:rsidRPr="002D3375" w:rsidRDefault="001C68AD" w:rsidP="001C68AD">
      <w:pPr>
        <w:pStyle w:val="NormalHanging"/>
      </w:pPr>
      <w:r w:rsidRPr="002D3375">
        <w:t>–</w:t>
      </w:r>
      <w:r w:rsidRPr="002D3375">
        <w:tab/>
        <w:t>s ohledem na nařízení Rady (EU) 2024/1264 ze dne 29. dubna 2024, kterým se mění nařízení (ES) č. 1467/97 o urychlení a vyjasnění postupu při nadměrném schodku</w:t>
      </w:r>
      <w:r w:rsidRPr="002D3375">
        <w:rPr>
          <w:rStyle w:val="FootnoteReference"/>
        </w:rPr>
        <w:footnoteReference w:customMarkFollows="1" w:id="3"/>
        <w:t>3</w:t>
      </w:r>
      <w:r w:rsidRPr="002D3375">
        <w:t>,</w:t>
      </w:r>
    </w:p>
    <w:p w14:paraId="4ADC9B95" w14:textId="77777777" w:rsidR="001C68AD" w:rsidRPr="002D3375" w:rsidRDefault="001C68AD" w:rsidP="001C68AD">
      <w:pPr>
        <w:pStyle w:val="NormalHanging"/>
      </w:pPr>
      <w:r w:rsidRPr="002D3375">
        <w:lastRenderedPageBreak/>
        <w:t>–</w:t>
      </w:r>
      <w:r w:rsidRPr="002D3375">
        <w:tab/>
        <w:t>s ohledem na směrnici Rady (EU) 2024/1265 ze dne 29. dubna 2024, kterou se mění směrnice 2011/85/EU o požadavcích na rozpočtové rámce členských států</w:t>
      </w:r>
      <w:r w:rsidRPr="002D3375">
        <w:rPr>
          <w:rStyle w:val="FootnoteReference"/>
        </w:rPr>
        <w:footnoteReference w:customMarkFollows="1" w:id="4"/>
        <w:t>4</w:t>
      </w:r>
      <w:r w:rsidRPr="002D3375">
        <w:t>,</w:t>
      </w:r>
    </w:p>
    <w:p w14:paraId="0C497DA5" w14:textId="77777777" w:rsidR="001C68AD" w:rsidRPr="002D3375" w:rsidRDefault="001C68AD" w:rsidP="001C68AD">
      <w:pPr>
        <w:pStyle w:val="NormalHanging"/>
      </w:pPr>
      <w:r w:rsidRPr="002D3375">
        <w:t>–</w:t>
      </w:r>
      <w:r w:rsidRPr="002D3375">
        <w:tab/>
        <w:t>s ohledem na nařízení Evropského parlamentu a Rady (EU) č. 1173/2011 ze dne 16. listopadu 2011 o účinném prosazování rozpočtového dohledu v eurozóně</w:t>
      </w:r>
      <w:r w:rsidRPr="002D3375">
        <w:rPr>
          <w:rStyle w:val="FootnoteReference"/>
        </w:rPr>
        <w:footnoteReference w:customMarkFollows="1" w:id="5"/>
        <w:t>5</w:t>
      </w:r>
      <w:r w:rsidRPr="002D3375">
        <w:t>,</w:t>
      </w:r>
    </w:p>
    <w:p w14:paraId="7A65E699" w14:textId="77777777" w:rsidR="001C68AD" w:rsidRPr="002D3375" w:rsidRDefault="001C68AD" w:rsidP="001C68AD">
      <w:pPr>
        <w:pStyle w:val="NormalHanging"/>
      </w:pPr>
      <w:r w:rsidRPr="002D3375">
        <w:t>–</w:t>
      </w:r>
      <w:r w:rsidRPr="002D3375">
        <w:tab/>
        <w:t>s ohledem na nařízení Evropského parlamentu a Rady (EU) č. 1174/2011 ze dne 16. listopadu 2011 o donucovacích opatřeních k nápravě nadměrné makroekonomické nerovnováhy v eurozóně</w:t>
      </w:r>
      <w:r w:rsidRPr="002D3375">
        <w:rPr>
          <w:rStyle w:val="FootnoteReference"/>
        </w:rPr>
        <w:footnoteReference w:customMarkFollows="1" w:id="6"/>
        <w:t>6</w:t>
      </w:r>
      <w:r w:rsidRPr="002D3375">
        <w:t>,</w:t>
      </w:r>
    </w:p>
    <w:p w14:paraId="324C7C9C" w14:textId="77777777" w:rsidR="001C68AD" w:rsidRPr="002D3375" w:rsidRDefault="001C68AD" w:rsidP="001C68AD">
      <w:pPr>
        <w:pStyle w:val="NormalHanging"/>
      </w:pPr>
      <w:r w:rsidRPr="002D3375">
        <w:t>–</w:t>
      </w:r>
      <w:r w:rsidRPr="002D3375">
        <w:tab/>
        <w:t>s ohledem na nařízení Evropského parlamentu a Rady (EU) č. 1176/2011 ze dne 16. listopadu 2011 o prevenci a nápravě makroekonomické nerovnováhy</w:t>
      </w:r>
      <w:r w:rsidRPr="002D3375">
        <w:rPr>
          <w:rStyle w:val="FootnoteReference"/>
        </w:rPr>
        <w:footnoteReference w:customMarkFollows="1" w:id="7"/>
        <w:t>7</w:t>
      </w:r>
      <w:r w:rsidRPr="002D3375">
        <w:t>,</w:t>
      </w:r>
    </w:p>
    <w:p w14:paraId="3B553E6B" w14:textId="77777777" w:rsidR="001C68AD" w:rsidRPr="002D3375" w:rsidRDefault="001C68AD" w:rsidP="001C68AD">
      <w:pPr>
        <w:pStyle w:val="NormalHanging"/>
      </w:pPr>
      <w:r w:rsidRPr="002D3375">
        <w:t>–</w:t>
      </w:r>
      <w:r w:rsidRPr="002D3375">
        <w:tab/>
        <w:t>s ohledem na nařízení Evropského parlamentu a Rady (EU) č. 472/2013 ze dne 21. května 2013 o posílení hospodářského a rozpočtového dohledu nad členskými státy eurozóny, jejichž finanční stabilita je postižena či ohrožena závažnými obtížemi</w:t>
      </w:r>
      <w:r w:rsidRPr="002D3375">
        <w:rPr>
          <w:rStyle w:val="FootnoteReference"/>
        </w:rPr>
        <w:footnoteReference w:customMarkFollows="1" w:id="8"/>
        <w:t>8</w:t>
      </w:r>
      <w:r w:rsidRPr="002D3375">
        <w:t>,</w:t>
      </w:r>
    </w:p>
    <w:p w14:paraId="50486F3A" w14:textId="77777777" w:rsidR="001C68AD" w:rsidRPr="002D3375" w:rsidRDefault="001C68AD" w:rsidP="001C68AD">
      <w:pPr>
        <w:pStyle w:val="NormalHanging"/>
      </w:pPr>
      <w:r w:rsidRPr="002D3375">
        <w:t>–</w:t>
      </w:r>
      <w:r w:rsidRPr="002D3375">
        <w:tab/>
        <w:t>s ohledem na nařízení Evropského parlamentu a Rady (EU) č. 473/2013 ze dne 21. května 2013 o společných ustanoveních týkajících se sledování a posuzování návrhů rozpočtových plánů a zajišťování nápravy nadměrného schodku členských států v eurozóně</w:t>
      </w:r>
      <w:r w:rsidRPr="002D3375">
        <w:rPr>
          <w:rStyle w:val="FootnoteReference"/>
        </w:rPr>
        <w:footnoteReference w:customMarkFollows="1" w:id="9"/>
        <w:t>9</w:t>
      </w:r>
      <w:r w:rsidRPr="002D3375">
        <w:t>,</w:t>
      </w:r>
    </w:p>
    <w:p w14:paraId="05DFF48B" w14:textId="77777777" w:rsidR="001C68AD" w:rsidRPr="002D3375" w:rsidRDefault="001C68AD" w:rsidP="001C68AD">
      <w:pPr>
        <w:pStyle w:val="NormalHanging"/>
      </w:pPr>
      <w:r w:rsidRPr="002D3375">
        <w:t>–</w:t>
      </w:r>
      <w:r w:rsidRPr="002D3375">
        <w:tab/>
        <w:t>s ohledem na hospodářskou prognózu Komise z jara roku 2025 zveřejněnou dne 19. května 2025,</w:t>
      </w:r>
    </w:p>
    <w:p w14:paraId="7BB51E42" w14:textId="77777777" w:rsidR="001C68AD" w:rsidRPr="002D3375" w:rsidRDefault="001C68AD" w:rsidP="001C68AD">
      <w:pPr>
        <w:pStyle w:val="NormalHanging"/>
      </w:pPr>
      <w:r w:rsidRPr="002D3375">
        <w:t>–</w:t>
      </w:r>
      <w:r w:rsidRPr="002D3375">
        <w:tab/>
        <w:t>s ohledem na hospodářskou prognózu Komise z podzimu roku 2025 zveřejněnou dne 17. listopadu 2025,</w:t>
      </w:r>
    </w:p>
    <w:p w14:paraId="6E56B8CB" w14:textId="77777777" w:rsidR="001C68AD" w:rsidRPr="002D3375" w:rsidRDefault="001C68AD" w:rsidP="001C68AD">
      <w:pPr>
        <w:pStyle w:val="NormalHanging"/>
      </w:pPr>
      <w:r w:rsidRPr="002D3375">
        <w:t>–</w:t>
      </w:r>
      <w:r w:rsidRPr="002D3375">
        <w:tab/>
        <w:t>s ohledem na evropský semestr 2026 – podzimní balíček Komise ze dne 25. listopadu 2025,</w:t>
      </w:r>
    </w:p>
    <w:p w14:paraId="0FFC3677" w14:textId="77777777" w:rsidR="001C68AD" w:rsidRPr="002D3375" w:rsidRDefault="001C68AD" w:rsidP="001C68AD">
      <w:pPr>
        <w:pStyle w:val="NormalHanging"/>
      </w:pPr>
      <w:r w:rsidRPr="002D3375">
        <w:t>–</w:t>
      </w:r>
      <w:r w:rsidRPr="002D3375">
        <w:tab/>
        <w:t>s ohledem na Monitor udržitelnosti dluhu 2024, vypracovaný Komisí dne 17. března 2025,</w:t>
      </w:r>
    </w:p>
    <w:p w14:paraId="59C22A4D" w14:textId="77777777" w:rsidR="001C68AD" w:rsidRPr="002D3375" w:rsidRDefault="001C68AD" w:rsidP="001C68AD">
      <w:pPr>
        <w:pStyle w:val="NormalHanging"/>
      </w:pPr>
      <w:r w:rsidRPr="002D3375">
        <w:t>–</w:t>
      </w:r>
      <w:r w:rsidRPr="002D3375">
        <w:tab/>
        <w:t>s ohledem na sdělení Komise ze dne 19. března 2025 nazvané „Přizpůsobení zvýšených výdajů na obranu v rámci Paktu o stabilitě a růstu“ (C(2025)2000),</w:t>
      </w:r>
    </w:p>
    <w:p w14:paraId="08DDB939" w14:textId="77777777" w:rsidR="001C68AD" w:rsidRPr="002D3375" w:rsidRDefault="001C68AD" w:rsidP="001C68AD">
      <w:pPr>
        <w:pStyle w:val="NormalHanging"/>
      </w:pPr>
      <w:r w:rsidRPr="002D3375">
        <w:t>–</w:t>
      </w:r>
      <w:r w:rsidRPr="002D3375">
        <w:tab/>
        <w:t>s ohledem na výroční zprávu Evropské fiskální rady za rok 2025, která byla zveřejněna dne 22. října 2025,</w:t>
      </w:r>
    </w:p>
    <w:p w14:paraId="3D176CBD" w14:textId="77777777" w:rsidR="001C68AD" w:rsidRPr="002D3375" w:rsidRDefault="001C68AD" w:rsidP="001C68AD">
      <w:pPr>
        <w:pStyle w:val="NormalHanging"/>
      </w:pPr>
      <w:r w:rsidRPr="002D3375">
        <w:t>–</w:t>
      </w:r>
      <w:r w:rsidRPr="002D3375">
        <w:tab/>
        <w:t xml:space="preserve">s ohledem na zprávu ze dne 9. září 2024, kterou vypracoval Mario </w:t>
      </w:r>
      <w:proofErr w:type="spellStart"/>
      <w:r w:rsidRPr="002D3375">
        <w:t>Draghi</w:t>
      </w:r>
      <w:proofErr w:type="spellEnd"/>
      <w:r w:rsidRPr="002D3375">
        <w:t xml:space="preserve"> pod názvem „Budoucnost evropské konkurenceschopnosti“ (</w:t>
      </w:r>
      <w:proofErr w:type="spellStart"/>
      <w:r w:rsidRPr="002D3375">
        <w:t>Draghiho</w:t>
      </w:r>
      <w:proofErr w:type="spellEnd"/>
      <w:r w:rsidRPr="002D3375">
        <w:t xml:space="preserve"> zpráva),</w:t>
      </w:r>
    </w:p>
    <w:p w14:paraId="46B36EDE" w14:textId="77777777" w:rsidR="001C68AD" w:rsidRPr="002D3375" w:rsidRDefault="001C68AD" w:rsidP="001C68AD">
      <w:pPr>
        <w:pStyle w:val="NormalHanging"/>
      </w:pPr>
      <w:r w:rsidRPr="002D3375">
        <w:lastRenderedPageBreak/>
        <w:t>–</w:t>
      </w:r>
      <w:r w:rsidRPr="002D3375">
        <w:tab/>
        <w:t>s ohledem na společné sdělení Komise a vysoké představitelky Unie pro zahraniční věci a bezpečnostní politiku ze dne 19. března 2025 nazvané „Bílá kniha o budoucnosti evropské obrany 2030“ (JOIN(2025)0120),</w:t>
      </w:r>
    </w:p>
    <w:p w14:paraId="6CB11D2D" w14:textId="77777777" w:rsidR="001C68AD" w:rsidRPr="002D3375" w:rsidRDefault="001C68AD" w:rsidP="001C68AD">
      <w:pPr>
        <w:pStyle w:val="NormalHanging"/>
      </w:pPr>
      <w:r w:rsidRPr="002D3375">
        <w:t>–</w:t>
      </w:r>
      <w:r w:rsidRPr="002D3375">
        <w:tab/>
        <w:t>s ohledem na zprávu Společného výzkumného střediska nazvanou „</w:t>
      </w:r>
      <w:proofErr w:type="spellStart"/>
      <w:r w:rsidRPr="002D3375">
        <w:t>Measuring</w:t>
      </w:r>
      <w:proofErr w:type="spellEnd"/>
      <w:r w:rsidRPr="002D3375">
        <w:t xml:space="preserve"> </w:t>
      </w:r>
      <w:proofErr w:type="spellStart"/>
      <w:r w:rsidRPr="002D3375">
        <w:t>sustainable</w:t>
      </w:r>
      <w:proofErr w:type="spellEnd"/>
      <w:r w:rsidRPr="002D3375">
        <w:t xml:space="preserve"> and </w:t>
      </w:r>
      <w:proofErr w:type="spellStart"/>
      <w:r w:rsidRPr="002D3375">
        <w:t>inclusive</w:t>
      </w:r>
      <w:proofErr w:type="spellEnd"/>
      <w:r w:rsidRPr="002D3375">
        <w:t xml:space="preserve"> </w:t>
      </w:r>
      <w:proofErr w:type="spellStart"/>
      <w:r w:rsidRPr="002D3375">
        <w:t>well-being</w:t>
      </w:r>
      <w:proofErr w:type="spellEnd"/>
      <w:r w:rsidRPr="002D3375">
        <w:t>: a </w:t>
      </w:r>
      <w:proofErr w:type="spellStart"/>
      <w:r w:rsidRPr="002D3375">
        <w:t>multidimensional</w:t>
      </w:r>
      <w:proofErr w:type="spellEnd"/>
      <w:r w:rsidRPr="002D3375">
        <w:t xml:space="preserve"> dashboard </w:t>
      </w:r>
      <w:proofErr w:type="spellStart"/>
      <w:r w:rsidRPr="002D3375">
        <w:t>approach</w:t>
      </w:r>
      <w:proofErr w:type="spellEnd"/>
      <w:r w:rsidRPr="002D3375">
        <w:t>“ (Měření udržitelného a inkluzivního blahobytu: vícerozměrný přístup k přehledu ukazatelů), která byla zveřejněna dne 28. ledna 2025,</w:t>
      </w:r>
    </w:p>
    <w:p w14:paraId="61B94214" w14:textId="77777777" w:rsidR="001C68AD" w:rsidRPr="002D3375" w:rsidRDefault="001C68AD" w:rsidP="001C68AD">
      <w:pPr>
        <w:pStyle w:val="NormalHanging"/>
      </w:pPr>
      <w:r w:rsidRPr="002D3375">
        <w:t>–</w:t>
      </w:r>
      <w:r w:rsidRPr="002D3375">
        <w:tab/>
        <w:t>s ohledem na interinstitucionální vyhlášení evropského pilíře sociálních práv dne 13. prosince 2017,</w:t>
      </w:r>
    </w:p>
    <w:p w14:paraId="1B28E77D" w14:textId="77777777" w:rsidR="001C68AD" w:rsidRPr="002D3375" w:rsidRDefault="001C68AD" w:rsidP="001C68AD">
      <w:pPr>
        <w:pStyle w:val="NormalHanging"/>
      </w:pPr>
      <w:r w:rsidRPr="002D3375">
        <w:t>–</w:t>
      </w:r>
      <w:r w:rsidRPr="002D3375">
        <w:tab/>
        <w:t xml:space="preserve">s ohledem na prohlášení z La </w:t>
      </w:r>
      <w:proofErr w:type="spellStart"/>
      <w:r w:rsidRPr="002D3375">
        <w:t>Hulpe</w:t>
      </w:r>
      <w:proofErr w:type="spellEnd"/>
      <w:r w:rsidRPr="002D3375">
        <w:t xml:space="preserve"> ze dne 16. dubna 2024 o budoucnosti evropského pilíře sociálních práv,</w:t>
      </w:r>
    </w:p>
    <w:p w14:paraId="0B45614F" w14:textId="77777777" w:rsidR="001C68AD" w:rsidRPr="002D3375" w:rsidRDefault="001C68AD" w:rsidP="001C68AD">
      <w:pPr>
        <w:pStyle w:val="NormalHanging"/>
      </w:pPr>
      <w:r w:rsidRPr="002D3375">
        <w:t>–</w:t>
      </w:r>
      <w:r w:rsidRPr="002D3375">
        <w:tab/>
        <w:t>s ohledem na sociální závazek Rady, Komise, Parlamentu a sociálních partnerů z Porta ze dne 7. května 2021,</w:t>
      </w:r>
    </w:p>
    <w:p w14:paraId="7FB2BE54" w14:textId="77777777" w:rsidR="001C68AD" w:rsidRPr="002D3375" w:rsidRDefault="001C68AD" w:rsidP="001C68AD">
      <w:pPr>
        <w:pStyle w:val="NormalHanging"/>
      </w:pPr>
      <w:r w:rsidRPr="002D3375">
        <w:t>–</w:t>
      </w:r>
      <w:r w:rsidRPr="002D3375">
        <w:tab/>
        <w:t>s ohledem na článek 55 jednacího řádu,</w:t>
      </w:r>
    </w:p>
    <w:p w14:paraId="073CAA49" w14:textId="77777777" w:rsidR="001C68AD" w:rsidRPr="002D3375" w:rsidRDefault="001C68AD" w:rsidP="001C68AD">
      <w:pPr>
        <w:pStyle w:val="NormalHanging"/>
      </w:pPr>
      <w:r w:rsidRPr="002D3375">
        <w:t>–</w:t>
      </w:r>
      <w:r w:rsidRPr="002D3375">
        <w:tab/>
        <w:t>s ohledem na stanovisko Rozpočtového výboru,</w:t>
      </w:r>
    </w:p>
    <w:p w14:paraId="3D5D591C" w14:textId="77777777" w:rsidR="001C68AD" w:rsidRPr="002D3375" w:rsidRDefault="001C68AD" w:rsidP="001C68AD">
      <w:pPr>
        <w:pStyle w:val="NormalHanging"/>
      </w:pPr>
      <w:r w:rsidRPr="002D3375">
        <w:t>–</w:t>
      </w:r>
      <w:r w:rsidRPr="002D3375">
        <w:tab/>
        <w:t>s ohledem na zprávu Hospodářského a měnového výboru (A10-0036/2026),</w:t>
      </w:r>
    </w:p>
    <w:p w14:paraId="41304F8E" w14:textId="77777777" w:rsidR="001C68AD" w:rsidRPr="002D3375" w:rsidRDefault="001C68AD" w:rsidP="001C68AD">
      <w:pPr>
        <w:pStyle w:val="NormalHanging"/>
      </w:pPr>
      <w:r w:rsidRPr="002D3375">
        <w:t>A.</w:t>
      </w:r>
      <w:r w:rsidRPr="002D3375">
        <w:tab/>
        <w:t>vzhledem k tomu, že evropský semestr sehrává zásadní úlohu při koordinaci a slaďování hospodářských a rozpočtových politik členských států s cílem zajistit makroekonomickou stabilitu hospodářské a měnové unie a dosáhnout sociálně spravedlivého přechodu k udržitelnému hospodářství;</w:t>
      </w:r>
    </w:p>
    <w:p w14:paraId="7568BFE4" w14:textId="77777777" w:rsidR="001C68AD" w:rsidRPr="002D3375" w:rsidRDefault="001C68AD" w:rsidP="001C68AD">
      <w:pPr>
        <w:pStyle w:val="NormalHanging"/>
      </w:pPr>
      <w:r w:rsidRPr="002D3375">
        <w:t>B.</w:t>
      </w:r>
      <w:r w:rsidRPr="002D3375">
        <w:tab/>
        <w:t>vzhledem k tomu, že doporučení evropského semestru v roce 2026 budou hrát zásadní úlohu při navrhování vnitrostátních a regionálních plánů partnerství, které mají členské státy vypracovat;</w:t>
      </w:r>
    </w:p>
    <w:p w14:paraId="4E968EB4" w14:textId="77777777" w:rsidR="001C68AD" w:rsidRPr="002D3375" w:rsidRDefault="001C68AD" w:rsidP="001C68AD">
      <w:pPr>
        <w:pStyle w:val="NormalHanging"/>
      </w:pPr>
      <w:r w:rsidRPr="002D3375">
        <w:t>C.</w:t>
      </w:r>
      <w:r w:rsidRPr="002D3375">
        <w:tab/>
        <w:t>vzhledem k tomu, že doporučení pro jednotlivé země v rámci evropského semestru pravidelně zahrnují škrty v sociálních výdajích, přičemž se sotva zabývají zvyšováním příjmů;</w:t>
      </w:r>
    </w:p>
    <w:p w14:paraId="00ED796B" w14:textId="77777777" w:rsidR="001C68AD" w:rsidRPr="002D3375" w:rsidRDefault="001C68AD" w:rsidP="001C68AD">
      <w:pPr>
        <w:pStyle w:val="NormalHanging"/>
      </w:pPr>
      <w:r w:rsidRPr="002D3375">
        <w:t>D.</w:t>
      </w:r>
      <w:r w:rsidRPr="002D3375">
        <w:tab/>
        <w:t>vzhledem k tomu, že hospodářský výhled zůstává nejistý, zejména kvůli ruské invazi na Ukrajinu a nejistotě způsobené protekcionistickou politikou, cly a obchodním napětím, což má negativní vliv na hospodářství;</w:t>
      </w:r>
    </w:p>
    <w:p w14:paraId="3157B22C" w14:textId="77777777" w:rsidR="001C68AD" w:rsidRPr="002D3375" w:rsidRDefault="001C68AD" w:rsidP="001C68AD">
      <w:pPr>
        <w:pStyle w:val="NormalHanging"/>
      </w:pPr>
      <w:r w:rsidRPr="002D3375">
        <w:t>E.</w:t>
      </w:r>
      <w:r w:rsidRPr="002D3375">
        <w:tab/>
        <w:t>vzhledem k tomu, že podle hospodářské prognózy Komise z podzimu 2025 se očekává, že růst HDP v EU se bude blížit potenciálnímu růstu, přičemž plná zaměstnanost a inflace budou blízko cílové úrovně, ačkoli inflace v některých členských státech zůstává vysoká;</w:t>
      </w:r>
    </w:p>
    <w:p w14:paraId="0C5B1396" w14:textId="77777777" w:rsidR="001C68AD" w:rsidRPr="002D3375" w:rsidRDefault="001C68AD" w:rsidP="001C68AD">
      <w:pPr>
        <w:pStyle w:val="NormalHanging"/>
      </w:pPr>
      <w:r w:rsidRPr="002D3375">
        <w:t>F.</w:t>
      </w:r>
      <w:r w:rsidRPr="002D3375">
        <w:tab/>
        <w:t>vzhledem k tomu, že pro EU jako celek Komise v letech 2025 až 2027 předpokládá růst ve výši 1,4 % až 1,5 %, zatímco v eurozóně se očekává nižší dynamika (1,2 % až 1,4 %); vzhledem k tomu, že se očekává pokles potenciálního růstu v EU z přibližně 1,5 % v roce 2024 na 1,3 % v roce 2027 (v eurozóně z 1,4 % na 1,2 %), a to zejména v důsledku nepříznivých demografických trendů;</w:t>
      </w:r>
    </w:p>
    <w:p w14:paraId="1D0B190E" w14:textId="77777777" w:rsidR="001C68AD" w:rsidRPr="002D3375" w:rsidRDefault="001C68AD" w:rsidP="001C68AD">
      <w:pPr>
        <w:pStyle w:val="NormalHanging"/>
      </w:pPr>
      <w:r w:rsidRPr="002D3375">
        <w:lastRenderedPageBreak/>
        <w:t>G.</w:t>
      </w:r>
      <w:r w:rsidRPr="002D3375">
        <w:tab/>
        <w:t xml:space="preserve">vzhledem k tomu, že EU má obrovské investiční potřeby, včetně dodatečných ročních investic ve výši 800 miliard EUR, které </w:t>
      </w:r>
      <w:proofErr w:type="spellStart"/>
      <w:r w:rsidRPr="002D3375">
        <w:t>Draghiho</w:t>
      </w:r>
      <w:proofErr w:type="spellEnd"/>
      <w:r w:rsidRPr="002D3375">
        <w:t xml:space="preserve"> zpráva považuje za nezbytné pro posílení konkurenceschopnosti a produktivity Evropy, z toho 450 miliard EUR pouze na energetickou transformaci, z čehož by podle Institutu Rousseau mělo 260 miliard EUR pocházet z veřejného sektoru; vzhledem k tomu, že v rámci plánu </w:t>
      </w:r>
      <w:proofErr w:type="spellStart"/>
      <w:r w:rsidRPr="002D3375">
        <w:t>ReArm</w:t>
      </w:r>
      <w:proofErr w:type="spellEnd"/>
      <w:r w:rsidRPr="002D3375">
        <w:t xml:space="preserve"> </w:t>
      </w:r>
      <w:proofErr w:type="spellStart"/>
      <w:r w:rsidRPr="002D3375">
        <w:t>Europe</w:t>
      </w:r>
      <w:proofErr w:type="spellEnd"/>
      <w:r w:rsidRPr="002D3375">
        <w:t xml:space="preserve"> / Připravenost 2030 se počítá s dalšími investicemi ve výši 800 miliard EUR na výdaje na obranu; vzhledem k tomu, že těmto investičním cílům chybí odpovídající nové vlastní zdroje, takže Unie nemá fiskální kapacitu potřebnou k dosažení svých stanovených cílů; vzhledem k tomu, že tyto potřeby nelze uspokojit pouze z veřejných finančních prostředků;</w:t>
      </w:r>
    </w:p>
    <w:p w14:paraId="4DCCE8B8" w14:textId="77777777" w:rsidR="001C68AD" w:rsidRPr="002D3375" w:rsidRDefault="001C68AD" w:rsidP="001C68AD">
      <w:pPr>
        <w:pStyle w:val="NormalHanging"/>
      </w:pPr>
      <w:r w:rsidRPr="002D3375">
        <w:t>H.</w:t>
      </w:r>
      <w:r w:rsidRPr="002D3375">
        <w:tab/>
        <w:t>vzhledem k tomu, že EU čelí velkým výzvám, od přetrvávajících hrozeb na svých východních hranicích v souvislosti s ruskou útočnou válkou proti Ukrajině až po geopolitickou nestabilitu a obchodní nejistotu, přičemž dlouhodobé výzvy, jako je ekologická a digitální transformace, přetrvávají;</w:t>
      </w:r>
    </w:p>
    <w:p w14:paraId="4908A6A2" w14:textId="77777777" w:rsidR="001C68AD" w:rsidRPr="002D3375" w:rsidRDefault="001C68AD" w:rsidP="001C68AD">
      <w:pPr>
        <w:pStyle w:val="NormalHanging"/>
      </w:pPr>
      <w:r w:rsidRPr="002D3375">
        <w:t>I.</w:t>
      </w:r>
      <w:r w:rsidRPr="002D3375">
        <w:tab/>
        <w:t>vzhledem k tomu, že ve Smlouvě o fungování EU jsou stanoveny referenční hodnoty do výše 3 % pro deficit veřejných financí a 60 % pro poměr dluhu k HDP; vzhledem k tomu, že celkový schodek veřejných financí EU i poměr veřejného dluhu k HDP zůstávají nad těmito referenčními hodnotami; vzhledem k tomu, že celkový schodek i poměr veřejného dluhu k HDP se v rámci EU liší a situace se v jednotlivých členských státech značně liší;</w:t>
      </w:r>
    </w:p>
    <w:p w14:paraId="6BED7774" w14:textId="77777777" w:rsidR="001C68AD" w:rsidRPr="002D3375" w:rsidRDefault="001C68AD" w:rsidP="001C68AD">
      <w:pPr>
        <w:pStyle w:val="NormalHanging"/>
      </w:pPr>
      <w:r w:rsidRPr="002D3375">
        <w:t>J.</w:t>
      </w:r>
      <w:r w:rsidRPr="002D3375">
        <w:tab/>
        <w:t>vzhledem k tomu, že Rada od zavedení tohoto postupu v roce 2011 nezahájila žádné postupy týkající se nadměrné makroekonomické nerovnováhy;</w:t>
      </w:r>
    </w:p>
    <w:p w14:paraId="100C9ED8" w14:textId="77777777" w:rsidR="001C68AD" w:rsidRPr="002D3375" w:rsidRDefault="001C68AD" w:rsidP="001C68AD">
      <w:pPr>
        <w:pStyle w:val="NormalHanging"/>
      </w:pPr>
      <w:r w:rsidRPr="002D3375">
        <w:t>K.</w:t>
      </w:r>
      <w:r w:rsidRPr="002D3375">
        <w:tab/>
        <w:t xml:space="preserve">vzhledem k tomu, že současná Komise je odhodlána být „investiční komisí“ a spoléhá na podporu Parlamentu jako </w:t>
      </w:r>
      <w:proofErr w:type="spellStart"/>
      <w:r w:rsidRPr="002D3375">
        <w:t>spolunormotvůrce</w:t>
      </w:r>
      <w:proofErr w:type="spellEnd"/>
      <w:r w:rsidRPr="002D3375">
        <w:t>, aby mohla přijmout významná opatření na zvýšení investic EU na úroveň odpovídající potřebám ekologické a digitální transformace; vzhledem k tomu, že Komise dosud nepředložila odpovídající reakci na obrovské investiční požadavky Unie, zejména vzhledem k tomu, že Nástroj pro oživení a odolnost (RRF) skončí na konci roku 2026;</w:t>
      </w:r>
    </w:p>
    <w:p w14:paraId="4F368821" w14:textId="77777777" w:rsidR="001C68AD" w:rsidRPr="002D3375" w:rsidRDefault="001C68AD" w:rsidP="001C68AD">
      <w:pPr>
        <w:pStyle w:val="NormalHanging"/>
      </w:pPr>
      <w:r w:rsidRPr="002D3375">
        <w:t>L.</w:t>
      </w:r>
      <w:r w:rsidRPr="002D3375">
        <w:tab/>
        <w:t xml:space="preserve">vzhledem k tomu, že minulé krize, včetně pandemie COVID-19, ukázaly, že společná a koordinovaná evropská reakce Unii posiluje; vzhledem k tomu, že v konkurenčním </w:t>
      </w:r>
      <w:proofErr w:type="spellStart"/>
      <w:r w:rsidRPr="002D3375">
        <w:t>geoekonomickém</w:t>
      </w:r>
      <w:proofErr w:type="spellEnd"/>
      <w:r w:rsidRPr="002D3375">
        <w:t xml:space="preserve"> prostředí může Evropa chránit své zájmy a hodnoty, jen když bude jednotná, což zdůrazňuje potřebu spolehlivého rámce makroekonomické politiky a ještě užší koordinace hospodářských a sociálních politik prostřednictvím evropského semestru;</w:t>
      </w:r>
    </w:p>
    <w:p w14:paraId="7A1134A6" w14:textId="77777777" w:rsidR="001C68AD" w:rsidRPr="002D3375" w:rsidRDefault="001C68AD" w:rsidP="001C68AD">
      <w:pPr>
        <w:pStyle w:val="Normal12a"/>
      </w:pPr>
      <w:r w:rsidRPr="002D3375">
        <w:rPr>
          <w:b/>
          <w:i/>
        </w:rPr>
        <w:t>Hospodářské vyhlídky pro EU</w:t>
      </w:r>
    </w:p>
    <w:p w14:paraId="011DBC45" w14:textId="77777777" w:rsidR="001C68AD" w:rsidRPr="002D3375" w:rsidRDefault="001C68AD" w:rsidP="001C68AD">
      <w:pPr>
        <w:pStyle w:val="NormalHanging12a"/>
      </w:pPr>
      <w:r w:rsidRPr="002D3375">
        <w:t>1.</w:t>
      </w:r>
      <w:r w:rsidRPr="002D3375">
        <w:tab/>
        <w:t>konstatuje, že v posledních pěti letech čelila EU velkým výzvám, včetně vypuknutí pandemie COVID-19 a ruské protiprávní a neodůvodněné války na Ukrajině, které měly významné hospodářské důsledky; bere na vědomí rychlost a dopad celounijních iniciativ a nástrojů k řešení hospodářských a sociálních důsledků vnějších otřesů, zejména nástroje RRF a evropského nástroje pro dočasnou podporu na zmírnění rizik nezaměstnanosti v mimořádné situaci (SURE);</w:t>
      </w:r>
    </w:p>
    <w:p w14:paraId="6CCC4F32" w14:textId="77777777" w:rsidR="001C68AD" w:rsidRPr="002D3375" w:rsidRDefault="001C68AD" w:rsidP="001C68AD">
      <w:pPr>
        <w:pStyle w:val="NormalHanging12a"/>
      </w:pPr>
      <w:r w:rsidRPr="002D3375">
        <w:t>2.</w:t>
      </w:r>
      <w:r w:rsidRPr="002D3375">
        <w:tab/>
        <w:t xml:space="preserve">konstatuje, že podle hospodářské prognózy Komise z podzimu 2025 zveřejněné dne 17. listopadu 2025 se očekává, že HDP EU se v roce 2025 zvýší o 1,4 % ve srovnání </w:t>
      </w:r>
      <w:r w:rsidRPr="002D3375">
        <w:lastRenderedPageBreak/>
        <w:t>s rokem 2024 a o 1,4 % v roce 2026; poznamenává, že na základě této prognózy EU stále zaostává za Spojenými státy a Čínou, pokud jde o očekávání růstu; zdůrazňuje, že navzdory značným výzvám eurozóna a EU prokázaly odolnost;</w:t>
      </w:r>
    </w:p>
    <w:p w14:paraId="750730D7" w14:textId="77777777" w:rsidR="001C68AD" w:rsidRPr="002D3375" w:rsidRDefault="001C68AD" w:rsidP="001C68AD">
      <w:pPr>
        <w:pStyle w:val="NormalHanging12a"/>
      </w:pPr>
      <w:r w:rsidRPr="002D3375">
        <w:t>3.</w:t>
      </w:r>
      <w:r w:rsidRPr="002D3375">
        <w:tab/>
        <w:t>konstatuje, že potenciální růst, který označuje míru růstu, kterou je ekonomika schopna udržet bez nadměrné inflace, má v EU klesnout z 1,5 % v roce 2024 na 1,3 % v roce 2027 a v eurozóně z 1,4 % na 1,2 %, protože se zpomaluje růst obyvatelstva v produktivním věku; domnívá se, že tyto potenciální úrovně růstu jsou příliš nízké na to, aby bylo možné zvládnout výzvy, kterým bude evropské hospodářství v nadcházejících letech čelit;</w:t>
      </w:r>
    </w:p>
    <w:p w14:paraId="2FE9A144" w14:textId="77777777" w:rsidR="001C68AD" w:rsidRPr="002D3375" w:rsidRDefault="001C68AD" w:rsidP="001C68AD">
      <w:pPr>
        <w:pStyle w:val="NormalHanging12a"/>
      </w:pPr>
      <w:r w:rsidRPr="002D3375">
        <w:t>4.</w:t>
      </w:r>
      <w:r w:rsidRPr="002D3375">
        <w:tab/>
        <w:t>konstatuje, že podle hospodářské prognózy Komise z podzimu 2025 se předpokládá, že celkový schodek eurozóny vzroste z 3,1 % HDP v roce 2024 na 3,2 % HDP v roce 2025; poukazuje na to, že na základě současné politiky se očekává, že schodek v roce 2026 vzroste na 3,3 % HDP.</w:t>
      </w:r>
    </w:p>
    <w:p w14:paraId="30DC7C9B" w14:textId="77777777" w:rsidR="001C68AD" w:rsidRPr="002D3375" w:rsidRDefault="001C68AD" w:rsidP="001C68AD">
      <w:pPr>
        <w:pStyle w:val="NormalHanging12a"/>
      </w:pPr>
      <w:r w:rsidRPr="002D3375">
        <w:t>5.</w:t>
      </w:r>
      <w:r w:rsidRPr="002D3375">
        <w:tab/>
        <w:t>konstatuje, že 12 členských států by mělo mít v roce 2027 schodek vyšší než 3 % HDP a že na 10 členských států se vztahuje postup při nadměrném schodku;</w:t>
      </w:r>
    </w:p>
    <w:p w14:paraId="15A5040D" w14:textId="77777777" w:rsidR="001C68AD" w:rsidRPr="002D3375" w:rsidRDefault="001C68AD" w:rsidP="001C68AD">
      <w:pPr>
        <w:pStyle w:val="NormalHanging12a"/>
      </w:pPr>
      <w:r w:rsidRPr="002D3375">
        <w:t>6.</w:t>
      </w:r>
      <w:r w:rsidRPr="002D3375">
        <w:tab/>
        <w:t>konstatuje, že poměr hrubého veřejného dluhu k HDP v EU by měl podle očekávaní v roce 2025 dosáhnout 82,8 %, a předpokládá se, že v roce 2026 se zvýší na 83,8 % a v roce 2027 na 84,5 %, což je nad referenční hodnotou 60 % pro jednotlivé členské státy zakotvenou ve Smlouvách; konstatuje, že se předpokládá, že dluh veřejných financí v eurozóně vzroste v roce 2026 na 89,8 % a v roce 2027 na 90,4 %; konstatuje, že míra zadlužení se v jednotlivých členských státech výrazně liší;</w:t>
      </w:r>
    </w:p>
    <w:p w14:paraId="769933F9" w14:textId="77777777" w:rsidR="001C68AD" w:rsidRPr="002D3375" w:rsidRDefault="001C68AD" w:rsidP="001C68AD">
      <w:pPr>
        <w:pStyle w:val="NormalHanging12a"/>
      </w:pPr>
      <w:r w:rsidRPr="002D3375">
        <w:t>7.</w:t>
      </w:r>
      <w:r w:rsidRPr="002D3375">
        <w:tab/>
        <w:t>vyzývá členské státy, aby prováděly obezřetnou fiskální politiku s cílem zajistit udržitelnost veřejného dluhu;</w:t>
      </w:r>
    </w:p>
    <w:p w14:paraId="6E6BBBB5" w14:textId="77777777" w:rsidR="001C68AD" w:rsidRPr="002D3375" w:rsidRDefault="001C68AD" w:rsidP="001C68AD">
      <w:pPr>
        <w:pStyle w:val="NormalHanging12a"/>
      </w:pPr>
      <w:r w:rsidRPr="002D3375">
        <w:t>8.</w:t>
      </w:r>
      <w:r w:rsidRPr="002D3375">
        <w:tab/>
        <w:t>připomíná, že na veřejné finance mají podstatný dopad extrémní povětrnostní jevy; je si vědom toho, že dopad a četnost extrémních povětrnostních jevů se v nadcházejících letech bude jen zvyšovat;</w:t>
      </w:r>
    </w:p>
    <w:p w14:paraId="360D1075" w14:textId="77777777" w:rsidR="001C68AD" w:rsidRPr="002D3375" w:rsidRDefault="001C68AD" w:rsidP="001C68AD">
      <w:pPr>
        <w:pStyle w:val="NormalHanging12a"/>
      </w:pPr>
      <w:r w:rsidRPr="002D3375">
        <w:t>9.</w:t>
      </w:r>
      <w:r w:rsidRPr="002D3375">
        <w:tab/>
        <w:t>vítá skutečnost, že inflace v eurozóně se po dosažení vrcholu 10,6 % v říjnu 2022 snížila na cílovou úroveň Evropské centrální banky; konstatuje však, že inflace se v jednotlivých členských státech stále liší, přičemž v některých státech, včetně států s energeticky náročnými průmyslovými odvětvími, je vyšší; konstatuje, že jádrová inflace i inflační očekávání zůstávají nad cílovou úrovní; zdůrazňuje přetrvávající dopad inflace cen potravin a energií na evropské domácnosti; konstatuje, že inflace postihuje příjmové skupiny nerovnoměrně, přičemž nejvíce jsou zasaženy domácnosti s nízkými příjmy;</w:t>
      </w:r>
    </w:p>
    <w:p w14:paraId="2E3D1C2A" w14:textId="77777777" w:rsidR="001C68AD" w:rsidRPr="002D3375" w:rsidRDefault="001C68AD" w:rsidP="001C68AD">
      <w:pPr>
        <w:pStyle w:val="NormalHanging12a"/>
      </w:pPr>
      <w:r w:rsidRPr="002D3375">
        <w:t>10.</w:t>
      </w:r>
      <w:r w:rsidRPr="002D3375">
        <w:tab/>
        <w:t xml:space="preserve">vyjadřuje znepokojení nad tím, že nedostatečné soukromé a veřejné investice pravděpodobně brzdí udržitelný růst a konkurenceschopnost v Evropě a brání EU v plnění společných priorit stanovených ve strategické agendě EU na období 2024–2029; zdůrazňuje, že členské státy musí zvýšit úsilí o odstranění překážek a mobilizovat větší soukromé investice v souladu se strategií Komise týkající se unie úspor a investic; uznává politický cíl Komise zjednodušit regulační rámec a výrazně snížit administrativní zátěž s cílem podpořit soukromé investice; zdůrazňuje, že pro zvýšení potenciálního růstu EU jsou naléhavě nutné investice do oblastí, jako je výzkum a vývoj, infrastruktura a inovace; trvá na klíčové úloze příštího víceletého finančního </w:t>
      </w:r>
      <w:r w:rsidRPr="002D3375">
        <w:lastRenderedPageBreak/>
        <w:t>rámce nejen při zajišťování veřejných investic, ale také při pomoci s mobilizací soukromých investic, a v této souvislosti zdůrazňuje, že finanční nástroje a rozpočtové záruky jsou silnými a účinnými nástroji pro dosažení klíčových cílů politik EU a zároveň i finančními nástroji připravenými k použití v celé EU;</w:t>
      </w:r>
    </w:p>
    <w:p w14:paraId="796E51EB" w14:textId="77777777" w:rsidR="001C68AD" w:rsidRPr="002D3375" w:rsidRDefault="001C68AD" w:rsidP="001C68AD">
      <w:pPr>
        <w:pStyle w:val="NormalHanging12a"/>
      </w:pPr>
      <w:r w:rsidRPr="002D3375">
        <w:t>11.</w:t>
      </w:r>
      <w:r w:rsidRPr="002D3375">
        <w:tab/>
        <w:t>konstatuje, že v evropské makroekonomické zprávě Komise se uznává, že cenová dostupnost bydlení je makroekonomickým a sociálním problémem, zejména tím, že vede k potenciálnímu omezení mobility pracovních sil a v dlouhodobém horizontu oslabuje růst produktivity;</w:t>
      </w:r>
    </w:p>
    <w:p w14:paraId="18499C56" w14:textId="10FCE731" w:rsidR="001C68AD" w:rsidRPr="002D3375" w:rsidRDefault="001C68AD" w:rsidP="001C68AD">
      <w:pPr>
        <w:pStyle w:val="NormalHanging12a"/>
      </w:pPr>
      <w:r w:rsidRPr="002D3375">
        <w:t>12.</w:t>
      </w:r>
      <w:r w:rsidRPr="002D3375">
        <w:tab/>
        <w:t>zdůrazňuje, že pro podporu technologické transformace EU a bezpečných a odolných dodavatelských řetězců a zároveň pro zachování konkurenceschopných a nenarušených trhů je zásadní soudržná a </w:t>
      </w:r>
      <w:r w:rsidR="00934D3E" w:rsidRPr="00934D3E">
        <w:t>cílená</w:t>
      </w:r>
      <w:r w:rsidRPr="002D3375">
        <w:t xml:space="preserve"> průmyslová politika;</w:t>
      </w:r>
    </w:p>
    <w:p w14:paraId="5AFF3B60" w14:textId="77777777" w:rsidR="001C68AD" w:rsidRPr="002D3375" w:rsidRDefault="001C68AD" w:rsidP="001C68AD">
      <w:pPr>
        <w:pStyle w:val="NormalHanging12a"/>
      </w:pPr>
      <w:r w:rsidRPr="002D3375">
        <w:t>13.</w:t>
      </w:r>
      <w:r w:rsidRPr="002D3375">
        <w:tab/>
        <w:t>konstatuje, že míra zaměstnanosti v EU dosáhla v průměru rekordně vysoké úrovně, což odráží dynamický trh práce ve většině členských států; zdůrazňuje začlenění rámce sociální konvergence do evropského semestru; zdůrazňuje, že model odborného vzdělávání a přípravy se v členských státech, které se pro něj rozhodly, osvědčil; vyjadřuje politování nad tím, že mezi členskými státy existují velké rozdíly v míře nezaměstnanosti, zejména pokud jde o mladé lidi;</w:t>
      </w:r>
    </w:p>
    <w:p w14:paraId="0C95AB31" w14:textId="77777777" w:rsidR="001C68AD" w:rsidRPr="002D3375" w:rsidRDefault="001C68AD" w:rsidP="001C68AD">
      <w:pPr>
        <w:pStyle w:val="NormalHanging12a"/>
      </w:pPr>
      <w:r w:rsidRPr="002D3375">
        <w:t>14.</w:t>
      </w:r>
      <w:r w:rsidRPr="002D3375">
        <w:tab/>
        <w:t>znovu připomíná, že je důležité zajistit rovné podmínky na jednotném trhu, a vyzývá členské státy, aby přijaly opatření k prohloubení jednotného trhu odstraněním vnitřních překážek;</w:t>
      </w:r>
    </w:p>
    <w:p w14:paraId="64D53E0E" w14:textId="77777777" w:rsidR="001C68AD" w:rsidRPr="00AF29DF" w:rsidRDefault="001C68AD" w:rsidP="001C68AD">
      <w:pPr>
        <w:pStyle w:val="Normal12a"/>
        <w:rPr>
          <w:b/>
          <w:bCs/>
          <w:i/>
          <w:iCs/>
        </w:rPr>
      </w:pPr>
      <w:r w:rsidRPr="00AF29DF">
        <w:rPr>
          <w:b/>
          <w:bCs/>
          <w:i/>
          <w:iCs/>
        </w:rPr>
        <w:t>Uplatňování revidovaného rámce správy ekonomických záležitostí EU</w:t>
      </w:r>
    </w:p>
    <w:p w14:paraId="63BA9552" w14:textId="77777777" w:rsidR="001C68AD" w:rsidRPr="002D3375" w:rsidRDefault="001C68AD" w:rsidP="001C68AD">
      <w:pPr>
        <w:pStyle w:val="NormalHanging12a"/>
      </w:pPr>
      <w:r w:rsidRPr="002D3375">
        <w:t>15.</w:t>
      </w:r>
      <w:r w:rsidRPr="002D3375">
        <w:tab/>
        <w:t>připomíná, že účelem reformy rámce pro správu ekonomických záležitostí je jeho zjednodušení, zvýšení transparentnosti a zefektivnění s větší odpovědností na vnitrostátní úrovni a s lepším prosazováním, zlepšení jeho schopnosti přizpůsobit se různorodosti fiskálních situací, veřejného dluhu a hospodářských výzev a přispět k řešení střednědobých a dlouhodobých výzev, jimž EU a její členské státy čelí, a to i podporou proticyklických fiskálních politik;</w:t>
      </w:r>
    </w:p>
    <w:p w14:paraId="07FF5CC2" w14:textId="77777777" w:rsidR="001C68AD" w:rsidRPr="002D3375" w:rsidRDefault="001C68AD" w:rsidP="001C68AD">
      <w:pPr>
        <w:pStyle w:val="NormalHanging12a"/>
      </w:pPr>
      <w:r w:rsidRPr="002D3375">
        <w:t>16.</w:t>
      </w:r>
      <w:r w:rsidRPr="002D3375">
        <w:tab/>
        <w:t>zdůrazňuje, že podle reformovaného rámce správy ekonomických záležitostí je růst čistých výdajů jediným operačním ukazatelem pro sledování toho, jak členské státy plní příslušná doporučení Rady; zdůrazňuje, že mnoho členských států se bude stále potýkat s nedostatečnou fiskální kapacitou k uspokojení značných investičních potřeb; konstatuje, že národní úniková doložka byla v případě výdajů na obranu aktivována již rok po vstupu revidovaných pravidel v platnost jako krátkodobá reakce na mimořádné události, které země nemůže ovlivnit; zdůrazňuje, že národní úniková doložka je určena pro dočasné mimořádné situace v jednotlivých zemích a není vhodná pro řešení dlouhodobých strukturálních potřeb;</w:t>
      </w:r>
    </w:p>
    <w:p w14:paraId="6A963C84" w14:textId="77777777" w:rsidR="001C68AD" w:rsidRPr="002D3375" w:rsidRDefault="001C68AD" w:rsidP="001C68AD">
      <w:pPr>
        <w:pStyle w:val="NormalHanging12a"/>
      </w:pPr>
      <w:r w:rsidRPr="002D3375">
        <w:t>17.</w:t>
      </w:r>
      <w:r w:rsidRPr="002D3375">
        <w:tab/>
        <w:t xml:space="preserve">zdůrazňuje, že Komise rozšířila své diskreční pravomoci v rámci reformovaného rámce správy ekonomických záležitostí, zejména prostřednictvím procesu, který je základem střednědobých fiskálních a strukturálních plánů; bere na vědomí zjištění Evropské fiskální rady, že Komise využila určitou volnost při oddalování nebo rozhodování o nezahájení řízení při nadměrném schodku; zdůrazňuje, že rovné uplatňování fiskálních pravidel EU má zásadní význam pro zachování důvěryhodnosti rámce pro </w:t>
      </w:r>
      <w:r w:rsidRPr="002D3375">
        <w:lastRenderedPageBreak/>
        <w:t>správu ekonomických záležitostí, zajištění rovného zacházení s členskými státy a prosazování soudržného a skutečně evropského přístupu;</w:t>
      </w:r>
    </w:p>
    <w:p w14:paraId="209C7D14" w14:textId="77777777" w:rsidR="001C68AD" w:rsidRPr="002D3375" w:rsidRDefault="001C68AD" w:rsidP="001C68AD">
      <w:pPr>
        <w:pStyle w:val="NormalHanging12a"/>
      </w:pPr>
      <w:r w:rsidRPr="002D3375">
        <w:t>18.</w:t>
      </w:r>
      <w:r w:rsidRPr="002D3375">
        <w:tab/>
        <w:t>bere na vědomí cílené změny rámce EU pro správu ekonomických záležitostí, které Komise zveřejnila dne 2. října 2025 a jejichž cílem je zajistit soulad s nejnovější aktualizací rámce pro správu ekonomických záležitostí;</w:t>
      </w:r>
    </w:p>
    <w:p w14:paraId="2E773C09" w14:textId="77777777" w:rsidR="001C68AD" w:rsidRPr="002D3375" w:rsidRDefault="001C68AD" w:rsidP="001C68AD">
      <w:pPr>
        <w:pStyle w:val="NormalHanging12a"/>
      </w:pPr>
      <w:r w:rsidRPr="002D3375">
        <w:t>19.</w:t>
      </w:r>
      <w:r w:rsidRPr="002D3375">
        <w:tab/>
        <w:t>se znepokojením bere na vědomí zjištění Evropské fiskální rady, že zhruba polovina nezávislých fiskálních institucí se formálně nepodílela na přípravě střednědobých fiskálně-strukturálních plánů; je toho názoru, že v klíčovém okamžiku transformace by větší účast nezávislých fiskálních institucí zvýšila transparentnost a vnější dohled;</w:t>
      </w:r>
    </w:p>
    <w:p w14:paraId="2F4701F5" w14:textId="77777777" w:rsidR="001C68AD" w:rsidRPr="002D3375" w:rsidRDefault="001C68AD" w:rsidP="001C68AD">
      <w:pPr>
        <w:pStyle w:val="Normal12a"/>
      </w:pPr>
      <w:r w:rsidRPr="002D3375">
        <w:rPr>
          <w:b/>
          <w:i/>
        </w:rPr>
        <w:t>Orientace fiskální politiky</w:t>
      </w:r>
    </w:p>
    <w:p w14:paraId="5222E1EE" w14:textId="77777777" w:rsidR="001C68AD" w:rsidRPr="002D3375" w:rsidRDefault="001C68AD" w:rsidP="001C68AD">
      <w:pPr>
        <w:pStyle w:val="NormalHanging12a"/>
      </w:pPr>
      <w:r w:rsidRPr="002D3375">
        <w:t>20.</w:t>
      </w:r>
      <w:r w:rsidRPr="002D3375">
        <w:tab/>
        <w:t>zdůrazňuje, že veřejné investice v posledních letech výrazně vzrostly, přičemž přibližně polovinu nárůstu v letech 2019–2025 financuje EU, především prostřednictvím Nástroje pro oživení a odolnost; konstatuje, že se očekává, že tyto přínosy budou přetrvávat i po roce 2026, s významnými vedlejšími účinky napříč členskými státy, a že dlouhodobý dopad strukturálních reforem by mohl zvýšit potenciální produkt eurozóny až o 1,3 % HDP v období 2020 až 2033 ve srovnání se scénářem bez Nástroje pro oživení a odolnost; vyjadřuje znepokojení nad tím, že Nástroj pro oživení a odolnost v roce 2026 skončí, a nad dopadem, který to může mít na celkovou orientaci fiskální politiky EU; naléhavě vyzývá členské státy, aby do srpna 2026 dokončily provádění svých plánů pro oživení a odolnost; připomíná, že dluhopisy vydané za účelem financování Nástroje pro oživení a odolnost mají být splaceny do roku 2058, a to způsobem, který zajistí trvalé a předvídatelné snížení závazků;</w:t>
      </w:r>
    </w:p>
    <w:p w14:paraId="1F423DB5" w14:textId="77777777" w:rsidR="001C68AD" w:rsidRPr="002D3375" w:rsidRDefault="001C68AD" w:rsidP="001C68AD">
      <w:pPr>
        <w:pStyle w:val="NormalHanging12a"/>
      </w:pPr>
      <w:r w:rsidRPr="002D3375">
        <w:t>21.</w:t>
      </w:r>
      <w:r w:rsidRPr="002D3375">
        <w:tab/>
        <w:t>bere na vědomí doporučení Komise, že celková orientace fiskální politiky členských států zůstává v roce 2026 víceméně neutrální, a to navzdory značným rozdílům mezi členskými státy;</w:t>
      </w:r>
    </w:p>
    <w:p w14:paraId="4B45FEDA" w14:textId="77777777" w:rsidR="001C68AD" w:rsidRPr="002D3375" w:rsidRDefault="001C68AD" w:rsidP="001C68AD">
      <w:pPr>
        <w:pStyle w:val="NormalHanging12a"/>
      </w:pPr>
      <w:r w:rsidRPr="002D3375">
        <w:t>22.</w:t>
      </w:r>
      <w:r w:rsidRPr="002D3375">
        <w:tab/>
        <w:t>zdůrazňuje, že veřejné příjmy i veřejné výdaje mají zásadní význam pro zajištění udržitelnosti národních rozpočtů; připomíná doporučení Rady týkající se hospodářské politiky eurozóny ze dne 17. února 2026, v němž vyzývá ke snižování daňových mezer prostřednictvím zlepšování dodržování daňových předpisů, včetně řešení vyhýbání se daňovým povinnostem a daňových úniků, a bojem proti agresivnímu daňovému plánování; zdůrazňuje, že slabé prosazování daňových předpisů a boje proti daňovým únikům a vyhýbání se daňovým povinnostem narušuje fiskální udržitelnost a přispívá k makroekonomické nerovnováze;</w:t>
      </w:r>
    </w:p>
    <w:p w14:paraId="574ED094" w14:textId="77777777" w:rsidR="001C68AD" w:rsidRPr="002D3375" w:rsidRDefault="001C68AD" w:rsidP="001C68AD">
      <w:pPr>
        <w:pStyle w:val="NormalHanging12a"/>
      </w:pPr>
      <w:r w:rsidRPr="002D3375">
        <w:t>23.</w:t>
      </w:r>
      <w:r w:rsidRPr="002D3375">
        <w:tab/>
        <w:t>bere na vědomí programovou změnu politiky Komise v současném cyklu evropského semestru, v rámci níž namísto roční analýzy udržitelného růstu poskytuje Kompas konkurenceschopnosti pokyny pro balíček evropského semestru; zdůrazňuje, že tato změna posiluje zaměření rámce evropského semestru; zdůrazňuje význam kontinuity, pokud jde o doporučení pro jednotlivé země navrhnutá jako víceleté a dlouhodobé reformní závazky a úsilí členských států o dosažení dlouhodobých cílů; vyzývá Komisi, aby zajistila ucelenou vizi evropské konkurenceschopnosti a aby zajistila, že dlouhodobé priority transformace budou i nadále důsledně a soudržně zohledňovány v doporučeních pro jednotlivé země v jednotlivých po sobě jdoucích cyklech semestru;</w:t>
      </w:r>
    </w:p>
    <w:p w14:paraId="05A4A060" w14:textId="77777777" w:rsidR="001C68AD" w:rsidRPr="002D3375" w:rsidRDefault="001C68AD" w:rsidP="001C68AD">
      <w:pPr>
        <w:pStyle w:val="Normal12a"/>
      </w:pPr>
      <w:r w:rsidRPr="002D3375">
        <w:rPr>
          <w:b/>
          <w:i/>
        </w:rPr>
        <w:t>Doporučení pro jednotlivé země</w:t>
      </w:r>
    </w:p>
    <w:p w14:paraId="17A937DA" w14:textId="77777777" w:rsidR="001C68AD" w:rsidRPr="002D3375" w:rsidRDefault="001C68AD" w:rsidP="001C68AD">
      <w:pPr>
        <w:pStyle w:val="NormalHanging12a"/>
      </w:pPr>
      <w:r w:rsidRPr="002D3375">
        <w:lastRenderedPageBreak/>
        <w:t>24.</w:t>
      </w:r>
      <w:r w:rsidRPr="002D3375">
        <w:tab/>
        <w:t>konstatuje, že doporučení pro jednotlivé členské státy obsahují doporučení týkající se fiskální politiky, včetně případných fiskálně-strukturálních reforem; bere na vědomí závazek Komise použít evropský semestr k tomu, aby podporoval konkurenceschopnost, stabilitu, ekonomický růst, udržitelnost a sociální spravedlnost a začlenit do evropského semestru cíle OSN v oblasti udržitelného rozvoje a evropského pilíře sociálních práv; zdůrazňuje, že semestr je klíčovým nástrojem koordinace makroekonomických a rozpočtových politik v členských státech, čímž zajišťuje makroekonomickou stabilitu hospodářské a měnové unie; zdůrazňuje význam doporučení pro jednotlivé země jako základního kamene koordinace evropské hospodářské politiky; připomíná, že doporučení pro jednotlivé země jsou politická opatření, která jsou rovněž nedílnou součástí střednědobých fiskálních strukturálních plánů, národních plánů pro oživení a odolnost a oznámeného návrhu plánů národního a regionálního partnerství;</w:t>
      </w:r>
    </w:p>
    <w:p w14:paraId="51D069C8" w14:textId="77777777" w:rsidR="001C68AD" w:rsidRPr="002D3375" w:rsidRDefault="001C68AD" w:rsidP="001C68AD">
      <w:pPr>
        <w:pStyle w:val="NormalHanging12a"/>
      </w:pPr>
      <w:r w:rsidRPr="002D3375">
        <w:t>25.</w:t>
      </w:r>
      <w:r w:rsidRPr="002D3375">
        <w:tab/>
        <w:t>připomíná úlohu doporučení pro jednotlivé země při koordinaci priorit EU; bere na vědomí nedostatečný pokrok v účinném provádění doporučení pro jednotlivé země; konstatuje, že v letech 2019 až 2023 se v souvislosti s 25,1 % doporučení pro jednotlivé země nedosáhlo žádného nebo jen omezeného pokroku; vyzývá Komisi, aby přehodnotila způsob, jakým jsou doporučení pro jednotlivé země vypracovávána a sledována, zejména s ohledem na jejich budoucí úlohu v přístupu k finančním prostředkům EU; připomíná svůj požadavek, aby se počet doporučení pro jednotlivé země snížil a aby byla doporučení cílenější;</w:t>
      </w:r>
    </w:p>
    <w:p w14:paraId="4376F15A" w14:textId="77777777" w:rsidR="001C68AD" w:rsidRPr="002D3375" w:rsidRDefault="001C68AD" w:rsidP="001C68AD">
      <w:pPr>
        <w:pStyle w:val="NormalHanging12a"/>
      </w:pPr>
      <w:r w:rsidRPr="002D3375">
        <w:t>26.</w:t>
      </w:r>
      <w:r w:rsidRPr="002D3375">
        <w:tab/>
        <w:t>bere na vědomí záměr Komise dále zohlednit v doporučeních pro jednotlivé země opatření, která mají zásadní význam pro unii úspor a investic, jak se uvádí v jejím sdělení ze dne 19. března 2025</w:t>
      </w:r>
      <w:r w:rsidRPr="002D3375">
        <w:rPr>
          <w:rStyle w:val="FootnoteReference"/>
        </w:rPr>
        <w:footnoteReference w:customMarkFollows="1" w:id="10"/>
        <w:t>10</w:t>
      </w:r>
      <w:r w:rsidRPr="002D3375">
        <w:t>;</w:t>
      </w:r>
    </w:p>
    <w:p w14:paraId="4515DF6A" w14:textId="77777777" w:rsidR="001C68AD" w:rsidRPr="002D3375" w:rsidRDefault="001C68AD" w:rsidP="001C68AD">
      <w:pPr>
        <w:pStyle w:val="NormalHanging12a"/>
      </w:pPr>
      <w:r w:rsidRPr="002D3375">
        <w:t>27.</w:t>
      </w:r>
      <w:r w:rsidRPr="002D3375">
        <w:tab/>
        <w:t>konstatuje, že doporučení pro jednotlivé země budou v příštím víceletém finančním rámci hrát významnější úlohu při řízení investic a reforem na vnitrostátní a regionální úrovni; domnívá se, že volba reforem a investic by se měla řídit jejich účinností při provádění příslušných doporučení pro jednotlivé země s cílem dosáhnout spravedlivého přechodu na zelenou a konkurenceschopnou Evropskou ekonomiku; zdůrazňuje, že tento proces musí být doprovázen silnější demokratickou kontrolou a větším zapojením členských států;</w:t>
      </w:r>
    </w:p>
    <w:p w14:paraId="7328B78D" w14:textId="77777777" w:rsidR="001C68AD" w:rsidRPr="002D3375" w:rsidRDefault="001C68AD" w:rsidP="001C68AD">
      <w:pPr>
        <w:pStyle w:val="NormalHanging12a"/>
      </w:pPr>
      <w:r w:rsidRPr="002D3375">
        <w:t>28.</w:t>
      </w:r>
      <w:r w:rsidRPr="002D3375">
        <w:tab/>
        <w:t>zdůrazňuje rostoucí význam doporučení pro jednotlivé země v souvislosti s plány národního a regionálního partnerství; upozorňuje na skutečnost, že v současné době neexistuje transparentní nebo sledovatelná metodika pro vypracování a výběr doporučení pro jednotlivé země, ani není jasné, proč jsou některá navržena a jiná nikoli, což vyvolává obavy ohledně odpovědnosti a rovného zacházení s členskými státy; vyzývá Komisi, aby vyjasnila základní postupy a výběrová kritéria; zdůrazňuje, že jakékoli celkové rozšíření diskreční pravomoci Komise musí doprovázet příslušné mechanismy vyvozování odpovědnosti a značné zlepšení toku informací směrem k Parlamentu;</w:t>
      </w:r>
    </w:p>
    <w:p w14:paraId="7C169873" w14:textId="77777777" w:rsidR="001C68AD" w:rsidRPr="002D3375" w:rsidRDefault="001C68AD" w:rsidP="001C68AD">
      <w:pPr>
        <w:pStyle w:val="NormalHanging12a"/>
      </w:pPr>
      <w:r w:rsidRPr="002D3375">
        <w:t>29.</w:t>
      </w:r>
      <w:r w:rsidRPr="002D3375">
        <w:tab/>
        <w:t xml:space="preserve">konstatuje, že doporučení pro jednotlivé země na rok 2025 se více zaměřují na konkurenceschopnost a zjednodušení v souladu s prioritami určenými v Kompasu </w:t>
      </w:r>
      <w:r w:rsidRPr="002D3375">
        <w:lastRenderedPageBreak/>
        <w:t>konkurenceschopnosti a zároveň zdůrazňují potřebu posílit vědeckou excelenci, výzkum a inovace a technologický rozvoj jako klíčové faktory dlouhodobé produktivity a odolnosti; zdůrazňuje, že jen málo doporučení pro jednotlivé země se věnuje sociální politice a politice v oblasti klimatu; konstatuje, že v případě některých členských států obsahují doporučení pro jednotlivé země doporučení postupně ukončit dotace na fosilní paliva;</w:t>
      </w:r>
    </w:p>
    <w:p w14:paraId="09E37A47" w14:textId="77777777" w:rsidR="001C68AD" w:rsidRPr="002D3375" w:rsidRDefault="001C68AD" w:rsidP="001C68AD">
      <w:pPr>
        <w:pStyle w:val="NormalHanging12a"/>
      </w:pPr>
      <w:r w:rsidRPr="002D3375">
        <w:t>30.</w:t>
      </w:r>
      <w:r w:rsidRPr="002D3375">
        <w:tab/>
        <w:t>konstatuje, že Komise se domnívá, že doporučení pro eurozónu je především řídícím nástrojem pro jednání Euroskupiny; vyzývá však Komisi, aby na doporučení eurozóny navázala a zohlednila je při vypracovávání doporučení pro jednotlivé země; lituje, že Komise v roce 2025 nezveřejnila přehled o provádění doporučení eurozóny, jak to dělávala v rámci zprávy o eurozóně; konstatuje, že v roce 2025 doporučení pro jednotlivé země neobsahují přímo žádné doporučení týkající se změny klimatu;</w:t>
      </w:r>
    </w:p>
    <w:p w14:paraId="76D6AB10" w14:textId="77777777" w:rsidR="001C68AD" w:rsidRPr="002D3375" w:rsidRDefault="001C68AD" w:rsidP="001C68AD">
      <w:pPr>
        <w:pStyle w:val="Normal12a"/>
      </w:pPr>
      <w:r w:rsidRPr="002D3375">
        <w:rPr>
          <w:b/>
          <w:i/>
        </w:rPr>
        <w:t>Odstranění investiční mezery</w:t>
      </w:r>
    </w:p>
    <w:p w14:paraId="246D8AA3" w14:textId="77777777" w:rsidR="001C68AD" w:rsidRPr="002D3375" w:rsidRDefault="001C68AD" w:rsidP="001C68AD">
      <w:pPr>
        <w:pStyle w:val="NormalHanging12a"/>
      </w:pPr>
      <w:r w:rsidRPr="002D3375">
        <w:t>31.</w:t>
      </w:r>
      <w:r w:rsidRPr="002D3375">
        <w:tab/>
        <w:t xml:space="preserve">poukazuje na to, že </w:t>
      </w:r>
      <w:proofErr w:type="spellStart"/>
      <w:r w:rsidRPr="002D3375">
        <w:t>Draghiho</w:t>
      </w:r>
      <w:proofErr w:type="spellEnd"/>
      <w:r w:rsidRPr="002D3375">
        <w:t xml:space="preserve"> zpráva přesvědčivě prokázala potřebu zvýšit veřejné a soukromé investice na posílení konkurenceschopnosti EU; vyzývá Komisi a členské státy, aby předložily strategii pro uspokojení investičních potřeb po roce 2026;</w:t>
      </w:r>
    </w:p>
    <w:p w14:paraId="196C5294" w14:textId="77777777" w:rsidR="001C68AD" w:rsidRPr="002D3375" w:rsidRDefault="001C68AD" w:rsidP="001C68AD">
      <w:pPr>
        <w:pStyle w:val="NormalHanging12a"/>
      </w:pPr>
      <w:r w:rsidRPr="002D3375">
        <w:t>32.</w:t>
      </w:r>
      <w:r w:rsidRPr="002D3375">
        <w:tab/>
        <w:t xml:space="preserve">domnívá se, že rámec EU pro správu ekonomických záležitostí by měl být případně doplněn nástroji a prostředky na úrovni EU, aby se minimalizovaly náklady pro daňové poplatníky EU a maximalizovala účinnost při poskytování evropských veřejných statků a aby bylo možné reagovat na celounijní krize, jako je probíhající krize v oblasti bezpečnosti a obrany; konstatuje, že dluhové cenné papíry EU by mohly sloužit jako referenční hodnota, čímž by se posílila integrace finančních trhů EU; požaduje zavedení nových vlastních zdrojů na financování politik Unie; podporuje vytvoření Evropského fondu pro konkurenceschopnost a Evropského fondu pro </w:t>
      </w:r>
      <w:proofErr w:type="spellStart"/>
      <w:r w:rsidRPr="002D3375">
        <w:t>scaleupy</w:t>
      </w:r>
      <w:proofErr w:type="spellEnd"/>
      <w:r w:rsidRPr="002D3375">
        <w:t>;</w:t>
      </w:r>
    </w:p>
    <w:p w14:paraId="6BA8B68E" w14:textId="77777777" w:rsidR="001C68AD" w:rsidRPr="002D3375" w:rsidRDefault="001C68AD" w:rsidP="001C68AD">
      <w:pPr>
        <w:pStyle w:val="NormalHanging12a"/>
      </w:pPr>
      <w:r w:rsidRPr="002D3375">
        <w:t>33.</w:t>
      </w:r>
      <w:r w:rsidRPr="002D3375">
        <w:tab/>
        <w:t>zdůrazňuje, že se Evropská rada dohodla na tom, že Ukrajině bude na období 2026–2027 poskytnuta půjčka ve výši 90 miliard EUR založená na výpůjčce EU na kapitálových trzích, která bude kryta z rozpočtové rezervy EU;</w:t>
      </w:r>
    </w:p>
    <w:p w14:paraId="427047AB" w14:textId="77777777" w:rsidR="001C68AD" w:rsidRPr="002D3375" w:rsidRDefault="001C68AD" w:rsidP="001C68AD">
      <w:pPr>
        <w:pStyle w:val="NormalHanging12a"/>
      </w:pPr>
      <w:r w:rsidRPr="002D3375">
        <w:t>34.</w:t>
      </w:r>
      <w:r w:rsidRPr="002D3375">
        <w:tab/>
        <w:t>konstatuje, že vyvíjející se geopolitické prostředí si vyžaduje ještě větší jednotu a solidaritu mezi členskými státy, zejména s ohledem na bezpečnostní zájmy EU a jejích členských států; domnívá se, že posílení bezpečnosti Evropy snížením strategických závislostí má i nadále zásadní význam pro zajištění dlouhodobé odolnosti Unie; podporuje úsilí Komise o koordinovanější přístup k obraně; konstatuje, že nástroj Bezpečnostní akce pro Evropu (SAFE) zřizuje úvěrový nástroj ve výši 150 miliard EUR na podporu investic členských států do obrany; vyjadřuje však politování nad tím, že nástroj SAFE byl založen na článku 122 SFEU, což omezuje parlamentní dohled; vítá skutečnost, že ukazatel čistých výdajů vylučuje veškeré vnitrostátní spolufinancování v programech financovaných EU, čímž poskytuje členským státům větší fiskální prostor pro investice do společných priorit EU, jak je stanoveno v nařízení (EU) 2024/1263</w:t>
      </w:r>
      <w:r w:rsidRPr="002D3375">
        <w:rPr>
          <w:rStyle w:val="FootnoteReference"/>
        </w:rPr>
        <w:footnoteReference w:customMarkFollows="1" w:id="11"/>
        <w:t>11</w:t>
      </w:r>
      <w:r w:rsidRPr="002D3375">
        <w:t xml:space="preserve">, a pomáhá tak posílit součinnost mezi rozpočtem EU a vnitrostátními rozpočty a tím snížit roztříštěnost a zvýšit celkovou účinnost veřejných výdajů v některých oblastech, </w:t>
      </w:r>
      <w:r w:rsidRPr="002D3375">
        <w:lastRenderedPageBreak/>
        <w:t>jako je obrana; zdůrazňuje, že závazek členských států zvýšit výdaje na obranu by neměl jít na úkor ostatních společných priorit EU;</w:t>
      </w:r>
    </w:p>
    <w:p w14:paraId="687A3C1E" w14:textId="77777777" w:rsidR="001C68AD" w:rsidRPr="002D3375" w:rsidRDefault="001C68AD" w:rsidP="001C68AD">
      <w:pPr>
        <w:pStyle w:val="NormalHanging12a"/>
      </w:pPr>
      <w:r w:rsidRPr="002D3375">
        <w:t>35.</w:t>
      </w:r>
      <w:r w:rsidRPr="002D3375">
        <w:tab/>
        <w:t>konstatuje, že 16 členských států aktivovalo národní únikovou doložku pro výdaje na obranu; zdůrazňuje, že to členským státům poskytuje flexibilitu při zvyšování výdajů na obranu, aniž by musely toto zvyšování okamžitě financovat prostřednictvím výdajových škrtů nebo opatření na zvýšení příjmů; konstatuje, že tato flexibilita tak poskytuje členským státům potřebný čas na zohlednění vyšších výdajů na obranu ve vnitrostátních rozpočtech; zdůrazňuje, že částečná účast výrazně snižuje předpokládané dodatečné výdaje na obranu z 650 miliard EUR na přibližně 297-337 miliard EUR;</w:t>
      </w:r>
    </w:p>
    <w:p w14:paraId="3461324D" w14:textId="77777777" w:rsidR="001C68AD" w:rsidRPr="002D3375" w:rsidRDefault="001C68AD" w:rsidP="001C68AD">
      <w:pPr>
        <w:pStyle w:val="NormalHanging12a"/>
      </w:pPr>
      <w:r w:rsidRPr="002D3375">
        <w:t>36.</w:t>
      </w:r>
      <w:r w:rsidRPr="002D3375">
        <w:tab/>
        <w:t>upozorňuje, že výdaje na obranu jsou svou povahou spotřební investicí a samy o sobě nezvyšují potenciální produkt hospodářství; domnívá se, že výdaje na obranu by proto neměly být dlouhodobě financovány zvýšeným vydáváním státních dluhopisů;</w:t>
      </w:r>
    </w:p>
    <w:p w14:paraId="0FD380ED" w14:textId="77777777" w:rsidR="001C68AD" w:rsidRPr="002D3375" w:rsidRDefault="001C68AD" w:rsidP="001C68AD">
      <w:pPr>
        <w:pStyle w:val="NormalHanging12a"/>
      </w:pPr>
      <w:r w:rsidRPr="002D3375">
        <w:t>37.</w:t>
      </w:r>
      <w:r w:rsidRPr="002D3375">
        <w:tab/>
        <w:t>zdůrazňuje, že je důležité zvýšit soudržnost a spolupráci v oblasti investic do obrany napříč členskými státy, zejména pokud jde o strategické prostředky nebo strategické zbraňové systémy, které jsou pro jednotlivé členské státy příliš nákladné, a to s ohledem na naléhavou potřebu rozšířit evropský obranný sektor a zajistit dlouhodobou bezpečnost a strategickou autonomii;</w:t>
      </w:r>
    </w:p>
    <w:p w14:paraId="4005CC7B" w14:textId="77777777" w:rsidR="001C68AD" w:rsidRPr="002D3375" w:rsidRDefault="001C68AD" w:rsidP="001C68AD">
      <w:pPr>
        <w:pStyle w:val="NormalHanging12a"/>
      </w:pPr>
      <w:r w:rsidRPr="002D3375">
        <w:t>38.</w:t>
      </w:r>
      <w:r w:rsidRPr="002D3375">
        <w:tab/>
        <w:t>připomíná, že Komise nikdy nezahájila postup při nadměrné nerovnováze, přestože některé členské státy opakovaně vykazují nerovnováhu ve svých běžných účtech; konstatuje, že Komise posoudí existenci makroekonomické nerovnováhy u sedmi členských států vybraných k hloubkovým přezkumům ve zprávě mechanismu varování na rok 2026;</w:t>
      </w:r>
    </w:p>
    <w:p w14:paraId="39824FFE" w14:textId="77777777" w:rsidR="001C68AD" w:rsidRPr="002D3375" w:rsidRDefault="001C68AD" w:rsidP="001C68AD">
      <w:pPr>
        <w:pStyle w:val="NormalCenter12a"/>
      </w:pPr>
      <w:r w:rsidRPr="002D3375">
        <w:t>°</w:t>
      </w:r>
    </w:p>
    <w:p w14:paraId="57439DC9" w14:textId="77777777" w:rsidR="001C68AD" w:rsidRPr="002D3375" w:rsidRDefault="001C68AD" w:rsidP="001C68AD">
      <w:pPr>
        <w:pStyle w:val="NormalCenter12a"/>
      </w:pPr>
      <w:r w:rsidRPr="002D3375">
        <w:t>°</w:t>
      </w:r>
      <w:r w:rsidRPr="002D3375">
        <w:tab/>
        <w:t>°</w:t>
      </w:r>
    </w:p>
    <w:p w14:paraId="5809120B" w14:textId="7C380376" w:rsidR="002D3375" w:rsidRPr="002D3375" w:rsidRDefault="001C68AD" w:rsidP="002D3375">
      <w:pPr>
        <w:pStyle w:val="NormalHanging"/>
      </w:pPr>
      <w:r w:rsidRPr="002D3375">
        <w:t>39.</w:t>
      </w:r>
      <w:r w:rsidRPr="002D3375">
        <w:tab/>
        <w:t>pověřuje svou předsedkyni, aby předala toto usnesení Radě a Komisi.</w:t>
      </w:r>
    </w:p>
    <w:p w14:paraId="23568462" w14:textId="7E026A7E" w:rsidR="00E365E1" w:rsidRPr="002D3375" w:rsidRDefault="00E365E1" w:rsidP="005E1AC9"/>
    <w:sectPr w:rsidR="00E365E1" w:rsidRPr="002D3375" w:rsidSect="002D33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E0EEE" w14:textId="77777777" w:rsidR="005E1AC9" w:rsidRPr="002D3375" w:rsidRDefault="005E1AC9">
      <w:r w:rsidRPr="002D3375">
        <w:separator/>
      </w:r>
    </w:p>
  </w:endnote>
  <w:endnote w:type="continuationSeparator" w:id="0">
    <w:p w14:paraId="76E49728" w14:textId="77777777" w:rsidR="005E1AC9" w:rsidRPr="002D3375" w:rsidRDefault="005E1AC9">
      <w:r w:rsidRPr="002D33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0A446" w14:textId="77777777" w:rsidR="00064002" w:rsidRPr="002D337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A4FDF" w14:textId="77777777" w:rsidR="00064002" w:rsidRPr="002D337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55777" w14:textId="77777777" w:rsidR="00064002" w:rsidRPr="002D337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E73D7" w14:textId="77777777" w:rsidR="005E1AC9" w:rsidRPr="002D3375" w:rsidRDefault="005E1AC9">
      <w:r w:rsidRPr="002D3375">
        <w:separator/>
      </w:r>
    </w:p>
  </w:footnote>
  <w:footnote w:type="continuationSeparator" w:id="0">
    <w:p w14:paraId="7197B503" w14:textId="77777777" w:rsidR="005E1AC9" w:rsidRPr="002D3375" w:rsidRDefault="005E1AC9">
      <w:r w:rsidRPr="002D3375">
        <w:continuationSeparator/>
      </w:r>
    </w:p>
  </w:footnote>
  <w:footnote w:id="1">
    <w:p w14:paraId="00A6EEE3" w14:textId="6AAC763F" w:rsidR="001C68AD" w:rsidRPr="002D3375" w:rsidRDefault="001C68AD" w:rsidP="002D3375">
      <w:pPr>
        <w:pStyle w:val="FootnoteText"/>
        <w:ind w:left="567" w:hanging="567"/>
        <w:rPr>
          <w:sz w:val="24"/>
          <w:lang w:val="cs-CZ"/>
        </w:rPr>
      </w:pPr>
      <w:r w:rsidRPr="002D3375">
        <w:rPr>
          <w:sz w:val="24"/>
          <w:vertAlign w:val="superscript"/>
          <w:lang w:val="cs-CZ"/>
        </w:rPr>
        <w:t>1</w:t>
      </w:r>
      <w:r w:rsidR="002D3375" w:rsidRPr="002D3375">
        <w:rPr>
          <w:sz w:val="24"/>
          <w:vertAlign w:val="superscript"/>
          <w:lang w:val="cs-CZ"/>
        </w:rPr>
        <w:t xml:space="preserve"> </w:t>
      </w:r>
      <w:r w:rsidR="002D3375" w:rsidRPr="002D3375">
        <w:rPr>
          <w:sz w:val="24"/>
          <w:vertAlign w:val="superscript"/>
          <w:lang w:val="cs-CZ"/>
        </w:rPr>
        <w:tab/>
      </w:r>
      <w:proofErr w:type="spellStart"/>
      <w:r w:rsidRPr="002D3375">
        <w:rPr>
          <w:sz w:val="24"/>
          <w:lang w:val="cs-CZ"/>
        </w:rPr>
        <w:t>Úř</w:t>
      </w:r>
      <w:proofErr w:type="spellEnd"/>
      <w:r w:rsidRPr="002D3375">
        <w:rPr>
          <w:sz w:val="24"/>
          <w:lang w:val="cs-CZ"/>
        </w:rPr>
        <w:t xml:space="preserve">. </w:t>
      </w:r>
      <w:proofErr w:type="spellStart"/>
      <w:r w:rsidRPr="002D3375">
        <w:rPr>
          <w:sz w:val="24"/>
          <w:lang w:val="cs-CZ"/>
        </w:rPr>
        <w:t>věst</w:t>
      </w:r>
      <w:proofErr w:type="spellEnd"/>
      <w:r w:rsidRPr="002D3375">
        <w:rPr>
          <w:sz w:val="24"/>
          <w:lang w:val="cs-CZ"/>
        </w:rPr>
        <w:t xml:space="preserve">. L 243, 9.7.2021, ELI: </w:t>
      </w:r>
      <w:hyperlink r:id="rId1" w:tgtFrame="http://data.europa.eu/eli/reg/2021/1119/oj" w:history="1">
        <w:r w:rsidRPr="002D3375">
          <w:rPr>
            <w:rStyle w:val="Hyperlink"/>
            <w:sz w:val="24"/>
            <w:lang w:val="cs-CZ"/>
          </w:rPr>
          <w:t>http://data.europa.eu/eli/reg/2021/1119/oj</w:t>
        </w:r>
      </w:hyperlink>
      <w:r w:rsidRPr="002D3375">
        <w:rPr>
          <w:sz w:val="24"/>
          <w:lang w:val="cs-CZ"/>
        </w:rPr>
        <w:t>.</w:t>
      </w:r>
    </w:p>
  </w:footnote>
  <w:footnote w:id="2">
    <w:p w14:paraId="1F271B5C" w14:textId="5E62BEEE" w:rsidR="001C68AD" w:rsidRPr="002D3375" w:rsidRDefault="001C68AD" w:rsidP="002D3375">
      <w:pPr>
        <w:pStyle w:val="FootnoteText"/>
        <w:ind w:left="567" w:hanging="567"/>
        <w:rPr>
          <w:sz w:val="24"/>
          <w:lang w:val="cs-CZ"/>
        </w:rPr>
      </w:pPr>
      <w:r w:rsidRPr="002D3375">
        <w:rPr>
          <w:sz w:val="24"/>
          <w:vertAlign w:val="superscript"/>
          <w:lang w:val="cs-CZ"/>
        </w:rPr>
        <w:t>2</w:t>
      </w:r>
      <w:r w:rsidR="002D3375" w:rsidRPr="002D3375">
        <w:rPr>
          <w:sz w:val="24"/>
          <w:vertAlign w:val="superscript"/>
          <w:lang w:val="cs-CZ"/>
        </w:rPr>
        <w:t xml:space="preserve"> </w:t>
      </w:r>
      <w:r w:rsidR="002D3375" w:rsidRPr="002D3375">
        <w:rPr>
          <w:sz w:val="24"/>
          <w:vertAlign w:val="superscript"/>
          <w:lang w:val="cs-CZ"/>
        </w:rPr>
        <w:tab/>
      </w:r>
      <w:proofErr w:type="spellStart"/>
      <w:r w:rsidRPr="002D3375">
        <w:rPr>
          <w:sz w:val="24"/>
          <w:lang w:val="cs-CZ"/>
        </w:rPr>
        <w:t>Úř</w:t>
      </w:r>
      <w:proofErr w:type="spellEnd"/>
      <w:r w:rsidRPr="002D3375">
        <w:rPr>
          <w:sz w:val="24"/>
          <w:lang w:val="cs-CZ"/>
        </w:rPr>
        <w:t xml:space="preserve">. </w:t>
      </w:r>
      <w:proofErr w:type="spellStart"/>
      <w:r w:rsidRPr="002D3375">
        <w:rPr>
          <w:sz w:val="24"/>
          <w:lang w:val="cs-CZ"/>
        </w:rPr>
        <w:t>věst</w:t>
      </w:r>
      <w:proofErr w:type="spellEnd"/>
      <w:r w:rsidRPr="002D3375">
        <w:rPr>
          <w:sz w:val="24"/>
          <w:lang w:val="cs-CZ"/>
        </w:rPr>
        <w:t xml:space="preserve">. L, 2024/1263, 30.4.2024, ELI: </w:t>
      </w:r>
      <w:hyperlink r:id="rId2" w:tgtFrame="http://data.europa.eu/eli/reg/2024/1263/oj" w:history="1">
        <w:r w:rsidRPr="002D3375">
          <w:rPr>
            <w:rStyle w:val="Hyperlink"/>
            <w:sz w:val="24"/>
            <w:lang w:val="cs-CZ"/>
          </w:rPr>
          <w:t>http://data.europa.eu/eli/reg/2024/1263/oj</w:t>
        </w:r>
      </w:hyperlink>
      <w:r w:rsidRPr="002D3375">
        <w:rPr>
          <w:sz w:val="24"/>
          <w:lang w:val="cs-CZ"/>
        </w:rPr>
        <w:t>.</w:t>
      </w:r>
    </w:p>
  </w:footnote>
  <w:footnote w:id="3">
    <w:p w14:paraId="3A51684C" w14:textId="7370D9E4" w:rsidR="001C68AD" w:rsidRPr="002D3375" w:rsidRDefault="001C68AD" w:rsidP="002D3375">
      <w:pPr>
        <w:pStyle w:val="FootnoteText"/>
        <w:ind w:left="567" w:hanging="567"/>
        <w:rPr>
          <w:sz w:val="24"/>
          <w:lang w:val="cs-CZ"/>
        </w:rPr>
      </w:pPr>
      <w:r w:rsidRPr="002D3375">
        <w:rPr>
          <w:sz w:val="24"/>
          <w:vertAlign w:val="superscript"/>
          <w:lang w:val="cs-CZ"/>
        </w:rPr>
        <w:t>3</w:t>
      </w:r>
      <w:r w:rsidR="002D3375" w:rsidRPr="002D3375">
        <w:rPr>
          <w:sz w:val="24"/>
          <w:vertAlign w:val="superscript"/>
          <w:lang w:val="cs-CZ"/>
        </w:rPr>
        <w:t xml:space="preserve"> </w:t>
      </w:r>
      <w:r w:rsidR="002D3375" w:rsidRPr="002D3375">
        <w:rPr>
          <w:sz w:val="24"/>
          <w:vertAlign w:val="superscript"/>
          <w:lang w:val="cs-CZ"/>
        </w:rPr>
        <w:tab/>
      </w:r>
      <w:proofErr w:type="spellStart"/>
      <w:r w:rsidRPr="002D3375">
        <w:rPr>
          <w:sz w:val="24"/>
          <w:lang w:val="cs-CZ"/>
        </w:rPr>
        <w:t>Úř</w:t>
      </w:r>
      <w:proofErr w:type="spellEnd"/>
      <w:r w:rsidRPr="002D3375">
        <w:rPr>
          <w:sz w:val="24"/>
          <w:lang w:val="cs-CZ"/>
        </w:rPr>
        <w:t xml:space="preserve">. </w:t>
      </w:r>
      <w:proofErr w:type="spellStart"/>
      <w:r w:rsidRPr="002D3375">
        <w:rPr>
          <w:sz w:val="24"/>
          <w:lang w:val="cs-CZ"/>
        </w:rPr>
        <w:t>věst</w:t>
      </w:r>
      <w:proofErr w:type="spellEnd"/>
      <w:r w:rsidRPr="002D3375">
        <w:rPr>
          <w:sz w:val="24"/>
          <w:lang w:val="cs-CZ"/>
        </w:rPr>
        <w:t xml:space="preserve">. L, 2024/1264, 30.4.2024, ELI: </w:t>
      </w:r>
      <w:hyperlink r:id="rId3" w:tgtFrame="http://data.europa.eu/eli/reg/2024/1264/oj" w:history="1">
        <w:r w:rsidRPr="002D3375">
          <w:rPr>
            <w:rStyle w:val="Hyperlink"/>
            <w:sz w:val="24"/>
            <w:lang w:val="cs-CZ"/>
          </w:rPr>
          <w:t>http://data.europa.eu/eli/reg/2024/1264/oj</w:t>
        </w:r>
      </w:hyperlink>
      <w:r w:rsidRPr="002D3375">
        <w:rPr>
          <w:sz w:val="24"/>
          <w:lang w:val="cs-CZ"/>
        </w:rPr>
        <w:t>.</w:t>
      </w:r>
    </w:p>
  </w:footnote>
  <w:footnote w:id="4">
    <w:p w14:paraId="601B02B6" w14:textId="55A72D22" w:rsidR="001C68AD" w:rsidRPr="002D3375" w:rsidRDefault="001C68AD" w:rsidP="002D3375">
      <w:pPr>
        <w:pStyle w:val="FootnoteText"/>
        <w:ind w:left="567" w:hanging="567"/>
        <w:rPr>
          <w:sz w:val="24"/>
          <w:lang w:val="cs-CZ"/>
        </w:rPr>
      </w:pPr>
      <w:r w:rsidRPr="002D3375">
        <w:rPr>
          <w:sz w:val="24"/>
          <w:vertAlign w:val="superscript"/>
          <w:lang w:val="cs-CZ"/>
        </w:rPr>
        <w:t>4</w:t>
      </w:r>
      <w:r w:rsidR="002D3375" w:rsidRPr="002D3375">
        <w:rPr>
          <w:sz w:val="24"/>
          <w:vertAlign w:val="superscript"/>
          <w:lang w:val="cs-CZ"/>
        </w:rPr>
        <w:t xml:space="preserve"> </w:t>
      </w:r>
      <w:r w:rsidR="002D3375" w:rsidRPr="002D3375">
        <w:rPr>
          <w:sz w:val="24"/>
          <w:vertAlign w:val="superscript"/>
          <w:lang w:val="cs-CZ"/>
        </w:rPr>
        <w:tab/>
      </w:r>
      <w:proofErr w:type="spellStart"/>
      <w:r w:rsidRPr="002D3375">
        <w:rPr>
          <w:sz w:val="24"/>
          <w:lang w:val="cs-CZ"/>
        </w:rPr>
        <w:t>Úř</w:t>
      </w:r>
      <w:proofErr w:type="spellEnd"/>
      <w:r w:rsidRPr="002D3375">
        <w:rPr>
          <w:sz w:val="24"/>
          <w:lang w:val="cs-CZ"/>
        </w:rPr>
        <w:t xml:space="preserve">. </w:t>
      </w:r>
      <w:proofErr w:type="spellStart"/>
      <w:r w:rsidRPr="002D3375">
        <w:rPr>
          <w:sz w:val="24"/>
          <w:lang w:val="cs-CZ"/>
        </w:rPr>
        <w:t>věst</w:t>
      </w:r>
      <w:proofErr w:type="spellEnd"/>
      <w:r w:rsidRPr="002D3375">
        <w:rPr>
          <w:sz w:val="24"/>
          <w:lang w:val="cs-CZ"/>
        </w:rPr>
        <w:t xml:space="preserve">. L, 2024/1265, 30.4.2024, ELI: </w:t>
      </w:r>
      <w:hyperlink r:id="rId4" w:tgtFrame="http://data.europa.eu/eli/dir/2024/1265/oj" w:history="1">
        <w:r w:rsidRPr="002D3375">
          <w:rPr>
            <w:rStyle w:val="Hyperlink"/>
            <w:sz w:val="24"/>
            <w:lang w:val="cs-CZ"/>
          </w:rPr>
          <w:t>http://data.europa.eu/eli/dir/2024/1265/oj</w:t>
        </w:r>
      </w:hyperlink>
      <w:r w:rsidRPr="002D3375">
        <w:rPr>
          <w:sz w:val="24"/>
          <w:lang w:val="cs-CZ"/>
        </w:rPr>
        <w:t>.</w:t>
      </w:r>
    </w:p>
  </w:footnote>
  <w:footnote w:id="5">
    <w:p w14:paraId="0743F336" w14:textId="5BEBF25B" w:rsidR="001C68AD" w:rsidRPr="002D3375" w:rsidRDefault="001C68AD" w:rsidP="002D3375">
      <w:pPr>
        <w:pStyle w:val="FootnoteText"/>
        <w:ind w:left="567" w:hanging="567"/>
        <w:rPr>
          <w:sz w:val="24"/>
          <w:lang w:val="cs-CZ"/>
        </w:rPr>
      </w:pPr>
      <w:r w:rsidRPr="002D3375">
        <w:rPr>
          <w:sz w:val="24"/>
          <w:vertAlign w:val="superscript"/>
          <w:lang w:val="cs-CZ"/>
        </w:rPr>
        <w:t>5</w:t>
      </w:r>
      <w:r w:rsidR="002D3375" w:rsidRPr="002D3375">
        <w:rPr>
          <w:sz w:val="24"/>
          <w:vertAlign w:val="superscript"/>
          <w:lang w:val="cs-CZ"/>
        </w:rPr>
        <w:t xml:space="preserve"> </w:t>
      </w:r>
      <w:r w:rsidR="002D3375" w:rsidRPr="002D3375">
        <w:rPr>
          <w:sz w:val="24"/>
          <w:vertAlign w:val="superscript"/>
          <w:lang w:val="cs-CZ"/>
        </w:rPr>
        <w:tab/>
      </w:r>
      <w:proofErr w:type="spellStart"/>
      <w:r w:rsidRPr="002D3375">
        <w:rPr>
          <w:sz w:val="24"/>
          <w:lang w:val="cs-CZ"/>
        </w:rPr>
        <w:t>Úř</w:t>
      </w:r>
      <w:proofErr w:type="spellEnd"/>
      <w:r w:rsidRPr="002D3375">
        <w:rPr>
          <w:sz w:val="24"/>
          <w:lang w:val="cs-CZ"/>
        </w:rPr>
        <w:t xml:space="preserve">. </w:t>
      </w:r>
      <w:proofErr w:type="spellStart"/>
      <w:r w:rsidRPr="002D3375">
        <w:rPr>
          <w:sz w:val="24"/>
          <w:lang w:val="cs-CZ"/>
        </w:rPr>
        <w:t>věst</w:t>
      </w:r>
      <w:proofErr w:type="spellEnd"/>
      <w:r w:rsidRPr="002D3375">
        <w:rPr>
          <w:sz w:val="24"/>
          <w:lang w:val="cs-CZ"/>
        </w:rPr>
        <w:t xml:space="preserve">. L 306, 23.11.2011, s. 1, ELI: </w:t>
      </w:r>
      <w:hyperlink r:id="rId5" w:tgtFrame="http://data.europa.eu/eli/reg/2011/1173/oj" w:history="1">
        <w:r w:rsidRPr="002D3375">
          <w:rPr>
            <w:rStyle w:val="Hyperlink"/>
            <w:sz w:val="24"/>
            <w:lang w:val="cs-CZ"/>
          </w:rPr>
          <w:t>http://data.europa.eu/eli/reg/2011/1173/oj</w:t>
        </w:r>
      </w:hyperlink>
      <w:r w:rsidRPr="002D3375">
        <w:rPr>
          <w:sz w:val="24"/>
          <w:lang w:val="cs-CZ"/>
        </w:rPr>
        <w:t>.</w:t>
      </w:r>
    </w:p>
  </w:footnote>
  <w:footnote w:id="6">
    <w:p w14:paraId="54D61218" w14:textId="51B08E3B" w:rsidR="001C68AD" w:rsidRPr="002D3375" w:rsidRDefault="001C68AD" w:rsidP="002D3375">
      <w:pPr>
        <w:pStyle w:val="FootnoteText"/>
        <w:ind w:left="567" w:hanging="567"/>
        <w:rPr>
          <w:sz w:val="24"/>
          <w:lang w:val="cs-CZ"/>
        </w:rPr>
      </w:pPr>
      <w:r w:rsidRPr="002D3375">
        <w:rPr>
          <w:sz w:val="24"/>
          <w:vertAlign w:val="superscript"/>
          <w:lang w:val="cs-CZ"/>
        </w:rPr>
        <w:t>6</w:t>
      </w:r>
      <w:r w:rsidR="002D3375" w:rsidRPr="002D3375">
        <w:rPr>
          <w:sz w:val="24"/>
          <w:vertAlign w:val="superscript"/>
          <w:lang w:val="cs-CZ"/>
        </w:rPr>
        <w:t xml:space="preserve"> </w:t>
      </w:r>
      <w:r w:rsidR="002D3375" w:rsidRPr="002D3375">
        <w:rPr>
          <w:sz w:val="24"/>
          <w:vertAlign w:val="superscript"/>
          <w:lang w:val="cs-CZ"/>
        </w:rPr>
        <w:tab/>
      </w:r>
      <w:proofErr w:type="spellStart"/>
      <w:r w:rsidRPr="002D3375">
        <w:rPr>
          <w:sz w:val="24"/>
          <w:lang w:val="cs-CZ"/>
        </w:rPr>
        <w:t>Úř</w:t>
      </w:r>
      <w:proofErr w:type="spellEnd"/>
      <w:r w:rsidRPr="002D3375">
        <w:rPr>
          <w:sz w:val="24"/>
          <w:lang w:val="cs-CZ"/>
        </w:rPr>
        <w:t xml:space="preserve">. </w:t>
      </w:r>
      <w:proofErr w:type="spellStart"/>
      <w:r w:rsidRPr="002D3375">
        <w:rPr>
          <w:sz w:val="24"/>
          <w:lang w:val="cs-CZ"/>
        </w:rPr>
        <w:t>věst</w:t>
      </w:r>
      <w:proofErr w:type="spellEnd"/>
      <w:r w:rsidRPr="002D3375">
        <w:rPr>
          <w:sz w:val="24"/>
          <w:lang w:val="cs-CZ"/>
        </w:rPr>
        <w:t xml:space="preserve">. L 306, 23.11.2011, s. 8, ELI: </w:t>
      </w:r>
      <w:hyperlink r:id="rId6" w:tgtFrame="http://data.europa.eu/eli/reg/2011/1174/oj" w:history="1">
        <w:r w:rsidRPr="002D3375">
          <w:rPr>
            <w:rStyle w:val="Hyperlink"/>
            <w:sz w:val="24"/>
            <w:lang w:val="cs-CZ"/>
          </w:rPr>
          <w:t>http://data.europa.eu/eli/reg/2011/1174/oj</w:t>
        </w:r>
      </w:hyperlink>
      <w:r w:rsidRPr="002D3375">
        <w:rPr>
          <w:sz w:val="24"/>
          <w:lang w:val="cs-CZ"/>
        </w:rPr>
        <w:t>.</w:t>
      </w:r>
    </w:p>
  </w:footnote>
  <w:footnote w:id="7">
    <w:p w14:paraId="3380F464" w14:textId="18553E5F" w:rsidR="001C68AD" w:rsidRPr="002D3375" w:rsidRDefault="001C68AD" w:rsidP="002D3375">
      <w:pPr>
        <w:pStyle w:val="FootnoteText"/>
        <w:ind w:left="567" w:hanging="567"/>
        <w:rPr>
          <w:sz w:val="24"/>
          <w:lang w:val="cs-CZ"/>
        </w:rPr>
      </w:pPr>
      <w:r w:rsidRPr="002D3375">
        <w:rPr>
          <w:sz w:val="24"/>
          <w:vertAlign w:val="superscript"/>
          <w:lang w:val="cs-CZ"/>
        </w:rPr>
        <w:t>7</w:t>
      </w:r>
      <w:r w:rsidR="002D3375" w:rsidRPr="002D3375">
        <w:rPr>
          <w:sz w:val="24"/>
          <w:vertAlign w:val="superscript"/>
          <w:lang w:val="cs-CZ"/>
        </w:rPr>
        <w:t xml:space="preserve"> </w:t>
      </w:r>
      <w:r w:rsidR="002D3375" w:rsidRPr="002D3375">
        <w:rPr>
          <w:sz w:val="24"/>
          <w:vertAlign w:val="superscript"/>
          <w:lang w:val="cs-CZ"/>
        </w:rPr>
        <w:tab/>
      </w:r>
      <w:proofErr w:type="spellStart"/>
      <w:r w:rsidRPr="002D3375">
        <w:rPr>
          <w:sz w:val="24"/>
          <w:lang w:val="cs-CZ"/>
        </w:rPr>
        <w:t>Úř</w:t>
      </w:r>
      <w:proofErr w:type="spellEnd"/>
      <w:r w:rsidRPr="002D3375">
        <w:rPr>
          <w:sz w:val="24"/>
          <w:lang w:val="cs-CZ"/>
        </w:rPr>
        <w:t xml:space="preserve">. </w:t>
      </w:r>
      <w:proofErr w:type="spellStart"/>
      <w:r w:rsidRPr="002D3375">
        <w:rPr>
          <w:sz w:val="24"/>
          <w:lang w:val="cs-CZ"/>
        </w:rPr>
        <w:t>věst</w:t>
      </w:r>
      <w:proofErr w:type="spellEnd"/>
      <w:r w:rsidRPr="002D3375">
        <w:rPr>
          <w:sz w:val="24"/>
          <w:lang w:val="cs-CZ"/>
        </w:rPr>
        <w:t xml:space="preserve">. L 306, 23.11.2011, s. 25, ELI: </w:t>
      </w:r>
      <w:hyperlink r:id="rId7" w:tgtFrame="http://data.europa.eu/eli/reg/2011/1176/oj" w:history="1">
        <w:r w:rsidRPr="002D3375">
          <w:rPr>
            <w:rStyle w:val="Hyperlink"/>
            <w:sz w:val="24"/>
            <w:lang w:val="cs-CZ"/>
          </w:rPr>
          <w:t>http://data.europa.eu/eli/reg/2011/1176/oj</w:t>
        </w:r>
      </w:hyperlink>
      <w:r w:rsidRPr="002D3375">
        <w:rPr>
          <w:sz w:val="24"/>
          <w:lang w:val="cs-CZ"/>
        </w:rPr>
        <w:t>.</w:t>
      </w:r>
    </w:p>
  </w:footnote>
  <w:footnote w:id="8">
    <w:p w14:paraId="752C79B7" w14:textId="423CD926" w:rsidR="001C68AD" w:rsidRPr="002D3375" w:rsidRDefault="001C68AD" w:rsidP="002D3375">
      <w:pPr>
        <w:pStyle w:val="FootnoteText"/>
        <w:ind w:left="567" w:hanging="567"/>
        <w:rPr>
          <w:sz w:val="24"/>
          <w:lang w:val="cs-CZ"/>
        </w:rPr>
      </w:pPr>
      <w:r w:rsidRPr="002D3375">
        <w:rPr>
          <w:sz w:val="24"/>
          <w:vertAlign w:val="superscript"/>
          <w:lang w:val="cs-CZ"/>
        </w:rPr>
        <w:t>8</w:t>
      </w:r>
      <w:r w:rsidR="002D3375" w:rsidRPr="002D3375">
        <w:rPr>
          <w:sz w:val="24"/>
          <w:vertAlign w:val="superscript"/>
          <w:lang w:val="cs-CZ"/>
        </w:rPr>
        <w:t xml:space="preserve"> </w:t>
      </w:r>
      <w:r w:rsidR="002D3375" w:rsidRPr="002D3375">
        <w:rPr>
          <w:sz w:val="24"/>
          <w:vertAlign w:val="superscript"/>
          <w:lang w:val="cs-CZ"/>
        </w:rPr>
        <w:tab/>
      </w:r>
      <w:proofErr w:type="spellStart"/>
      <w:r w:rsidRPr="002D3375">
        <w:rPr>
          <w:sz w:val="24"/>
          <w:lang w:val="cs-CZ"/>
        </w:rPr>
        <w:t>Úř</w:t>
      </w:r>
      <w:proofErr w:type="spellEnd"/>
      <w:r w:rsidRPr="002D3375">
        <w:rPr>
          <w:sz w:val="24"/>
          <w:lang w:val="cs-CZ"/>
        </w:rPr>
        <w:t xml:space="preserve">. </w:t>
      </w:r>
      <w:proofErr w:type="spellStart"/>
      <w:r w:rsidRPr="002D3375">
        <w:rPr>
          <w:sz w:val="24"/>
          <w:lang w:val="cs-CZ"/>
        </w:rPr>
        <w:t>věst</w:t>
      </w:r>
      <w:proofErr w:type="spellEnd"/>
      <w:r w:rsidRPr="002D3375">
        <w:rPr>
          <w:sz w:val="24"/>
          <w:lang w:val="cs-CZ"/>
        </w:rPr>
        <w:t xml:space="preserve">. L 140, 27.5.2013, s. 1, ELI: </w:t>
      </w:r>
      <w:hyperlink r:id="rId8" w:tgtFrame="http://data.europa.eu/eli/reg/2013/472/oj" w:history="1">
        <w:r w:rsidRPr="002D3375">
          <w:rPr>
            <w:rStyle w:val="Hyperlink"/>
            <w:sz w:val="24"/>
            <w:lang w:val="cs-CZ"/>
          </w:rPr>
          <w:t>http://data.europa.eu/eli/reg/2013/472/oj</w:t>
        </w:r>
      </w:hyperlink>
      <w:r w:rsidRPr="002D3375">
        <w:rPr>
          <w:sz w:val="24"/>
          <w:lang w:val="cs-CZ"/>
        </w:rPr>
        <w:t>.</w:t>
      </w:r>
    </w:p>
  </w:footnote>
  <w:footnote w:id="9">
    <w:p w14:paraId="46465612" w14:textId="03F0091B" w:rsidR="001C68AD" w:rsidRPr="002D3375" w:rsidRDefault="001C68AD" w:rsidP="002D3375">
      <w:pPr>
        <w:pStyle w:val="FootnoteText"/>
        <w:ind w:left="567" w:hanging="567"/>
        <w:rPr>
          <w:sz w:val="24"/>
          <w:lang w:val="cs-CZ"/>
        </w:rPr>
      </w:pPr>
      <w:r w:rsidRPr="002D3375">
        <w:rPr>
          <w:sz w:val="24"/>
          <w:vertAlign w:val="superscript"/>
          <w:lang w:val="cs-CZ"/>
        </w:rPr>
        <w:t>9</w:t>
      </w:r>
      <w:r w:rsidR="002D3375" w:rsidRPr="002D3375">
        <w:rPr>
          <w:sz w:val="24"/>
          <w:vertAlign w:val="superscript"/>
          <w:lang w:val="cs-CZ"/>
        </w:rPr>
        <w:t xml:space="preserve"> </w:t>
      </w:r>
      <w:r w:rsidR="002D3375" w:rsidRPr="002D3375">
        <w:rPr>
          <w:sz w:val="24"/>
          <w:vertAlign w:val="superscript"/>
          <w:lang w:val="cs-CZ"/>
        </w:rPr>
        <w:tab/>
      </w:r>
      <w:proofErr w:type="spellStart"/>
      <w:r w:rsidRPr="002D3375">
        <w:rPr>
          <w:sz w:val="24"/>
          <w:lang w:val="cs-CZ"/>
        </w:rPr>
        <w:t>Úř</w:t>
      </w:r>
      <w:proofErr w:type="spellEnd"/>
      <w:r w:rsidRPr="002D3375">
        <w:rPr>
          <w:sz w:val="24"/>
          <w:lang w:val="cs-CZ"/>
        </w:rPr>
        <w:t xml:space="preserve">. </w:t>
      </w:r>
      <w:proofErr w:type="spellStart"/>
      <w:r w:rsidRPr="002D3375">
        <w:rPr>
          <w:sz w:val="24"/>
          <w:lang w:val="cs-CZ"/>
        </w:rPr>
        <w:t>věst</w:t>
      </w:r>
      <w:proofErr w:type="spellEnd"/>
      <w:r w:rsidRPr="002D3375">
        <w:rPr>
          <w:sz w:val="24"/>
          <w:lang w:val="cs-CZ"/>
        </w:rPr>
        <w:t xml:space="preserve">. L 140, 27.5.2013, s. 11, ELI: </w:t>
      </w:r>
      <w:hyperlink r:id="rId9" w:tgtFrame="http://data.europa.eu/eli/reg/2013/473/oj" w:history="1">
        <w:r w:rsidRPr="002D3375">
          <w:rPr>
            <w:rStyle w:val="Hyperlink"/>
            <w:sz w:val="24"/>
            <w:lang w:val="cs-CZ"/>
          </w:rPr>
          <w:t>http://data.europa.eu/eli/reg/2013/473/oj</w:t>
        </w:r>
      </w:hyperlink>
      <w:r w:rsidRPr="002D3375">
        <w:rPr>
          <w:sz w:val="24"/>
          <w:lang w:val="cs-CZ"/>
        </w:rPr>
        <w:t>.</w:t>
      </w:r>
    </w:p>
  </w:footnote>
  <w:footnote w:id="10">
    <w:p w14:paraId="1360BC4B" w14:textId="6EA69897" w:rsidR="001C68AD" w:rsidRPr="002D3375" w:rsidRDefault="001C68AD" w:rsidP="002D3375">
      <w:pPr>
        <w:pStyle w:val="FootnoteText"/>
        <w:ind w:left="567" w:hanging="567"/>
        <w:rPr>
          <w:sz w:val="24"/>
          <w:lang w:val="cs-CZ"/>
        </w:rPr>
      </w:pPr>
      <w:r w:rsidRPr="002D3375">
        <w:rPr>
          <w:sz w:val="24"/>
          <w:vertAlign w:val="superscript"/>
          <w:lang w:val="cs-CZ"/>
        </w:rPr>
        <w:t>10</w:t>
      </w:r>
      <w:r w:rsidR="002D3375" w:rsidRPr="002D3375">
        <w:rPr>
          <w:sz w:val="24"/>
          <w:vertAlign w:val="superscript"/>
          <w:lang w:val="cs-CZ"/>
        </w:rPr>
        <w:t xml:space="preserve"> </w:t>
      </w:r>
      <w:r w:rsidR="002D3375" w:rsidRPr="002D3375">
        <w:rPr>
          <w:sz w:val="24"/>
          <w:vertAlign w:val="superscript"/>
          <w:lang w:val="cs-CZ"/>
        </w:rPr>
        <w:tab/>
      </w:r>
      <w:r w:rsidRPr="002D3375">
        <w:rPr>
          <w:sz w:val="24"/>
          <w:lang w:val="cs-CZ"/>
        </w:rPr>
        <w:t>Sdělení Komise ze dne 19. března 2025 nazvané „Unie úspor a investic – strategie na podporu bohatství občanů a hospodářské konkurenceschopnosti v EU“ (COM(2025)0124).</w:t>
      </w:r>
    </w:p>
  </w:footnote>
  <w:footnote w:id="11">
    <w:p w14:paraId="0124553A" w14:textId="0568032B" w:rsidR="001C68AD" w:rsidRPr="002D3375" w:rsidRDefault="001C68AD" w:rsidP="002D3375">
      <w:pPr>
        <w:pStyle w:val="FootnoteText"/>
        <w:ind w:left="567" w:hanging="567"/>
        <w:rPr>
          <w:sz w:val="24"/>
          <w:lang w:val="cs-CZ"/>
        </w:rPr>
      </w:pPr>
      <w:r w:rsidRPr="002D3375">
        <w:rPr>
          <w:sz w:val="24"/>
          <w:vertAlign w:val="superscript"/>
          <w:lang w:val="cs-CZ"/>
        </w:rPr>
        <w:t>11</w:t>
      </w:r>
      <w:r w:rsidR="002D3375" w:rsidRPr="002D3375">
        <w:rPr>
          <w:sz w:val="24"/>
          <w:vertAlign w:val="superscript"/>
          <w:lang w:val="cs-CZ"/>
        </w:rPr>
        <w:t xml:space="preserve"> </w:t>
      </w:r>
      <w:r w:rsidR="002D3375" w:rsidRPr="002D3375">
        <w:rPr>
          <w:sz w:val="24"/>
          <w:vertAlign w:val="superscript"/>
          <w:lang w:val="cs-CZ"/>
        </w:rPr>
        <w:tab/>
      </w:r>
      <w:r w:rsidRPr="002D3375">
        <w:rPr>
          <w:sz w:val="24"/>
          <w:lang w:val="cs-CZ"/>
        </w:rPr>
        <w:t>Nařízení Evropského parlamentu a Rady (EU) 2024/1263 ze dne 29. dubna 2024 o účinné koordinaci hospodářských politik a mnohostranném rozpočtovém dohledu a o zrušení nařízení Rady (ES) č. 1466/97 (</w:t>
      </w:r>
      <w:proofErr w:type="spellStart"/>
      <w:r w:rsidRPr="002D3375">
        <w:rPr>
          <w:sz w:val="24"/>
          <w:lang w:val="cs-CZ"/>
        </w:rPr>
        <w:t>Úř</w:t>
      </w:r>
      <w:proofErr w:type="spellEnd"/>
      <w:r w:rsidRPr="002D3375">
        <w:rPr>
          <w:sz w:val="24"/>
          <w:lang w:val="cs-CZ"/>
        </w:rPr>
        <w:t>. </w:t>
      </w:r>
      <w:proofErr w:type="spellStart"/>
      <w:r w:rsidRPr="002D3375">
        <w:rPr>
          <w:sz w:val="24"/>
          <w:lang w:val="cs-CZ"/>
        </w:rPr>
        <w:t>věst</w:t>
      </w:r>
      <w:proofErr w:type="spellEnd"/>
      <w:r w:rsidRPr="002D3375">
        <w:rPr>
          <w:sz w:val="24"/>
          <w:lang w:val="cs-CZ"/>
        </w:rPr>
        <w:t xml:space="preserve">. L, 2024/1263, 30.4.2024, ELI: </w:t>
      </w:r>
      <w:hyperlink r:id="rId10" w:tgtFrame="http://data.europa.eu/eli/reg/2024/1263/oj" w:history="1">
        <w:r w:rsidRPr="002D3375">
          <w:rPr>
            <w:rStyle w:val="Hyperlink"/>
            <w:sz w:val="24"/>
            <w:lang w:val="cs-CZ"/>
          </w:rPr>
          <w:t>http://data.europa.eu/eli/reg/2024/1263/oj</w:t>
        </w:r>
      </w:hyperlink>
      <w:r w:rsidRPr="002D3375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DD605" w14:textId="77777777" w:rsidR="00064002" w:rsidRPr="002D337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A7552" w14:textId="77777777" w:rsidR="00064002" w:rsidRPr="002D337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8138B" w14:textId="77777777" w:rsidR="00064002" w:rsidRPr="002D337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40989563">
    <w:abstractNumId w:val="9"/>
  </w:num>
  <w:num w:numId="2" w16cid:durableId="1570767415">
    <w:abstractNumId w:val="9"/>
  </w:num>
  <w:num w:numId="3" w16cid:durableId="1486583971">
    <w:abstractNumId w:val="7"/>
  </w:num>
  <w:num w:numId="4" w16cid:durableId="18967927">
    <w:abstractNumId w:val="7"/>
  </w:num>
  <w:num w:numId="5" w16cid:durableId="759569240">
    <w:abstractNumId w:val="6"/>
  </w:num>
  <w:num w:numId="6" w16cid:durableId="1158112720">
    <w:abstractNumId w:val="6"/>
  </w:num>
  <w:num w:numId="7" w16cid:durableId="255863691">
    <w:abstractNumId w:val="5"/>
  </w:num>
  <w:num w:numId="8" w16cid:durableId="1503886912">
    <w:abstractNumId w:val="5"/>
  </w:num>
  <w:num w:numId="9" w16cid:durableId="808788137">
    <w:abstractNumId w:val="4"/>
  </w:num>
  <w:num w:numId="10" w16cid:durableId="1880165370">
    <w:abstractNumId w:val="4"/>
  </w:num>
  <w:num w:numId="11" w16cid:durableId="1080322775">
    <w:abstractNumId w:val="8"/>
  </w:num>
  <w:num w:numId="12" w16cid:durableId="491024735">
    <w:abstractNumId w:val="8"/>
  </w:num>
  <w:num w:numId="13" w16cid:durableId="1928885519">
    <w:abstractNumId w:val="3"/>
  </w:num>
  <w:num w:numId="14" w16cid:durableId="1073620947">
    <w:abstractNumId w:val="3"/>
  </w:num>
  <w:num w:numId="15" w16cid:durableId="1152716088">
    <w:abstractNumId w:val="2"/>
  </w:num>
  <w:num w:numId="16" w16cid:durableId="1606886807">
    <w:abstractNumId w:val="2"/>
  </w:num>
  <w:num w:numId="17" w16cid:durableId="8264769">
    <w:abstractNumId w:val="1"/>
  </w:num>
  <w:num w:numId="18" w16cid:durableId="1749033974">
    <w:abstractNumId w:val="1"/>
  </w:num>
  <w:num w:numId="19" w16cid:durableId="1287085662">
    <w:abstractNumId w:val="0"/>
  </w:num>
  <w:num w:numId="20" w16cid:durableId="1140461208">
    <w:abstractNumId w:val="0"/>
  </w:num>
  <w:num w:numId="21" w16cid:durableId="545142740">
    <w:abstractNumId w:val="9"/>
  </w:num>
  <w:num w:numId="22" w16cid:durableId="2117672814">
    <w:abstractNumId w:val="7"/>
  </w:num>
  <w:num w:numId="23" w16cid:durableId="1417482884">
    <w:abstractNumId w:val="6"/>
  </w:num>
  <w:num w:numId="24" w16cid:durableId="1550534486">
    <w:abstractNumId w:val="5"/>
  </w:num>
  <w:num w:numId="25" w16cid:durableId="400559854">
    <w:abstractNumId w:val="4"/>
  </w:num>
  <w:num w:numId="26" w16cid:durableId="1161043597">
    <w:abstractNumId w:val="8"/>
  </w:num>
  <w:num w:numId="27" w16cid:durableId="1277640844">
    <w:abstractNumId w:val="3"/>
  </w:num>
  <w:num w:numId="28" w16cid:durableId="1020200989">
    <w:abstractNumId w:val="2"/>
  </w:num>
  <w:num w:numId="29" w16cid:durableId="1682660578">
    <w:abstractNumId w:val="1"/>
  </w:num>
  <w:num w:numId="30" w16cid:durableId="1980453917">
    <w:abstractNumId w:val="0"/>
  </w:num>
  <w:num w:numId="31" w16cid:durableId="980765998">
    <w:abstractNumId w:val="9"/>
  </w:num>
  <w:num w:numId="32" w16cid:durableId="2102680266">
    <w:abstractNumId w:val="7"/>
  </w:num>
  <w:num w:numId="33" w16cid:durableId="1422096100">
    <w:abstractNumId w:val="6"/>
  </w:num>
  <w:num w:numId="34" w16cid:durableId="1871911224">
    <w:abstractNumId w:val="5"/>
  </w:num>
  <w:num w:numId="35" w16cid:durableId="856230666">
    <w:abstractNumId w:val="4"/>
  </w:num>
  <w:num w:numId="36" w16cid:durableId="45029220">
    <w:abstractNumId w:val="8"/>
  </w:num>
  <w:num w:numId="37" w16cid:durableId="132720594">
    <w:abstractNumId w:val="3"/>
  </w:num>
  <w:num w:numId="38" w16cid:durableId="605700486">
    <w:abstractNumId w:val="2"/>
  </w:num>
  <w:num w:numId="39" w16cid:durableId="1609966980">
    <w:abstractNumId w:val="1"/>
  </w:num>
  <w:num w:numId="40" w16cid:durableId="483738670">
    <w:abstractNumId w:val="0"/>
  </w:num>
  <w:num w:numId="41" w16cid:durableId="682324895">
    <w:abstractNumId w:val="10"/>
  </w:num>
  <w:num w:numId="42" w16cid:durableId="1278758180">
    <w:abstractNumId w:val="10"/>
  </w:num>
  <w:num w:numId="43" w16cid:durableId="679090430">
    <w:abstractNumId w:val="10"/>
  </w:num>
  <w:num w:numId="44" w16cid:durableId="10159568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6/2026"/>
    <w:docVar w:name="dvlangue" w:val="CS"/>
    <w:docVar w:name="dvnumam" w:val="47"/>
    <w:docVar w:name="dvpe" w:val="779.614"/>
    <w:docVar w:name="dvrapporteur" w:val="Zpravodajka: "/>
    <w:docVar w:name="dvtitre" w:val="Usnesení Evropského parlamentu ze dne.... 2026 o evropském semestru pro koordinaci hospodářských politik 2026(2025/2214(INI))"/>
  </w:docVars>
  <w:rsids>
    <w:rsidRoot w:val="005E1AC9"/>
    <w:rsid w:val="00002272"/>
    <w:rsid w:val="000467CA"/>
    <w:rsid w:val="00064002"/>
    <w:rsid w:val="000677B9"/>
    <w:rsid w:val="000831BA"/>
    <w:rsid w:val="000A42CC"/>
    <w:rsid w:val="000E7DD9"/>
    <w:rsid w:val="0010095E"/>
    <w:rsid w:val="00125B37"/>
    <w:rsid w:val="00187494"/>
    <w:rsid w:val="001C68AD"/>
    <w:rsid w:val="001F32AE"/>
    <w:rsid w:val="002767FF"/>
    <w:rsid w:val="002B18FE"/>
    <w:rsid w:val="002B5493"/>
    <w:rsid w:val="002D3375"/>
    <w:rsid w:val="00343214"/>
    <w:rsid w:val="00361C00"/>
    <w:rsid w:val="00372E0E"/>
    <w:rsid w:val="00395FA1"/>
    <w:rsid w:val="003E15D4"/>
    <w:rsid w:val="00411CCE"/>
    <w:rsid w:val="0041666E"/>
    <w:rsid w:val="00421060"/>
    <w:rsid w:val="0043574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1AC9"/>
    <w:rsid w:val="005F1B17"/>
    <w:rsid w:val="006037C0"/>
    <w:rsid w:val="006631B6"/>
    <w:rsid w:val="00680577"/>
    <w:rsid w:val="006F4589"/>
    <w:rsid w:val="006F74FA"/>
    <w:rsid w:val="00716E2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4D3E"/>
    <w:rsid w:val="009509D8"/>
    <w:rsid w:val="00950B64"/>
    <w:rsid w:val="00981893"/>
    <w:rsid w:val="009918C6"/>
    <w:rsid w:val="00A1687D"/>
    <w:rsid w:val="00A43E52"/>
    <w:rsid w:val="00A4678D"/>
    <w:rsid w:val="00A778C7"/>
    <w:rsid w:val="00AB441E"/>
    <w:rsid w:val="00AB6293"/>
    <w:rsid w:val="00AE0928"/>
    <w:rsid w:val="00AF29DF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C02A88"/>
  <w15:chartTrackingRefBased/>
  <w15:docId w15:val="{5C299444-9FF7-4E63-AD74-59EBD1AF2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1C68AD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1C68AD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1C68AD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1C68AD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1C68AD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1C68AD"/>
    <w:rPr>
      <w:color w:val="0000FF"/>
      <w:u w:val="single"/>
    </w:rPr>
  </w:style>
  <w:style w:type="paragraph" w:styleId="Revision">
    <w:name w:val="Revision"/>
    <w:hidden/>
    <w:uiPriority w:val="99"/>
    <w:semiHidden/>
    <w:rsid w:val="00435746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13/472/oj" TargetMode="External"/><Relationship Id="rId3" Type="http://schemas.openxmlformats.org/officeDocument/2006/relationships/hyperlink" Target="http://data.europa.eu/eli/reg/2024/1264/oj" TargetMode="External"/><Relationship Id="rId7" Type="http://schemas.openxmlformats.org/officeDocument/2006/relationships/hyperlink" Target="http://data.europa.eu/eli/reg/2011/1176/oj" TargetMode="External"/><Relationship Id="rId2" Type="http://schemas.openxmlformats.org/officeDocument/2006/relationships/hyperlink" Target="http://data.europa.eu/eli/reg/2024/1263/oj" TargetMode="External"/><Relationship Id="rId1" Type="http://schemas.openxmlformats.org/officeDocument/2006/relationships/hyperlink" Target="http://data.europa.eu/eli/reg/2021/1119/oj" TargetMode="External"/><Relationship Id="rId6" Type="http://schemas.openxmlformats.org/officeDocument/2006/relationships/hyperlink" Target="http://data.europa.eu/eli/reg/2011/1174/oj" TargetMode="External"/><Relationship Id="rId5" Type="http://schemas.openxmlformats.org/officeDocument/2006/relationships/hyperlink" Target="http://data.europa.eu/eli/reg/2011/1173/oj" TargetMode="External"/><Relationship Id="rId10" Type="http://schemas.openxmlformats.org/officeDocument/2006/relationships/hyperlink" Target="http://data.europa.eu/eli/reg/2024/1263/oj" TargetMode="External"/><Relationship Id="rId4" Type="http://schemas.openxmlformats.org/officeDocument/2006/relationships/hyperlink" Target="http://data.europa.eu/eli/dir/2024/1265/oj" TargetMode="External"/><Relationship Id="rId9" Type="http://schemas.openxmlformats.org/officeDocument/2006/relationships/hyperlink" Target="http://data.europa.eu/eli/reg/2013/47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3915</Words>
  <Characters>23139</Characters>
  <Application>Microsoft Office Word</Application>
  <DocSecurity>0</DocSecurity>
  <Lines>857</Lines>
  <Paragraphs>223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SOCHOROVA Lenka</cp:lastModifiedBy>
  <cp:revision>2</cp:revision>
  <cp:lastPrinted>2004-11-19T15:42:00Z</cp:lastPrinted>
  <dcterms:created xsi:type="dcterms:W3CDTF">2026-04-22T15:07:00Z</dcterms:created>
  <dcterms:modified xsi:type="dcterms:W3CDTF">2026-04-22T15:07:00Z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A10-0036/2026</vt:lpwstr>
  </property>
  <property fmtid="{D5CDD505-2E9C-101B-9397-08002B2CF9AE}" pid="4" name="&lt;Type&gt;">
    <vt:lpwstr>RR</vt:lpwstr>
  </property>
</Properties>
</file>