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32A9C" w14:paraId="6FC2A53F" w14:textId="77777777" w:rsidTr="0010095E">
        <w:trPr>
          <w:trHeight w:hRule="exact" w:val="1418"/>
        </w:trPr>
        <w:tc>
          <w:tcPr>
            <w:tcW w:w="6804" w:type="dxa"/>
            <w:shd w:val="clear" w:color="auto" w:fill="auto"/>
            <w:vAlign w:val="center"/>
          </w:tcPr>
          <w:p w14:paraId="3FB47E4F" w14:textId="77777777" w:rsidR="00751A4A" w:rsidRPr="00932A9C" w:rsidRDefault="00A0165C" w:rsidP="0010095E">
            <w:pPr>
              <w:pStyle w:val="EPName"/>
            </w:pPr>
            <w:r w:rsidRPr="00932A9C">
              <w:t>Ευρωπαϊκό Κοινοβούλιο</w:t>
            </w:r>
          </w:p>
          <w:p w14:paraId="0A5E859A" w14:textId="77777777" w:rsidR="00751A4A" w:rsidRPr="00932A9C" w:rsidRDefault="005F1B17" w:rsidP="005F1B17">
            <w:pPr>
              <w:pStyle w:val="EPTerm"/>
              <w:rPr>
                <w:rStyle w:val="HideTWBExt"/>
                <w:noProof w:val="0"/>
                <w:vanish w:val="0"/>
                <w:color w:val="auto"/>
              </w:rPr>
            </w:pPr>
            <w:r w:rsidRPr="00932A9C">
              <w:t>2024</w:t>
            </w:r>
            <w:r w:rsidR="00817416" w:rsidRPr="00932A9C">
              <w:t>-202</w:t>
            </w:r>
            <w:r w:rsidRPr="00932A9C">
              <w:t>9</w:t>
            </w:r>
          </w:p>
        </w:tc>
        <w:tc>
          <w:tcPr>
            <w:tcW w:w="2268" w:type="dxa"/>
            <w:shd w:val="clear" w:color="auto" w:fill="auto"/>
          </w:tcPr>
          <w:p w14:paraId="673823CF" w14:textId="77777777" w:rsidR="00751A4A" w:rsidRPr="00932A9C" w:rsidRDefault="00187494" w:rsidP="0010095E">
            <w:pPr>
              <w:pStyle w:val="EPLogo"/>
            </w:pPr>
            <w:r w:rsidRPr="00932A9C">
              <w:rPr>
                <w:noProof/>
                <w:lang w:eastAsia="ja-JP"/>
              </w:rPr>
              <w:drawing>
                <wp:inline distT="0" distB="0" distL="0" distR="0" wp14:anchorId="59095323" wp14:editId="55C745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4A550E" w14:textId="77777777" w:rsidR="00D058B8" w:rsidRPr="00932A9C" w:rsidRDefault="00D058B8" w:rsidP="004C5D52">
      <w:pPr>
        <w:pStyle w:val="LineTop"/>
      </w:pPr>
    </w:p>
    <w:p w14:paraId="53ADB49B" w14:textId="77777777" w:rsidR="00680577" w:rsidRPr="00932A9C" w:rsidRDefault="00A0165C" w:rsidP="00680577">
      <w:pPr>
        <w:pStyle w:val="EPBodyTA1"/>
      </w:pPr>
      <w:r w:rsidRPr="00932A9C">
        <w:t>ΚΕΙΜΕΝΑ ΠΟΥ ΕΓΚΡΙΘΗΚΑΝ</w:t>
      </w:r>
    </w:p>
    <w:p w14:paraId="49F672D4" w14:textId="77777777" w:rsidR="00D058B8" w:rsidRPr="00932A9C" w:rsidRDefault="00D058B8" w:rsidP="00D058B8">
      <w:pPr>
        <w:pStyle w:val="LineBottom"/>
      </w:pPr>
    </w:p>
    <w:p w14:paraId="0EA004A9" w14:textId="030A1355" w:rsidR="00A0165C" w:rsidRPr="008C4F9A" w:rsidRDefault="00A0165C" w:rsidP="00A0165C">
      <w:pPr>
        <w:pStyle w:val="ATHeading1"/>
      </w:pPr>
      <w:bookmarkStart w:id="0" w:name="TANumber"/>
      <w:r w:rsidRPr="00932A9C">
        <w:t>P10_TA(2026)00</w:t>
      </w:r>
      <w:r w:rsidR="008C4F9A" w:rsidRPr="0003313D">
        <w:t>75</w:t>
      </w:r>
      <w:bookmarkEnd w:id="0"/>
    </w:p>
    <w:p w14:paraId="2BDF9279" w14:textId="77777777" w:rsidR="00A0165C" w:rsidRPr="00932A9C" w:rsidRDefault="00A0165C" w:rsidP="00A0165C">
      <w:pPr>
        <w:pStyle w:val="ATHeading2"/>
      </w:pPr>
      <w:bookmarkStart w:id="1" w:name="title"/>
      <w:r w:rsidRPr="00932A9C">
        <w:t>Ευρωπαϊκό Εξάμηνο για τον συντονισμό των οικονομικών πολιτικών για το 2026</w:t>
      </w:r>
      <w:bookmarkEnd w:id="1"/>
    </w:p>
    <w:p w14:paraId="3B0305F2" w14:textId="77777777" w:rsidR="00A0165C" w:rsidRPr="00932A9C" w:rsidRDefault="00A0165C" w:rsidP="00A0165C">
      <w:pPr>
        <w:rPr>
          <w:i/>
          <w:vanish/>
        </w:rPr>
      </w:pPr>
      <w:r w:rsidRPr="00932A9C">
        <w:rPr>
          <w:i/>
        </w:rPr>
        <w:fldChar w:fldCharType="begin"/>
      </w:r>
      <w:r w:rsidRPr="00932A9C">
        <w:rPr>
          <w:i/>
        </w:rPr>
        <w:instrText xml:space="preserve"> TC"(</w:instrText>
      </w:r>
      <w:bookmarkStart w:id="2" w:name="DocNumber"/>
      <w:r w:rsidRPr="00932A9C">
        <w:rPr>
          <w:i/>
        </w:rPr>
        <w:instrText>A10-0036/2026</w:instrText>
      </w:r>
      <w:bookmarkEnd w:id="2"/>
      <w:r w:rsidRPr="00932A9C">
        <w:rPr>
          <w:i/>
        </w:rPr>
        <w:instrText xml:space="preserve"> - Εισηγήτρια: Kira Marie Peter-Hansen)"\l3 \n&gt; \* MERGEFORMAT </w:instrText>
      </w:r>
      <w:r w:rsidRPr="00932A9C">
        <w:rPr>
          <w:i/>
        </w:rPr>
        <w:fldChar w:fldCharType="end"/>
      </w:r>
    </w:p>
    <w:p w14:paraId="7E07F485" w14:textId="77777777" w:rsidR="00A0165C" w:rsidRPr="00932A9C" w:rsidRDefault="00A0165C" w:rsidP="00A0165C">
      <w:pPr>
        <w:rPr>
          <w:vanish/>
        </w:rPr>
      </w:pPr>
      <w:bookmarkStart w:id="3" w:name="Commission"/>
      <w:r w:rsidRPr="00932A9C">
        <w:rPr>
          <w:vanish/>
        </w:rPr>
        <w:t>Επιτροπή Οικονομικής και Νομισματικής Πολιτικής</w:t>
      </w:r>
      <w:bookmarkEnd w:id="3"/>
    </w:p>
    <w:p w14:paraId="123C89D5" w14:textId="77777777" w:rsidR="00A0165C" w:rsidRPr="00932A9C" w:rsidRDefault="00A0165C" w:rsidP="00A0165C">
      <w:pPr>
        <w:rPr>
          <w:vanish/>
        </w:rPr>
      </w:pPr>
      <w:bookmarkStart w:id="4" w:name="PE"/>
      <w:r w:rsidRPr="00932A9C">
        <w:rPr>
          <w:vanish/>
        </w:rPr>
        <w:t>PE779.614</w:t>
      </w:r>
      <w:bookmarkEnd w:id="4"/>
    </w:p>
    <w:p w14:paraId="37805911" w14:textId="73BB2FA4" w:rsidR="00A0165C" w:rsidRPr="00932A9C" w:rsidRDefault="00A0165C" w:rsidP="00A0165C">
      <w:pPr>
        <w:pStyle w:val="ATHeading3"/>
      </w:pPr>
      <w:bookmarkStart w:id="5" w:name="Sujet"/>
      <w:r w:rsidRPr="00932A9C">
        <w:t xml:space="preserve">Ψήφισμα του Ευρωπαϊκού Κοινοβουλίου της </w:t>
      </w:r>
      <w:r w:rsidR="00580465">
        <w:t>11ης Μαρτίου</w:t>
      </w:r>
      <w:r w:rsidRPr="00932A9C">
        <w:t xml:space="preserve"> 2026 σχετικά με το Ευρωπαϊκό Εξάμηνο για τον συντονισμό των οικονομικών πολιτικών για το 2026</w:t>
      </w:r>
      <w:bookmarkEnd w:id="5"/>
      <w:r w:rsidRPr="00932A9C">
        <w:t xml:space="preserve"> </w:t>
      </w:r>
      <w:bookmarkStart w:id="6" w:name="References"/>
      <w:r w:rsidRPr="00932A9C">
        <w:t>(2025/2214(INI))</w:t>
      </w:r>
      <w:bookmarkEnd w:id="6"/>
    </w:p>
    <w:p w14:paraId="461EBE1D" w14:textId="77777777" w:rsidR="00E70588" w:rsidRDefault="00E70588" w:rsidP="006441D5">
      <w:pPr>
        <w:pStyle w:val="Normal12"/>
        <w:rPr>
          <w:i/>
        </w:rPr>
      </w:pPr>
    </w:p>
    <w:p w14:paraId="3D1D5F43" w14:textId="3E57B746" w:rsidR="006441D5" w:rsidRPr="00932A9C" w:rsidRDefault="006441D5" w:rsidP="006441D5">
      <w:pPr>
        <w:pStyle w:val="Normal12"/>
      </w:pPr>
      <w:r w:rsidRPr="00932A9C">
        <w:rPr>
          <w:i/>
        </w:rPr>
        <w:t>Το Ευρωπαϊκό Κοινοβούλιο</w:t>
      </w:r>
      <w:r w:rsidRPr="00932A9C">
        <w:t>,</w:t>
      </w:r>
    </w:p>
    <w:p w14:paraId="2ADC6A54" w14:textId="77777777" w:rsidR="006441D5" w:rsidRPr="00932A9C" w:rsidRDefault="006441D5" w:rsidP="006441D5">
      <w:pPr>
        <w:pStyle w:val="NormalHanging"/>
      </w:pPr>
      <w:r w:rsidRPr="00932A9C">
        <w:t>–</w:t>
      </w:r>
      <w:r w:rsidRPr="00932A9C">
        <w:tab/>
        <w:t>έχοντας υπόψη τη Συνθήκη για τη λειτουργία της Ευρωπαϊκής Ένωσης (ΣΛΕΕ), και ιδίως τα άρθρα 121, 126 και 136,</w:t>
      </w:r>
    </w:p>
    <w:p w14:paraId="64E7DBF3" w14:textId="77777777" w:rsidR="006441D5" w:rsidRPr="00932A9C" w:rsidRDefault="006441D5" w:rsidP="006441D5">
      <w:pPr>
        <w:pStyle w:val="NormalHanging"/>
      </w:pPr>
      <w:r w:rsidRPr="00932A9C">
        <w:t>–</w:t>
      </w:r>
      <w:r w:rsidRPr="00932A9C">
        <w:tab/>
        <w:t>έχοντας υπόψη το πρωτόκολλο αριθ. 1 στη Συνθήκη για την Ευρωπαϊκή Ένωση (ΣΕΕ) και τη ΣΛΕΕ σχετικά με τον ρόλο των εθνικών κοινοβουλίων στην Ευρωπαϊκή Ένωση,</w:t>
      </w:r>
    </w:p>
    <w:p w14:paraId="2DEDE566" w14:textId="77777777" w:rsidR="006441D5" w:rsidRPr="00932A9C" w:rsidRDefault="006441D5" w:rsidP="006441D5">
      <w:pPr>
        <w:pStyle w:val="NormalHanging"/>
      </w:pPr>
      <w:r w:rsidRPr="00932A9C">
        <w:t>–</w:t>
      </w:r>
      <w:r w:rsidRPr="00932A9C">
        <w:tab/>
        <w:t>έχοντας υπόψη το πρωτόκολλο αριθ. 2 στη ΣΕΕ και τη ΣΛΕΕ σχετικά με την εφαρμογή των αρχών της επικουρικότητας και της αναλογικότητας,</w:t>
      </w:r>
    </w:p>
    <w:p w14:paraId="1A865804" w14:textId="6C4ADD3E" w:rsidR="006441D5" w:rsidRPr="00932A9C" w:rsidRDefault="006441D5" w:rsidP="006441D5">
      <w:pPr>
        <w:pStyle w:val="NormalHanging"/>
      </w:pPr>
      <w:r w:rsidRPr="00932A9C">
        <w:t>–</w:t>
      </w:r>
      <w:r w:rsidRPr="00932A9C">
        <w:tab/>
        <w:t>έχοντας υπόψη τη συμφωνία του Παρισιού, η οποία εγκρίθηκε στις 12 Δεκεμβρίου 20</w:t>
      </w:r>
      <w:r w:rsidR="0003313D" w:rsidRPr="0003313D">
        <w:t>1</w:t>
      </w:r>
      <w:r w:rsidRPr="00932A9C">
        <w:t>5 στο πλαίσιο της διάσκεψης των μερών της σύμβασης-πλαισίου για την κλιματική αλλαγή, και τους Στόχους Βιώσιμης Ανάπτυξης των Ηνωμένων Εθνών,</w:t>
      </w:r>
    </w:p>
    <w:p w14:paraId="2EEB62C0" w14:textId="030A50B3" w:rsidR="006441D5" w:rsidRPr="00932A9C" w:rsidRDefault="006441D5" w:rsidP="006441D5">
      <w:pPr>
        <w:pStyle w:val="NormalHanging"/>
      </w:pPr>
      <w:r w:rsidRPr="00932A9C">
        <w:t>–</w:t>
      </w:r>
      <w:r w:rsidRPr="00932A9C">
        <w:tab/>
        <w:t>έχοντας υπόψη τον κανονισμό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w:t>
      </w:r>
      <w:r w:rsidR="00E70588">
        <w:t xml:space="preserve"> </w:t>
      </w:r>
      <w:r w:rsidRPr="00932A9C">
        <w:t>401/2009 και (ΕΕ) 2018/1999 («ευρωπαϊκό νομοθέτημα για το κλίμα»)</w:t>
      </w:r>
      <w:r w:rsidR="002A6E01">
        <w:rPr>
          <w:rStyle w:val="FootnoteReference"/>
        </w:rPr>
        <w:footnoteReference w:id="1"/>
      </w:r>
      <w:r w:rsidRPr="00932A9C">
        <w:t>,</w:t>
      </w:r>
    </w:p>
    <w:p w14:paraId="17383CAA" w14:textId="77777777" w:rsidR="006441D5" w:rsidRPr="00932A9C" w:rsidRDefault="006441D5" w:rsidP="006441D5">
      <w:pPr>
        <w:pStyle w:val="NormalHanging"/>
      </w:pPr>
      <w:r w:rsidRPr="00932A9C">
        <w:t>–</w:t>
      </w:r>
      <w:r w:rsidRPr="00932A9C">
        <w:tab/>
        <w:t>έχοντας υπόψη το πρωτόκολλο αριθ. 12 στη ΣΕΕ και τη ΣΛΕΕ σχετικά με τη διαδικασία του υπερβολικού ελλείμματος,</w:t>
      </w:r>
    </w:p>
    <w:p w14:paraId="637C0239" w14:textId="77777777" w:rsidR="006441D5" w:rsidRPr="00932A9C" w:rsidRDefault="006441D5" w:rsidP="006441D5">
      <w:pPr>
        <w:pStyle w:val="NormalHanging"/>
      </w:pPr>
      <w:r w:rsidRPr="00932A9C">
        <w:t>–</w:t>
      </w:r>
      <w:r w:rsidRPr="00932A9C">
        <w:tab/>
        <w:t>έχοντας υπόψη τη Συνθήκη για τη σταθερότητα, τον συντονισμό και τη διακυβέρνηση στην οικονομική και νομισματική ένωση,</w:t>
      </w:r>
    </w:p>
    <w:p w14:paraId="276E34F4" w14:textId="11A6C072" w:rsidR="006441D5" w:rsidRPr="00932A9C" w:rsidRDefault="006441D5" w:rsidP="006441D5">
      <w:pPr>
        <w:pStyle w:val="NormalHanging"/>
      </w:pPr>
      <w:r w:rsidRPr="00932A9C">
        <w:t>–</w:t>
      </w:r>
      <w:r w:rsidRPr="00932A9C">
        <w:tab/>
        <w:t xml:space="preserve">έχοντας υπόψη τον κανονισμό (ΕΕ) 2024/1263 του Ευρωπαϊκού Κοινοβουλίου και του Συμβουλίου, της 29ης Απριλίου 2024, σχετικά με τον αποτελεσματικό συντονισμό των </w:t>
      </w:r>
      <w:r w:rsidRPr="00932A9C">
        <w:lastRenderedPageBreak/>
        <w:t>οικονομικών πολιτικών και την πολυμερή δημοσιονομική εποπτεία και την κατάργηση του κανονισμού (ΕΚ) αριθ. 1466/97 του Συμβουλίου</w:t>
      </w:r>
      <w:r w:rsidR="002A6E01">
        <w:rPr>
          <w:rStyle w:val="FootnoteReference"/>
        </w:rPr>
        <w:footnoteReference w:id="2"/>
      </w:r>
      <w:r w:rsidRPr="00932A9C">
        <w:t>,</w:t>
      </w:r>
    </w:p>
    <w:p w14:paraId="49F22BDD" w14:textId="2DB8B103" w:rsidR="006441D5" w:rsidRPr="00932A9C" w:rsidRDefault="006441D5" w:rsidP="006441D5">
      <w:pPr>
        <w:pStyle w:val="NormalHanging"/>
      </w:pPr>
      <w:r w:rsidRPr="00932A9C">
        <w:t>–</w:t>
      </w:r>
      <w:r w:rsidRPr="00932A9C">
        <w:tab/>
        <w:t>έχοντας υπόψη τον κανονισμό (ΕΕ) 2024/1264 του Συμβουλίου, της 29ης Απριλίου 2024, για την τροποποίηση του κανονισμού (ΕΚ) αριθ. 1467/97 για την επιτάχυνση και τη διασαφήνιση της εφαρμογής της διαδικασίας υπερβολικού ελλείμματος</w:t>
      </w:r>
      <w:r w:rsidR="002A6E01">
        <w:rPr>
          <w:rStyle w:val="FootnoteReference"/>
        </w:rPr>
        <w:footnoteReference w:id="3"/>
      </w:r>
      <w:r w:rsidRPr="00932A9C">
        <w:t>,</w:t>
      </w:r>
    </w:p>
    <w:p w14:paraId="6A89921A" w14:textId="4220F65B" w:rsidR="006441D5" w:rsidRPr="00932A9C" w:rsidRDefault="006441D5" w:rsidP="006441D5">
      <w:pPr>
        <w:pStyle w:val="NormalHanging"/>
      </w:pPr>
      <w:r w:rsidRPr="00932A9C">
        <w:t>–</w:t>
      </w:r>
      <w:r w:rsidRPr="00932A9C">
        <w:tab/>
        <w:t>έχοντας υπόψη την οδηγία (ΕΕ) 2024/1265 του Συμβουλίου, της 29ης Απριλίου 2024, για την τροποποίηση της οδηγίας 2011/85/ΕΕ σχετικά με τις απαιτήσεις για τα δημοσιονομικά πλαίσια των κρατών μελών</w:t>
      </w:r>
      <w:r w:rsidR="002A6E01">
        <w:rPr>
          <w:rStyle w:val="FootnoteReference"/>
        </w:rPr>
        <w:footnoteReference w:id="4"/>
      </w:r>
      <w:r w:rsidRPr="00932A9C">
        <w:t>,</w:t>
      </w:r>
    </w:p>
    <w:p w14:paraId="3AB6E0F6" w14:textId="796DA9E9" w:rsidR="006441D5" w:rsidRPr="00932A9C" w:rsidRDefault="006441D5" w:rsidP="006441D5">
      <w:pPr>
        <w:pStyle w:val="NormalHanging"/>
      </w:pPr>
      <w:r w:rsidRPr="00932A9C">
        <w:t>–</w:t>
      </w:r>
      <w:r w:rsidRPr="00932A9C">
        <w:tab/>
        <w:t>έχοντας υπόψη τον κανονισμό (ΕΕ) αριθ. 1173/2011 του Ευρωπαϊκού Κοινοβουλίου και του Συμβουλίου, της 16ης Νοεμβρίου 2011, για την αποτελεσματική επιβολή της δημοσιονομικής εποπτείας στη ζώνη του ευρώ</w:t>
      </w:r>
      <w:r w:rsidR="002A6E01">
        <w:rPr>
          <w:rStyle w:val="FootnoteReference"/>
        </w:rPr>
        <w:footnoteReference w:id="5"/>
      </w:r>
      <w:r w:rsidRPr="00932A9C">
        <w:t>,</w:t>
      </w:r>
    </w:p>
    <w:p w14:paraId="14E11E54" w14:textId="7A430703" w:rsidR="006441D5" w:rsidRPr="00932A9C" w:rsidRDefault="006441D5" w:rsidP="006441D5">
      <w:pPr>
        <w:pStyle w:val="NormalHanging"/>
      </w:pPr>
      <w:r w:rsidRPr="00932A9C">
        <w:t>–</w:t>
      </w:r>
      <w:r w:rsidRPr="00932A9C">
        <w:tab/>
        <w:t>έχοντας υπόψη τον κανονισμό (ΕΕ) αριθ. 1174/2011 του Ευρωπαϊκού Κοινοβουλίου και του Συμβουλίου, της 16ης Νοεμβρίου 2011, σχετικά με κατασταλτικά μέτρα για τη διόρθωση των υπερβολικών μακροοικονομικών ανισορροπιών στην ευρωζώνη</w:t>
      </w:r>
      <w:r w:rsidR="002A6E01">
        <w:rPr>
          <w:rStyle w:val="FootnoteReference"/>
        </w:rPr>
        <w:footnoteReference w:id="6"/>
      </w:r>
      <w:r w:rsidRPr="00932A9C">
        <w:t>,</w:t>
      </w:r>
    </w:p>
    <w:p w14:paraId="1B5531A4" w14:textId="02C049E9" w:rsidR="006441D5" w:rsidRPr="00932A9C" w:rsidRDefault="006441D5" w:rsidP="006441D5">
      <w:pPr>
        <w:pStyle w:val="NormalHanging"/>
      </w:pPr>
      <w:r w:rsidRPr="00932A9C">
        <w:t>–</w:t>
      </w:r>
      <w:r w:rsidRPr="00932A9C">
        <w:tab/>
        <w:t>έχοντας υπόψη τον κανονισμό (ΕΕ) αριθ. 1176/2011 του Ευρωπαϊκού Κοινοβουλίου και του Συμβουλίου, της 16ης Νοεμβρίου 2011, σχετικά με την πρόληψη και τη διόρθωση των υπερβολικών μακροοικονομικών ανισορροπιών</w:t>
      </w:r>
      <w:r w:rsidR="002A6E01">
        <w:rPr>
          <w:rStyle w:val="FootnoteReference"/>
        </w:rPr>
        <w:footnoteReference w:id="7"/>
      </w:r>
      <w:r w:rsidRPr="00932A9C">
        <w:t>,</w:t>
      </w:r>
    </w:p>
    <w:p w14:paraId="2E5E321A" w14:textId="3027F21E" w:rsidR="006441D5" w:rsidRPr="00932A9C" w:rsidRDefault="006441D5" w:rsidP="006441D5">
      <w:pPr>
        <w:pStyle w:val="NormalHanging"/>
      </w:pPr>
      <w:r w:rsidRPr="00932A9C">
        <w:t>–</w:t>
      </w:r>
      <w:r w:rsidRPr="00932A9C">
        <w:tab/>
        <w:t>έχοντας υπόψη τον κανονισμό (ΕΕ) αριθ. 472/2013 του Ευρωπαϊκού Κοινοβουλίου και του Συμβουλίου, της 21ης Μαΐου 2013, για την ενίσχυση της οικονομικής και δημοσιονομικής εποπτείας των κρατών μελών στη ζώνη του ευρώ τα οποία αντιμετωπίζουν ή απειλούνται με σοβαρές δυσκολίες αναφορικά με τη χρηματοοικονομική τους σταθερότητα</w:t>
      </w:r>
      <w:r w:rsidR="002A6E01">
        <w:rPr>
          <w:rStyle w:val="FootnoteReference"/>
        </w:rPr>
        <w:footnoteReference w:id="8"/>
      </w:r>
      <w:r w:rsidRPr="00932A9C">
        <w:t>,</w:t>
      </w:r>
    </w:p>
    <w:p w14:paraId="6EB4DAE5" w14:textId="5ABEF0FC" w:rsidR="006441D5" w:rsidRPr="00932A9C" w:rsidRDefault="006441D5" w:rsidP="006441D5">
      <w:pPr>
        <w:pStyle w:val="NormalHanging"/>
      </w:pPr>
      <w:r w:rsidRPr="00932A9C">
        <w:t>–</w:t>
      </w:r>
      <w:r w:rsidRPr="00932A9C">
        <w:tab/>
        <w:t>έχοντας υπόψη τον κανονισμό (ΕΕ) αριθ. 473/2013 του Ευρωπαϊκού Κοινοβουλίου και του Συμβουλίου, της 21ης Μαΐου 2013, σχετικά με κοινές διατάξεις για την παρακολούθηση και την εκτίμηση των σχεδίων δημοσιονομικών προγραμμάτων και τη διασφάλιση της διόρθωσης του υπερβολικού ελλείμματος των κρατών μελών στη ζώνη του ευρώ</w:t>
      </w:r>
      <w:r w:rsidR="002A6E01">
        <w:rPr>
          <w:rStyle w:val="FootnoteReference"/>
        </w:rPr>
        <w:footnoteReference w:id="9"/>
      </w:r>
      <w:r w:rsidRPr="00932A9C">
        <w:t>,</w:t>
      </w:r>
    </w:p>
    <w:p w14:paraId="2B3E8006" w14:textId="77777777" w:rsidR="006441D5" w:rsidRPr="00932A9C" w:rsidRDefault="006441D5" w:rsidP="006441D5">
      <w:pPr>
        <w:pStyle w:val="NormalHanging"/>
      </w:pPr>
      <w:r w:rsidRPr="00932A9C">
        <w:t>–</w:t>
      </w:r>
      <w:r w:rsidRPr="00932A9C">
        <w:tab/>
        <w:t>έχοντας υπόψη τις εαρινές οικονομικές προβλέψεις της Επιτροπής, του 2025, που δημοσιεύτηκαν στις 19 Μαΐου 2025,</w:t>
      </w:r>
    </w:p>
    <w:p w14:paraId="17C23156" w14:textId="77777777" w:rsidR="006441D5" w:rsidRPr="00932A9C" w:rsidRDefault="006441D5" w:rsidP="006441D5">
      <w:pPr>
        <w:pStyle w:val="NormalHanging"/>
      </w:pPr>
      <w:r w:rsidRPr="00932A9C">
        <w:t>–</w:t>
      </w:r>
      <w:r w:rsidRPr="00932A9C">
        <w:tab/>
        <w:t>έχοντας υπόψη τις φθινοπωρινές οικονομικές προβλέψεις της Επιτροπής, του 2025, που δημοσιεύτηκαν στις 17 Νοεμβρίου 2025,</w:t>
      </w:r>
    </w:p>
    <w:p w14:paraId="0FEB6AD7" w14:textId="77777777" w:rsidR="006441D5" w:rsidRPr="00932A9C" w:rsidRDefault="006441D5" w:rsidP="006441D5">
      <w:pPr>
        <w:pStyle w:val="NormalHanging"/>
      </w:pPr>
      <w:r w:rsidRPr="00932A9C">
        <w:lastRenderedPageBreak/>
        <w:t>–</w:t>
      </w:r>
      <w:r w:rsidRPr="00932A9C">
        <w:tab/>
        <w:t>έχοντας υπόψη τη φθινοπωρινή δέσμη μέτρων στο πλαίσιο του Ευρωπαϊκού Εξαμήνου του 2026 της Επιτροπής, που δημοσιεύτηκε στις 25 Νοεμβρίου 2025,</w:t>
      </w:r>
    </w:p>
    <w:p w14:paraId="556E6F3B" w14:textId="77777777" w:rsidR="006441D5" w:rsidRPr="00932A9C" w:rsidRDefault="006441D5" w:rsidP="006441D5">
      <w:pPr>
        <w:pStyle w:val="NormalHanging"/>
      </w:pPr>
      <w:r w:rsidRPr="00932A9C">
        <w:t>–</w:t>
      </w:r>
      <w:r w:rsidRPr="00932A9C">
        <w:tab/>
        <w:t>έχοντας υπόψη το έγγραφο της Επιτροπής για την παρακολούθηση της βιωσιμότητας του χρέους 2024, που δημοσιεύτηκε στις 17 Μαρτίου 2025,</w:t>
      </w:r>
    </w:p>
    <w:p w14:paraId="08ADFBF6" w14:textId="1CA6FD50" w:rsidR="006441D5" w:rsidRPr="00932A9C" w:rsidRDefault="006441D5" w:rsidP="006441D5">
      <w:pPr>
        <w:pStyle w:val="NormalHanging"/>
      </w:pPr>
      <w:r w:rsidRPr="00932A9C">
        <w:t>–</w:t>
      </w:r>
      <w:r w:rsidRPr="00932A9C">
        <w:tab/>
        <w:t xml:space="preserve">έχοντας υπόψη την ανακοίνωση της Επιτροπής, της 19ης Μαρτίου 2025, με τίτλο </w:t>
      </w:r>
      <w:r w:rsidR="00E70588">
        <w:t>«</w:t>
      </w:r>
      <w:proofErr w:type="spellStart"/>
      <w:r w:rsidRPr="00932A9C">
        <w:t>Accommodating</w:t>
      </w:r>
      <w:proofErr w:type="spellEnd"/>
      <w:r w:rsidRPr="00932A9C">
        <w:t xml:space="preserve"> </w:t>
      </w:r>
      <w:proofErr w:type="spellStart"/>
      <w:r w:rsidRPr="00932A9C">
        <w:t>increased</w:t>
      </w:r>
      <w:proofErr w:type="spellEnd"/>
      <w:r w:rsidRPr="00932A9C">
        <w:t xml:space="preserve"> </w:t>
      </w:r>
      <w:proofErr w:type="spellStart"/>
      <w:r w:rsidRPr="00932A9C">
        <w:t>defence</w:t>
      </w:r>
      <w:proofErr w:type="spellEnd"/>
      <w:r w:rsidRPr="00932A9C">
        <w:t xml:space="preserve"> </w:t>
      </w:r>
      <w:proofErr w:type="spellStart"/>
      <w:r w:rsidRPr="00932A9C">
        <w:t>expenditure</w:t>
      </w:r>
      <w:proofErr w:type="spellEnd"/>
      <w:r w:rsidRPr="00932A9C">
        <w:t xml:space="preserve"> </w:t>
      </w:r>
      <w:proofErr w:type="spellStart"/>
      <w:r w:rsidRPr="00932A9C">
        <w:t>within</w:t>
      </w:r>
      <w:proofErr w:type="spellEnd"/>
      <w:r w:rsidRPr="00932A9C">
        <w:t xml:space="preserve"> the </w:t>
      </w:r>
      <w:proofErr w:type="spellStart"/>
      <w:r w:rsidRPr="00932A9C">
        <w:t>Stability</w:t>
      </w:r>
      <w:proofErr w:type="spellEnd"/>
      <w:r w:rsidRPr="00932A9C">
        <w:t xml:space="preserve"> and </w:t>
      </w:r>
      <w:proofErr w:type="spellStart"/>
      <w:r w:rsidRPr="00932A9C">
        <w:t>Growth</w:t>
      </w:r>
      <w:proofErr w:type="spellEnd"/>
      <w:r w:rsidRPr="00932A9C">
        <w:t xml:space="preserve"> </w:t>
      </w:r>
      <w:proofErr w:type="spellStart"/>
      <w:r w:rsidRPr="00932A9C">
        <w:t>Pact</w:t>
      </w:r>
      <w:proofErr w:type="spellEnd"/>
      <w:r w:rsidR="00E70588">
        <w:t>»</w:t>
      </w:r>
      <w:r w:rsidRPr="00932A9C">
        <w:t xml:space="preserve"> (Κάλυψη των αυξημένων αμυντικών δαπανών στο πλαίσιο του συμφώνου σταθερότητας και ανάπτυξης) (C(2025)2000),</w:t>
      </w:r>
    </w:p>
    <w:p w14:paraId="15A7B176" w14:textId="77777777" w:rsidR="006441D5" w:rsidRPr="00932A9C" w:rsidRDefault="006441D5" w:rsidP="006441D5">
      <w:pPr>
        <w:pStyle w:val="NormalHanging"/>
      </w:pPr>
      <w:r w:rsidRPr="00932A9C">
        <w:t>–</w:t>
      </w:r>
      <w:r w:rsidRPr="00932A9C">
        <w:tab/>
        <w:t>έχοντας υπόψη την ετήσια έκθεση 2025 του Ευρωπαϊκού Δημοσιονομικού Συμβουλίου, η οποία δημοσιεύτηκε στις 22 Οκτωβρίου 2025,</w:t>
      </w:r>
    </w:p>
    <w:p w14:paraId="5D4FABF8" w14:textId="1980B082" w:rsidR="006441D5" w:rsidRPr="00932A9C" w:rsidRDefault="006441D5" w:rsidP="006441D5">
      <w:pPr>
        <w:pStyle w:val="NormalHanging"/>
      </w:pPr>
      <w:r w:rsidRPr="00932A9C">
        <w:t>–</w:t>
      </w:r>
      <w:r w:rsidRPr="00932A9C">
        <w:tab/>
        <w:t xml:space="preserve">έχοντας υπόψη την έκθεση του </w:t>
      </w:r>
      <w:proofErr w:type="spellStart"/>
      <w:r w:rsidRPr="00932A9C">
        <w:t>Mario</w:t>
      </w:r>
      <w:proofErr w:type="spellEnd"/>
      <w:r w:rsidRPr="00932A9C">
        <w:t xml:space="preserve"> </w:t>
      </w:r>
      <w:proofErr w:type="spellStart"/>
      <w:r w:rsidRPr="00932A9C">
        <w:t>Draghi</w:t>
      </w:r>
      <w:proofErr w:type="spellEnd"/>
      <w:r w:rsidRPr="00932A9C">
        <w:t xml:space="preserve">, της 9ης Σεπτεμβρίου 2024, σχετικά με το μέλλον της ευρωπαϊκής ανταγωνιστικότητας (έκθεση </w:t>
      </w:r>
      <w:proofErr w:type="spellStart"/>
      <w:r w:rsidRPr="00932A9C">
        <w:t>Draghi</w:t>
      </w:r>
      <w:proofErr w:type="spellEnd"/>
      <w:r w:rsidRPr="00932A9C">
        <w:t>),</w:t>
      </w:r>
    </w:p>
    <w:p w14:paraId="54853A76" w14:textId="790039C0" w:rsidR="006441D5" w:rsidRPr="00932A9C" w:rsidRDefault="006441D5" w:rsidP="006441D5">
      <w:pPr>
        <w:pStyle w:val="NormalHanging"/>
      </w:pPr>
      <w:r w:rsidRPr="00932A9C">
        <w:t>–</w:t>
      </w:r>
      <w:r w:rsidRPr="00932A9C">
        <w:tab/>
        <w:t>έχοντας υπόψη την κοινή ανακοίνωση της Επιτροπής και της Ύπατης Εκπροσώπου της Ένωσης για θέματα κοινής εξωτερικής πολιτικής και πολιτικής ασφαλείας, της 19ης</w:t>
      </w:r>
      <w:r w:rsidR="00E70588">
        <w:t> </w:t>
      </w:r>
      <w:r w:rsidRPr="00932A9C">
        <w:t>Μαρτίου 2025, με τίτλο «Λευκή Βίβλος για την ευρωπαϊκή άμυνα – Ετοιμότητα με ορίζοντα το 2030» (JOIN(2025)0120),</w:t>
      </w:r>
    </w:p>
    <w:p w14:paraId="162093E4" w14:textId="77777777" w:rsidR="006441D5" w:rsidRPr="00932A9C" w:rsidRDefault="006441D5" w:rsidP="006441D5">
      <w:pPr>
        <w:pStyle w:val="NormalHanging"/>
      </w:pPr>
      <w:r w:rsidRPr="00932A9C">
        <w:t>–</w:t>
      </w:r>
      <w:r w:rsidRPr="00932A9C">
        <w:tab/>
        <w:t>έχοντας υπόψη την έκθεση του Κοινού Κέντρου Ερευνών της Ευρωπαϊκής Επιτροπής με τίτλο «</w:t>
      </w:r>
      <w:proofErr w:type="spellStart"/>
      <w:r w:rsidRPr="00932A9C">
        <w:t>Measuring</w:t>
      </w:r>
      <w:proofErr w:type="spellEnd"/>
      <w:r w:rsidRPr="00932A9C">
        <w:t xml:space="preserve"> </w:t>
      </w:r>
      <w:proofErr w:type="spellStart"/>
      <w:r w:rsidRPr="00932A9C">
        <w:t>sustainable</w:t>
      </w:r>
      <w:proofErr w:type="spellEnd"/>
      <w:r w:rsidRPr="00932A9C">
        <w:t xml:space="preserve"> and </w:t>
      </w:r>
      <w:proofErr w:type="spellStart"/>
      <w:r w:rsidRPr="00932A9C">
        <w:t>inclusive</w:t>
      </w:r>
      <w:proofErr w:type="spellEnd"/>
      <w:r w:rsidRPr="00932A9C">
        <w:t xml:space="preserve"> </w:t>
      </w:r>
      <w:proofErr w:type="spellStart"/>
      <w:r w:rsidRPr="00932A9C">
        <w:t>well-being</w:t>
      </w:r>
      <w:proofErr w:type="spellEnd"/>
      <w:r w:rsidRPr="00932A9C">
        <w:t xml:space="preserve">: A </w:t>
      </w:r>
      <w:proofErr w:type="spellStart"/>
      <w:r w:rsidRPr="00932A9C">
        <w:t>multidimensional</w:t>
      </w:r>
      <w:proofErr w:type="spellEnd"/>
      <w:r w:rsidRPr="00932A9C">
        <w:t xml:space="preserve"> </w:t>
      </w:r>
      <w:proofErr w:type="spellStart"/>
      <w:r w:rsidRPr="00932A9C">
        <w:t>dashboard</w:t>
      </w:r>
      <w:proofErr w:type="spellEnd"/>
      <w:r w:rsidRPr="00932A9C">
        <w:t xml:space="preserve"> </w:t>
      </w:r>
      <w:proofErr w:type="spellStart"/>
      <w:r w:rsidRPr="00932A9C">
        <w:t>approach</w:t>
      </w:r>
      <w:proofErr w:type="spellEnd"/>
      <w:r w:rsidRPr="00932A9C">
        <w:t>» (Μέτρηση της βιώσιμης και συμπεριληπτικής ευημερίας: μια πολυδιάστατη προσέγγιση πίνακα δεικτών), που δημοσιεύτηκε στις 28 Ιανουαρίου 2025,</w:t>
      </w:r>
    </w:p>
    <w:p w14:paraId="7AD64F31" w14:textId="77777777" w:rsidR="006441D5" w:rsidRPr="00932A9C" w:rsidRDefault="006441D5" w:rsidP="006441D5">
      <w:pPr>
        <w:pStyle w:val="NormalHanging"/>
      </w:pPr>
      <w:r w:rsidRPr="00932A9C">
        <w:t>–</w:t>
      </w:r>
      <w:r w:rsidRPr="00932A9C">
        <w:tab/>
        <w:t>έχοντας υπόψη τη διοργανική διακήρυξη για τον ευρωπαϊκό πυλώνα κοινωνικών δικαιωμάτων της 13ης Δεκεμβρίου 2017,</w:t>
      </w:r>
    </w:p>
    <w:p w14:paraId="0AA901F1" w14:textId="77777777" w:rsidR="006441D5" w:rsidRPr="00932A9C" w:rsidRDefault="006441D5" w:rsidP="006441D5">
      <w:pPr>
        <w:pStyle w:val="NormalHanging"/>
      </w:pPr>
      <w:r w:rsidRPr="00932A9C">
        <w:t>–</w:t>
      </w:r>
      <w:r w:rsidRPr="00932A9C">
        <w:tab/>
        <w:t xml:space="preserve">έχοντας υπόψη τη δήλωση της </w:t>
      </w:r>
      <w:proofErr w:type="spellStart"/>
      <w:r w:rsidRPr="00932A9C">
        <w:t>La</w:t>
      </w:r>
      <w:proofErr w:type="spellEnd"/>
      <w:r w:rsidRPr="00932A9C">
        <w:t xml:space="preserve"> </w:t>
      </w:r>
      <w:proofErr w:type="spellStart"/>
      <w:r w:rsidRPr="00932A9C">
        <w:t>Hulpe</w:t>
      </w:r>
      <w:proofErr w:type="spellEnd"/>
      <w:r w:rsidRPr="00932A9C">
        <w:t>, της 16ης Απριλίου 2024, σχετικά με το μέλλον του ευρωπαϊκού πυλώνα κοινωνικών δικαιωμάτων,</w:t>
      </w:r>
    </w:p>
    <w:p w14:paraId="10BC26D6" w14:textId="77777777" w:rsidR="006441D5" w:rsidRPr="00932A9C" w:rsidRDefault="006441D5" w:rsidP="006441D5">
      <w:pPr>
        <w:pStyle w:val="NormalHanging"/>
      </w:pPr>
      <w:r w:rsidRPr="00932A9C">
        <w:t>–</w:t>
      </w:r>
      <w:r w:rsidRPr="00932A9C">
        <w:tab/>
        <w:t>έχοντας υπόψη την κοινωνική δέσμευση του Πόρτο, της 7ης Μαΐου 2021, μεταξύ του Συμβουλίου, της Επιτροπής, του Κοινοβουλίου και των κοινωνικών εταίρων,</w:t>
      </w:r>
    </w:p>
    <w:p w14:paraId="1D2AA0A2" w14:textId="77777777" w:rsidR="006441D5" w:rsidRPr="00932A9C" w:rsidRDefault="006441D5" w:rsidP="006441D5">
      <w:pPr>
        <w:pStyle w:val="NormalHanging"/>
      </w:pPr>
      <w:r w:rsidRPr="00932A9C">
        <w:t>–</w:t>
      </w:r>
      <w:r w:rsidRPr="00932A9C">
        <w:tab/>
        <w:t>έχοντας υπόψη το άρθρο 55 του Κανονισμού του,</w:t>
      </w:r>
    </w:p>
    <w:p w14:paraId="076125DF" w14:textId="77777777" w:rsidR="006441D5" w:rsidRPr="00932A9C" w:rsidRDefault="006441D5" w:rsidP="006441D5">
      <w:pPr>
        <w:pStyle w:val="NormalHanging"/>
      </w:pPr>
      <w:r w:rsidRPr="00932A9C">
        <w:t>–</w:t>
      </w:r>
      <w:r w:rsidRPr="00932A9C">
        <w:tab/>
        <w:t>έχοντας υπόψη τη γνωμοδότηση της Επιτροπής Προϋπολογισμών,</w:t>
      </w:r>
    </w:p>
    <w:p w14:paraId="34F68646" w14:textId="77777777" w:rsidR="006441D5" w:rsidRPr="00932A9C" w:rsidRDefault="006441D5" w:rsidP="006441D5">
      <w:pPr>
        <w:pStyle w:val="NormalHanging"/>
      </w:pPr>
      <w:r w:rsidRPr="00932A9C">
        <w:t>–</w:t>
      </w:r>
      <w:r w:rsidRPr="00932A9C">
        <w:tab/>
        <w:t>έχοντας υπόψη την έκθεση της Επιτροπής Οικονομικής και Νομισματικής Πολιτικής (A10-0036/2026),</w:t>
      </w:r>
    </w:p>
    <w:p w14:paraId="7089EFFD" w14:textId="77777777" w:rsidR="006441D5" w:rsidRPr="00932A9C" w:rsidRDefault="006441D5" w:rsidP="006441D5">
      <w:pPr>
        <w:pStyle w:val="NormalHanging"/>
      </w:pPr>
      <w:r w:rsidRPr="00932A9C">
        <w:t>Α.</w:t>
      </w:r>
      <w:r w:rsidRPr="00932A9C">
        <w:tab/>
        <w:t>λαμβάνοντας υπόψη ότι το Ευρωπαϊκό Εξάμηνο διαδραματίζει ουσιαστικό ρόλο στον συντονισμό και την ευθυγράμμιση των οικονομικών και δημοσιονομικών πολιτικών των κρατών μελών, με σκοπό τη διασφάλιση της μακροοικονομικής σταθερότητας της Οικονομικής και Νομισματικής Ένωσης και την επίτευξη μιας κοινωνικά δίκαιης μετάβασης προς μια βιώσιμη οικονομία·</w:t>
      </w:r>
    </w:p>
    <w:p w14:paraId="76C89E77" w14:textId="77777777" w:rsidR="006441D5" w:rsidRPr="00932A9C" w:rsidRDefault="006441D5" w:rsidP="006441D5">
      <w:pPr>
        <w:pStyle w:val="NormalHanging"/>
      </w:pPr>
      <w:r w:rsidRPr="00932A9C">
        <w:lastRenderedPageBreak/>
        <w:t>Β.</w:t>
      </w:r>
      <w:r w:rsidRPr="00932A9C">
        <w:tab/>
        <w:t>λαμβάνοντας υπόψη ότι οι συστάσεις του Ευρωπαϊκού Εξαμήνου του 2026 θα διαδραματίσουν ουσιαστικό ρόλο στη διαμόρφωση των εθνικών και περιφερειακών σχεδίων εταιρικής σχέσης που θα καταρτίσουν τα κράτη μέλη·</w:t>
      </w:r>
    </w:p>
    <w:p w14:paraId="09742841" w14:textId="77777777" w:rsidR="006441D5" w:rsidRPr="00932A9C" w:rsidRDefault="006441D5" w:rsidP="006441D5">
      <w:pPr>
        <w:pStyle w:val="NormalHanging"/>
      </w:pPr>
      <w:r w:rsidRPr="00932A9C">
        <w:t>Γ.</w:t>
      </w:r>
      <w:r w:rsidRPr="00932A9C">
        <w:tab/>
        <w:t>λαμβάνοντας υπόψη ότι οι ειδικές συστάσεις ανά χώρα (ΣΑΧ) στο πλαίσιο του Ευρωπαϊκού Εξαμήνου περιλαμβάνουν τακτικά περικοπές στις κοινωνικές δαπάνες, ενώ αντιμετωπίζουν ελάχιστα την αύξηση των εσόδων·</w:t>
      </w:r>
    </w:p>
    <w:p w14:paraId="4839042E" w14:textId="77777777" w:rsidR="006441D5" w:rsidRPr="00932A9C" w:rsidRDefault="006441D5" w:rsidP="006441D5">
      <w:pPr>
        <w:pStyle w:val="NormalHanging"/>
      </w:pPr>
      <w:r w:rsidRPr="00932A9C">
        <w:t>Δ.</w:t>
      </w:r>
      <w:r w:rsidRPr="00932A9C">
        <w:tab/>
        <w:t>λαμβάνοντας υπόψη ότι οι οικονομικές προοπτικές παραμένουν αβέβαιες, κυρίως λόγω της εισβολής της Ρωσίας στην Ουκρανία και της αβεβαιότητας που δημιουργούν οι πολιτικές προστατευτισμού, οι δασμοί και οι εμπορικές εντάσεις, στοιχεία που έχουν όλα αρνητικό αντίκτυπο στην οικονομία·</w:t>
      </w:r>
    </w:p>
    <w:p w14:paraId="4E6225E3" w14:textId="77777777" w:rsidR="006441D5" w:rsidRPr="00932A9C" w:rsidRDefault="006441D5" w:rsidP="006441D5">
      <w:pPr>
        <w:pStyle w:val="NormalHanging"/>
      </w:pPr>
      <w:r w:rsidRPr="00932A9C">
        <w:t>Ε.</w:t>
      </w:r>
      <w:r w:rsidRPr="00932A9C">
        <w:tab/>
        <w:t>λαμβάνοντας υπόψη ότι, σύμφωνα με τις οικονομικές προβλέψεις της Επιτροπής του φθινοπώρου του 2025, η αύξηση του ΑΕΠ στην ΕΕ αναμένεται να προσεγγίσει τη δυνητική ανάπτυξη, με την πλήρη απασχόληση και τον πληθωρισμό να πλησιάζουν το επιδιωκόμενο επίπεδο, αν και ο πληθωρισμός παραμένει αυξημένος σε ορισμένα κράτη μέλη·</w:t>
      </w:r>
    </w:p>
    <w:p w14:paraId="265452C1" w14:textId="77777777" w:rsidR="006441D5" w:rsidRPr="00932A9C" w:rsidRDefault="006441D5" w:rsidP="006441D5">
      <w:pPr>
        <w:pStyle w:val="NormalHanging"/>
      </w:pPr>
      <w:r w:rsidRPr="00932A9C">
        <w:t>ΣΤ.</w:t>
      </w:r>
      <w:r w:rsidRPr="00932A9C">
        <w:tab/>
        <w:t>λαμβάνοντας υπόψη ότι, για την ΕΕ στο σύνολό της, η Επιτροπή προβλέπει ανάπτυξη από 1,4 % έως 1,5 % μεταξύ 2025 και 2027, ενώ στη ζώνη του ευρώ η δυναμική αναμένεται να είναι χαμηλότερη (1,2 % έως 1,4 %)· λαμβάνοντας υπόψη ότι η δυνητική ανάπτυξη στην ΕΕ αναμένεται να μειωθεί από περίπου 1,5 % το 2024 σε 1,3 % το 2027 (στη ζώνη του ευρώ από 1,4 % σε 1,2 %), κυρίως λόγω των δυσμενών δημογραφικών τάσεων·</w:t>
      </w:r>
    </w:p>
    <w:p w14:paraId="0BF76F10" w14:textId="77777777" w:rsidR="006441D5" w:rsidRPr="00932A9C" w:rsidRDefault="006441D5" w:rsidP="006441D5">
      <w:pPr>
        <w:pStyle w:val="NormalHanging"/>
      </w:pPr>
      <w:r w:rsidRPr="00932A9C">
        <w:t>Ζ.</w:t>
      </w:r>
      <w:r w:rsidRPr="00932A9C">
        <w:tab/>
        <w:t xml:space="preserve">λαμβάνοντας υπόψη ότι η ΕΕ έχει τεράστιες επενδυτικές ανάγκες, στις οποίες περιλαμβάνονται πρόσθετες ετήσιες επενδύσεις ύψους 800 δισεκατομμυρίων EUR, τις οποίες η έκθεση Draghi θεωρεί απαραίτητες για την ενίσχυση της ανταγωνιστικότητας και της παραγωγικότητας της Ευρώπης, συμπεριλαμβανομένων 450 δισεκατομμυρίων EUR μόνο για την ενεργειακή μετάβαση, εκ των οποίων 260 δισεκατομμύρια EUR θα πρέπει να προέλθουν από τον δημόσιο τομέα σύμφωνα με το </w:t>
      </w:r>
      <w:proofErr w:type="spellStart"/>
      <w:r w:rsidRPr="00932A9C">
        <w:t>Institut</w:t>
      </w:r>
      <w:proofErr w:type="spellEnd"/>
      <w:r w:rsidRPr="00932A9C">
        <w:t xml:space="preserve"> </w:t>
      </w:r>
      <w:proofErr w:type="spellStart"/>
      <w:r w:rsidRPr="00932A9C">
        <w:t>Rousseau</w:t>
      </w:r>
      <w:proofErr w:type="spellEnd"/>
      <w:r w:rsidRPr="00932A9C">
        <w:t xml:space="preserve">· λαμβάνοντας υπόψη ότι προβλέπονται πρόσθετες επενδύσεις ύψους 800 δισεκατομμυρίων EUR για αμυντικές δαπάνες στο πλαίσιο του σχεδίου </w:t>
      </w:r>
      <w:proofErr w:type="spellStart"/>
      <w:r w:rsidRPr="00932A9C">
        <w:t>ReArm</w:t>
      </w:r>
      <w:proofErr w:type="spellEnd"/>
      <w:r w:rsidRPr="00932A9C">
        <w:t xml:space="preserve"> Europe/</w:t>
      </w:r>
      <w:proofErr w:type="spellStart"/>
      <w:r w:rsidRPr="00932A9C">
        <w:t>Readiness</w:t>
      </w:r>
      <w:proofErr w:type="spellEnd"/>
      <w:r w:rsidRPr="00932A9C">
        <w:t xml:space="preserve"> 2030· λαμβάνοντας υπόψη ότι οι εν λόγω επενδυτικοί στόχοι δεν διαθέτουν αντίστοιχους νέους ιδίους πόρους, με αποτέλεσμα η Ένωση να μην διαθέτει τη δημοσιονομική ικανότητα που απαιτείται για την επίτευξη των δεδηλωμένων στόχων της· λαμβάνοντας υπόψη ότι οι ανάγκες αυτές δεν μπορούν να καλυφθούν μόνο με δημόσια χρηματοδότηση·</w:t>
      </w:r>
    </w:p>
    <w:p w14:paraId="2E6C6E17" w14:textId="77777777" w:rsidR="006441D5" w:rsidRPr="00932A9C" w:rsidRDefault="006441D5" w:rsidP="006441D5">
      <w:pPr>
        <w:pStyle w:val="NormalHanging"/>
      </w:pPr>
      <w:r w:rsidRPr="00932A9C">
        <w:t>Η.</w:t>
      </w:r>
      <w:r w:rsidRPr="00932A9C">
        <w:tab/>
        <w:t>λαμβάνοντας υπόψη ότι η ΕΕ αντιμετωπίζει σημαντικές προκλήσεις, που κυμαίνονται από συνεχείς απειλές στα ανατολικά σύνορά της που συνδέονται με τον επιθετικό πόλεμο της Ρωσίας κατά της Ουκρανίας έως τη γεωπολιτική αστάθεια και αβεβαιότητα στο εμπόριο, ενώ παραμένουν μακροπρόθεσμες προκλήσεις, όπως η πράσινη και η ψηφιακή μετάβαση·</w:t>
      </w:r>
    </w:p>
    <w:p w14:paraId="10C82174" w14:textId="77777777" w:rsidR="006441D5" w:rsidRPr="00932A9C" w:rsidRDefault="006441D5" w:rsidP="006441D5">
      <w:pPr>
        <w:pStyle w:val="NormalHanging"/>
      </w:pPr>
      <w:r w:rsidRPr="00932A9C">
        <w:t>Θ.</w:t>
      </w:r>
      <w:r w:rsidRPr="00932A9C">
        <w:tab/>
        <w:t xml:space="preserve">λαμβάνοντας υπόψη ότι η ΣΛΕΕ ορίζει τιμές αναφοράς ύψους έως και 3 % για το δημόσιο έλλειμμα και 60 % για τον λόγο του χρέους προς το ΑΕΠ· λαμβάνοντας υπόψη ότι το ονομαστικό έλλειμμα και ο λόγος του δημόσιου χρέους προς το ΑΕΠ της ΕΕ παραμένουν πάνω από τις τιμές αναφοράς· λαμβάνοντας υπόψη ότι τόσο το ονομαστικό </w:t>
      </w:r>
      <w:r w:rsidRPr="00932A9C">
        <w:lastRenderedPageBreak/>
        <w:t>έλλειμμα όσο και ο λόγος του δημόσιου χρέους προς το ΑΕΠ ποικίλλουν στην ΕΕ, με σημαντικά διαφορετικές καταστάσεις μεταξύ των κρατών μελών·</w:t>
      </w:r>
    </w:p>
    <w:p w14:paraId="68B82259" w14:textId="77777777" w:rsidR="006441D5" w:rsidRPr="00932A9C" w:rsidRDefault="006441D5" w:rsidP="006441D5">
      <w:pPr>
        <w:pStyle w:val="NormalHanging"/>
      </w:pPr>
      <w:r w:rsidRPr="00932A9C">
        <w:t>Ι.</w:t>
      </w:r>
      <w:r w:rsidRPr="00932A9C">
        <w:tab/>
        <w:t>λαμβάνοντας υπόψη ότι, από τη θέσπιση αυτής της διαδικασίας το 2011, το Συμβούλιο δεν έχει κινήσει καμία διαδικασία σχετικά με τις υπερβολικές μακροοικονομικές ανισορροπίες·</w:t>
      </w:r>
    </w:p>
    <w:p w14:paraId="7B0AADE9" w14:textId="77777777" w:rsidR="006441D5" w:rsidRPr="00932A9C" w:rsidRDefault="006441D5" w:rsidP="006441D5">
      <w:pPr>
        <w:pStyle w:val="NormalHanging"/>
      </w:pPr>
      <w:r w:rsidRPr="00932A9C">
        <w:t>ΙΑ.</w:t>
      </w:r>
      <w:r w:rsidRPr="00932A9C">
        <w:tab/>
        <w:t>λαμβάνοντας υπόψη ότι η παρούσα Επιτροπή έχει δεσμευτεί να είναι «Επιτροπή επενδύσεων» και βασίζεται στη στήριξη του Κοινοβουλίου, ως συννομοθέτη, ώστε να λαμβάνονται σημαντικά μέτρα για την ενίσχυση των επενδύσεων της ΕΕ σε επίπεδο ανάλογο με τις ανάγκες της πράσινης και της ψηφιακής μετάβασης· λαμβάνοντας υπόψη ότι η Επιτροπή δεν έχει ακόμη προτείνει κατάλληλη αντίδραση στις μαζικές επενδυτικές απαιτήσεις της Ένωσης, ιδίως δεδομένου ότι ο Μηχανισμός Ανάκαμψης και Ανθεκτικότητας (ΜΑΑ) θα λήξει στα τέλη του 2026·</w:t>
      </w:r>
    </w:p>
    <w:p w14:paraId="63BEADF7" w14:textId="77777777" w:rsidR="006441D5" w:rsidRPr="00932A9C" w:rsidRDefault="006441D5" w:rsidP="006441D5">
      <w:pPr>
        <w:pStyle w:val="NormalHanging"/>
      </w:pPr>
      <w:r w:rsidRPr="00932A9C">
        <w:t>ΙΒ.</w:t>
      </w:r>
      <w:r w:rsidRPr="00932A9C">
        <w:tab/>
        <w:t>λαμβάνοντας υπόψη ότι προηγούμενες κρίσεις, συμπεριλαμβανομένης της πανδημίας COVID-19, κατέδειξαν ότι μια κοινή και συντονισμένη ευρωπαϊκή αντίδραση ενισχύει την Ένωση· λαμβάνοντας υπόψη ότι, σε ένα ανταγωνιστικό γεωοικονομικό περιβάλλον, η Ευρώπη μπορεί να διαφυλάξει τα συμφέροντα και τις αξίες της μόνο μέσω της ενότητας, κάτι που τονίζει την ανάγκη για ισχυρά πλαίσια μακροοικονομικής πολιτικής και ακόμη στενότερο συντονισμό των οικονομικών και κοινωνικών πολιτικών μέσω του Ευρωπαϊκού Εξαμήνου·</w:t>
      </w:r>
    </w:p>
    <w:p w14:paraId="2524D358" w14:textId="77777777" w:rsidR="006441D5" w:rsidRPr="00932A9C" w:rsidRDefault="006441D5" w:rsidP="006441D5">
      <w:pPr>
        <w:pStyle w:val="Normal12a"/>
      </w:pPr>
      <w:r w:rsidRPr="00932A9C">
        <w:rPr>
          <w:b/>
          <w:i/>
        </w:rPr>
        <w:t>Οικονομικές προοπτικές για την ΕΕ</w:t>
      </w:r>
    </w:p>
    <w:p w14:paraId="10CC9F0E" w14:textId="5B3849EF" w:rsidR="006441D5" w:rsidRPr="00932A9C" w:rsidRDefault="008C4F9A" w:rsidP="008C4F9A">
      <w:pPr>
        <w:pStyle w:val="NormalHanging12a"/>
        <w:ind w:left="567" w:hanging="570"/>
      </w:pPr>
      <w:r w:rsidRPr="00932A9C">
        <w:t>1.</w:t>
      </w:r>
      <w:r w:rsidRPr="00932A9C">
        <w:tab/>
      </w:r>
      <w:r w:rsidR="006441D5" w:rsidRPr="00932A9C">
        <w:t>σημειώνει ότι, κατά τη τελευταία πενταετία, η ΕΕ έχει αντιμετωπίσει σημαντικές προκλήσεις, στις οποίες συγκαταλέγονται η πανδημία COVID-19 και ο παράλογος και αδικαιολόγητος πόλεμος της Ρωσίας κατά της Ουκρανίας, με σημαντικές οικονομικές επιπτώσεις· σημειώνει την ταχύτητα και τον αντίκτυπο των πρωτοβουλιών και των μέσων σε επίπεδο ΕΕ για την αντιμετώπιση των οικονομικών και κοινωνικών συνεπειών που προκύπτουν από εξωτερικούς κλυδωνισμούς, ιδίως του ΜΑΑ και του ευρωπαϊκού μέσου προσωρινής στήριξης για τον μετριασμό των κινδύνων ανεργίας σε κατάσταση έκτακτης ανάγκης (SURE)·</w:t>
      </w:r>
    </w:p>
    <w:p w14:paraId="14FE8586" w14:textId="76B3650B" w:rsidR="006441D5" w:rsidRPr="00932A9C" w:rsidRDefault="008C4F9A" w:rsidP="008C4F9A">
      <w:pPr>
        <w:pStyle w:val="NormalHanging12a"/>
        <w:ind w:left="567" w:hanging="570"/>
      </w:pPr>
      <w:r w:rsidRPr="00932A9C">
        <w:t>2.</w:t>
      </w:r>
      <w:r w:rsidRPr="00932A9C">
        <w:tab/>
      </w:r>
      <w:r w:rsidR="006441D5" w:rsidRPr="00932A9C">
        <w:t>σημειώνει ότι, σύμφωνα με τις φθινοπωρινές οικονομικές προβλέψεις της Επιτροπής του 2025, οι οποίες δημοσιεύτηκαν στις 17 Νοεμβρίου 2025, το ΑΕΠ της ΕΕ αναμένεται να αυξηθεί κατά 1,4 % το 2025 σε σύγκριση με το 2024 και κατά 1,4 % το 2026· παρατηρεί ότι, με βάση τις προβλέψεις αυτές, η ΕΕ εξακολουθεί να υστερεί σημαντικά σε σχέση με τις ΗΠΑ και την Κίνα όσον αφορά τις προσδοκίες ανάπτυξης· επισημαίνει ότι, παρά τις σημαντικές προκλήσεις, η ζώνη του ευρώ και η ΕΕ έχουν επιδείξει ανθεκτικότητα·</w:t>
      </w:r>
    </w:p>
    <w:p w14:paraId="03552A51" w14:textId="2E00FB3F" w:rsidR="006441D5" w:rsidRPr="00932A9C" w:rsidRDefault="008C4F9A" w:rsidP="008C4F9A">
      <w:pPr>
        <w:pStyle w:val="NormalHanging12a"/>
        <w:ind w:left="567" w:hanging="570"/>
      </w:pPr>
      <w:r w:rsidRPr="00932A9C">
        <w:t>3.</w:t>
      </w:r>
      <w:r w:rsidRPr="00932A9C">
        <w:tab/>
      </w:r>
      <w:r w:rsidR="006441D5" w:rsidRPr="00932A9C">
        <w:t>σημειώνει ότι η δυνητική ανάπτυξη, η οποία σηματοδοτεί τον ρυθμό ανάπτυξης που μπορεί να διατηρήσει μια οικονομία χωρίς υπερβολικό πληθωρισμό, αναμένεται να μειωθεί από 1,5 % το 2024 σε 1,3 % το 2027 στην ΕΕ, και από 1,4 % σε 1,2 % στη ζώνη του ευρώ, καθώς επιβραδύνεται η αύξηση του πληθυσμού σε ηλικία εργασίας· θεωρεί ότι αυτά τα επίπεδα δυνητικής ανάπτυξης είναι υπερβολικά χαμηλά προκειμένου να αντιμετωπιστούν οι προκλήσεις που θα αντιμετωπίσει η ευρωπαϊκή οικονομία τα επόμενα χρόνια·</w:t>
      </w:r>
    </w:p>
    <w:p w14:paraId="75452796" w14:textId="088694A4" w:rsidR="006441D5" w:rsidRPr="00932A9C" w:rsidRDefault="008C4F9A" w:rsidP="008C4F9A">
      <w:pPr>
        <w:pStyle w:val="NormalHanging12a"/>
        <w:ind w:left="567" w:hanging="570"/>
      </w:pPr>
      <w:r w:rsidRPr="00932A9C">
        <w:lastRenderedPageBreak/>
        <w:t>4.</w:t>
      </w:r>
      <w:r w:rsidRPr="00932A9C">
        <w:tab/>
      </w:r>
      <w:r w:rsidR="006441D5" w:rsidRPr="00932A9C">
        <w:t>σημειώνει ότι, σύμφωνα με τις φθινοπωρινές οικονομικές προβλέψεις της Επιτροπής για το 2025, το συνολικό έλλειμμα της ζώνης του ευρώ προβλέπεται να αυξηθεί από 3,1 % του ΑΕΠ το 2024 σε 3,2 % του ΑΕΠ το 2025· σημειώνει ότι, με βάση τις τρέχουσες πολιτικές, το έλλειμμα αναμένεται να αυξηθεί στο 3,3 % του ΑΕΠ το 2026·</w:t>
      </w:r>
    </w:p>
    <w:p w14:paraId="790C8E3E" w14:textId="2A57E205" w:rsidR="006441D5" w:rsidRPr="00932A9C" w:rsidRDefault="008C4F9A" w:rsidP="008C4F9A">
      <w:pPr>
        <w:pStyle w:val="NormalHanging12a"/>
        <w:ind w:left="567" w:hanging="570"/>
      </w:pPr>
      <w:r w:rsidRPr="00932A9C">
        <w:t>5.</w:t>
      </w:r>
      <w:r w:rsidRPr="00932A9C">
        <w:tab/>
      </w:r>
      <w:r w:rsidR="006441D5" w:rsidRPr="00932A9C">
        <w:t>σημειώνει ότι 12 κράτη μέλη αναμένεται να έχουν ελλείμματα που υπερβαίνουν το 3 % του ΑΕΠ το 2027 και ότι 10 κράτη μέλη υπόκεινται σε διαδικασίες υπερβολικού ελλείμματος·</w:t>
      </w:r>
    </w:p>
    <w:p w14:paraId="71B9CEE4" w14:textId="7B2A8C5E" w:rsidR="006441D5" w:rsidRPr="00932A9C" w:rsidRDefault="008C4F9A" w:rsidP="008C4F9A">
      <w:pPr>
        <w:pStyle w:val="NormalHanging12a"/>
        <w:ind w:left="567" w:hanging="570"/>
      </w:pPr>
      <w:r w:rsidRPr="00932A9C">
        <w:t>6.</w:t>
      </w:r>
      <w:r w:rsidRPr="00932A9C">
        <w:tab/>
      </w:r>
      <w:r w:rsidR="006441D5" w:rsidRPr="00932A9C">
        <w:t>σημειώνει ότι ο λόγος του ακαθάριστου δημόσιου χρέους ως προς το ΑΕΠ στην ΕΕ αναμένεται να ανέλθει στο 82,8 % το 2025 και προβλέπεται να αυξηθεί στο 83,8 % το 2026 και στο 84,5 % το 2027, υπερβαίνοντας την τιμή αναφοράς του 60 % για τα επιμέρους κράτη μέλη, όπως κατοχυρώνεται στις Συνθήκες· σημειώνει ότι το δημόσιο χρέος στη ζώνη του ευρώ προβλέπεται να αυξηθεί στο 89,8 % το 2026 και στο 90,4 % το 2027· σημειώνει ότι τα επίπεδα χρέους παρουσιάζουν σημαντικές διαφορές μεταξύ των κρατών μελών·</w:t>
      </w:r>
    </w:p>
    <w:p w14:paraId="0042F01A" w14:textId="2837AE68" w:rsidR="006441D5" w:rsidRPr="00932A9C" w:rsidRDefault="008C4F9A" w:rsidP="008C4F9A">
      <w:pPr>
        <w:pStyle w:val="NormalHanging12a"/>
        <w:ind w:left="567" w:hanging="570"/>
      </w:pPr>
      <w:r w:rsidRPr="00932A9C">
        <w:t>7.</w:t>
      </w:r>
      <w:r w:rsidRPr="00932A9C">
        <w:tab/>
      </w:r>
      <w:r w:rsidR="006441D5" w:rsidRPr="00932A9C">
        <w:t>καλεί τα κράτη μέλη να ακολουθήσουν συνετές δημοσιονομικές πολιτικές με σκοπό τη διασφάλιση της βιωσιμότητας του δημόσιου χρέους·</w:t>
      </w:r>
    </w:p>
    <w:p w14:paraId="2301BEE2" w14:textId="189506EF" w:rsidR="006441D5" w:rsidRPr="00932A9C" w:rsidRDefault="008C4F9A" w:rsidP="008C4F9A">
      <w:pPr>
        <w:pStyle w:val="NormalHanging12a"/>
        <w:ind w:left="567" w:hanging="570"/>
      </w:pPr>
      <w:r w:rsidRPr="00932A9C">
        <w:t>8.</w:t>
      </w:r>
      <w:r w:rsidRPr="00932A9C">
        <w:tab/>
      </w:r>
      <w:r w:rsidR="006441D5" w:rsidRPr="00932A9C">
        <w:t>υπενθυμίζει ότι τα ακραία καιρικά φαινόμενα έχουν σημαντικό αντίκτυπο στα δημόσια οικονομικά· αναγνωρίζει ότι ο αντίκτυπος και η συχνότητα των ακραίων καιρικών φαινομένων θα αυξηθούν τα επόμενα χρόνια·</w:t>
      </w:r>
    </w:p>
    <w:p w14:paraId="1504A8BE" w14:textId="79A3B649" w:rsidR="006441D5" w:rsidRPr="00932A9C" w:rsidRDefault="008C4F9A" w:rsidP="008C4F9A">
      <w:pPr>
        <w:pStyle w:val="NormalHanging12a"/>
        <w:ind w:left="567" w:hanging="570"/>
      </w:pPr>
      <w:r w:rsidRPr="00932A9C">
        <w:t>9.</w:t>
      </w:r>
      <w:r w:rsidRPr="00932A9C">
        <w:tab/>
      </w:r>
      <w:r w:rsidR="006441D5" w:rsidRPr="00932A9C">
        <w:t>εκφράζει την ικανοποίησή του για το γεγονός ότι ο πληθωρισμός στη ζώνη του ευρώ μειώθηκε στο επίπεδο-στόχο της Ευρωπαϊκής Κεντρικής Τράπεζας μετά την κορύφωσή του στο 10,6 % τον Οκτώβριο του 2022· σημειώνει, ωστόσο, ότι εξακολουθούν να υπάρχουν διαφορές στα επίπεδα του πληθωρισμού μεταξύ των κρατών μελών, με υψηλότερα επίπεδα σε ορισμένα κράτη μέλη, συμπεριλαμβανομένων όσων διαθέτουν ενεργοβόρες βιομηχανίες· σημειώνει ότι τόσο ο δομικός πληθωρισμός όσο και οι προσδοκίες για τον πληθωρισμό εξακολουθούν να υπερβαίνουν το επίπεδο-στόχο· υπογραμμίζει τον συνεχιζόμενο αντίκτυπο του πληθωρισμού των τροφίμων και της ενέργειας στα ευρωπαϊκά νοικοκυριά· σημειώνει ότι ο πληθωρισμός επηρεάζει άνισα τις εισοδηματικές ομάδες, με τα νοικοκυριά χαμηλού εισοδήματος να πλήττονται περισσότερο·</w:t>
      </w:r>
    </w:p>
    <w:p w14:paraId="6ECA2B35" w14:textId="7C94F5B9" w:rsidR="006441D5" w:rsidRPr="00932A9C" w:rsidRDefault="008C4F9A" w:rsidP="008C4F9A">
      <w:pPr>
        <w:pStyle w:val="NormalHanging12a"/>
        <w:ind w:left="567" w:hanging="570"/>
      </w:pPr>
      <w:r w:rsidRPr="00932A9C">
        <w:t>10.</w:t>
      </w:r>
      <w:r w:rsidRPr="00932A9C">
        <w:tab/>
      </w:r>
      <w:r w:rsidR="006441D5" w:rsidRPr="00932A9C">
        <w:t xml:space="preserve">εκφράζει ανησυχία για το γεγονός ότι οι ανεπαρκείς ιδιωτικές και δημόσιες επενδύσεις ενδέχεται να παρεμποδίσουν τη βιώσιμη ανάπτυξη και την ανταγωνιστικότητα στην Ευρώπη και να αποτρέψουν την ΕΕ από την επίτευξη των κοινών προτεραιοτήτων που τίθενται στο στρατηγικό θεματολόγιο της ΕΕ για την περίοδο 2024-2029· τονίζει ότι τα κράτη μέλη πρέπει να εντείνουν τις προσπάθειές τους για την άρση των φραγμών και την κινητοποίηση μεγαλύτερων ιδιωτικών επενδύσεων σύμφωνα με τη στρατηγική της Επιτροπής για την Ένωση Αποταμιεύσεων και Επενδύσεων· αναγνωρίζει τον πολιτικό στόχο της Επιτροπής για απλούστευση του κανονιστικού πλαισίου και σημαντική μείωση του διοικητικού φόρτου για την προώθηση των ιδιωτικών επενδύσεων· επισημαίνει ότι απαιτούνται επειγόντως επενδύσεις σε τομείς όπως η έρευνα και ανάπτυξη, οι υποδομές και η καινοτομία για την αύξηση της δυνητικής ανάπτυξης της ΕΕ· τονίζει τον καίριο ρόλο του επόμενου πολυετούς δημοσιονομικού πλαισίου όχι μόνο για την παροχή δημόσιων επενδύσεων, αλλά και για τη συμβολή στην κινητοποίηση ιδιωτικών επενδύσεων και υπογραμμίζει, στο πλαίσιο αυτό, ότι τα χρηματοδοτικά μέσα και οι δημοσιονομικές εγγυήσεις αποτελούν ισχυρά και </w:t>
      </w:r>
      <w:r w:rsidR="006441D5" w:rsidRPr="00932A9C">
        <w:lastRenderedPageBreak/>
        <w:t>αποτελεσματικά εργαλεία για να επιτευχθούν κρίσιμοι στόχοι πολιτικής της ΕΕ, καθώς και έτοιμα προς χρήση χρηματοδοτικά μέσα σε επίπεδο ΕΕ·</w:t>
      </w:r>
    </w:p>
    <w:p w14:paraId="5CE87435" w14:textId="5DB179A7" w:rsidR="006441D5" w:rsidRPr="00932A9C" w:rsidRDefault="008C4F9A" w:rsidP="008C4F9A">
      <w:pPr>
        <w:pStyle w:val="NormalHanging12a"/>
        <w:ind w:left="567" w:hanging="570"/>
      </w:pPr>
      <w:r w:rsidRPr="00932A9C">
        <w:t>11.</w:t>
      </w:r>
      <w:r w:rsidRPr="00932A9C">
        <w:tab/>
      </w:r>
      <w:r w:rsidR="006441D5" w:rsidRPr="00932A9C">
        <w:t>σημειώνει ότι η ευρωπαϊκή μακροοικονομική έκθεση της Επιτροπής αναγνωρίζει ότι η οικονομική προσιτότητα της στέγασης αποτελεί μακροοικονομικό και κοινωνικό ζήτημα, ιδίως με την επιβολή δυνητικών περιορισμών στην κινητικότητα του εργατικού δυναμικού και την αποδυνάμωση της αύξησης της παραγωγικότητας μακροπρόθεσμα·</w:t>
      </w:r>
    </w:p>
    <w:p w14:paraId="5CBEFB14" w14:textId="54A1C939" w:rsidR="006441D5" w:rsidRPr="00932A9C" w:rsidRDefault="008C4F9A" w:rsidP="008C4F9A">
      <w:pPr>
        <w:pStyle w:val="NormalHanging12a"/>
        <w:ind w:left="567" w:hanging="570"/>
      </w:pPr>
      <w:r w:rsidRPr="00932A9C">
        <w:t>12.</w:t>
      </w:r>
      <w:r w:rsidRPr="00932A9C">
        <w:tab/>
      </w:r>
      <w:r w:rsidR="006441D5" w:rsidRPr="00932A9C">
        <w:t xml:space="preserve">επισημαίνει ότι μια συνεπής και </w:t>
      </w:r>
      <w:r w:rsidR="002326E1">
        <w:t>στοχευμένη</w:t>
      </w:r>
      <w:r w:rsidR="002326E1" w:rsidRPr="00932A9C">
        <w:t xml:space="preserve"> </w:t>
      </w:r>
      <w:r w:rsidR="006441D5" w:rsidRPr="00932A9C">
        <w:t>βιομηχανική πολιτική είναι ζωτικής σημασίας για τη στήριξη του τεχνολογικού μετασχηματισμού της ΕΕ, τη διασφάλιση ανθεκτικών αλυσίδων εφοδιασμού και τη διατήρηση ανταγωνιστικών και μη στρεβλωμένων αγορών·</w:t>
      </w:r>
    </w:p>
    <w:p w14:paraId="25B328B3" w14:textId="5A67A13F" w:rsidR="006441D5" w:rsidRPr="00932A9C" w:rsidRDefault="008C4F9A" w:rsidP="008C4F9A">
      <w:pPr>
        <w:pStyle w:val="NormalHanging12a"/>
        <w:ind w:left="567" w:hanging="570"/>
      </w:pPr>
      <w:r w:rsidRPr="00932A9C">
        <w:t>13.</w:t>
      </w:r>
      <w:r w:rsidRPr="00932A9C">
        <w:tab/>
      </w:r>
      <w:r w:rsidR="006441D5" w:rsidRPr="00932A9C">
        <w:t>σημειώνει ότι, κατά μέσο όρο, το ποσοστό απασχόλησης στην ΕΕ έχει φτάσει σε πρωτοφανές υψηλό επίπεδο, το οποίο αντικατοπτρίζει μια δυναμική αγορά εργασίας στα περισσότερα κράτη μέλη· σημειώνει την ενσωμάτωση του πλαισίου κοινωνικής σύγκλισης στο Ευρωπαϊκό Εξάμηνο· επισημαίνει ότι το μοντέλο της επαγγελματικής εκπαίδευσης και κατάρτισης έχει αποδειχθεί επιτυχές στα κράτη μέλη που το έχουν επιλέξει· εκφράζει τη λύπη του διότι υπάρχουν μεγάλες διαφορές μεταξύ των κρατών μελών όσον αφορά τα ποσοστά ανεργίας, ιδίως όσον αφορά τους νέους·</w:t>
      </w:r>
    </w:p>
    <w:p w14:paraId="652D2D39" w14:textId="6C3C2516" w:rsidR="006441D5" w:rsidRPr="00932A9C" w:rsidRDefault="008C4F9A" w:rsidP="008C4F9A">
      <w:pPr>
        <w:pStyle w:val="NormalHanging12a"/>
        <w:ind w:left="567" w:hanging="570"/>
      </w:pPr>
      <w:r w:rsidRPr="00932A9C">
        <w:t>14.</w:t>
      </w:r>
      <w:r w:rsidRPr="00932A9C">
        <w:tab/>
      </w:r>
      <w:r w:rsidR="006441D5" w:rsidRPr="00932A9C">
        <w:t>επαναλαμβάνει ότι είναι σημαντικό να διασφαλιστούν ισότιμοι όροι ανταγωνισμού στην ενιαία αγορά και καλεί τα κράτη μέλη να αναλάβουν δράση για την εμβάθυνση της ενιαίας αγοράς με την εξάλειψη των εσωτερικών φραγμών·</w:t>
      </w:r>
    </w:p>
    <w:p w14:paraId="112CC784" w14:textId="77777777" w:rsidR="006441D5" w:rsidRPr="00932A9C" w:rsidRDefault="006441D5" w:rsidP="006441D5">
      <w:pPr>
        <w:pStyle w:val="Normal12a"/>
        <w:rPr>
          <w:b/>
          <w:bCs/>
          <w:i/>
          <w:iCs/>
        </w:rPr>
      </w:pPr>
      <w:r w:rsidRPr="00932A9C">
        <w:rPr>
          <w:b/>
          <w:bCs/>
          <w:i/>
          <w:iCs/>
        </w:rPr>
        <w:t>Εφαρμογή του αναθεωρημένου πλαισίου οικονομικής διακυβέρνησης της ΕΕ</w:t>
      </w:r>
    </w:p>
    <w:p w14:paraId="7DEEC454" w14:textId="2638CDCE" w:rsidR="006441D5" w:rsidRPr="00932A9C" w:rsidRDefault="008C4F9A" w:rsidP="008C4F9A">
      <w:pPr>
        <w:pStyle w:val="NormalHanging12a"/>
        <w:ind w:left="567" w:hanging="570"/>
      </w:pPr>
      <w:r w:rsidRPr="00932A9C">
        <w:t>15.</w:t>
      </w:r>
      <w:r w:rsidRPr="00932A9C">
        <w:tab/>
      </w:r>
      <w:r w:rsidR="006441D5" w:rsidRPr="00932A9C">
        <w:t xml:space="preserve">υπενθυμίζει ότι σκοπός της μεταρρύθμισης του πλαισίου οικονομικής διακυβέρνησης είναι να καταστεί απλούστερο, διαφανέστερο και αποτελεσματικότερο με μεγαλύτερη ανάληψη εθνικής ευθύνης και καλύτερη επιβολή, και να βελτιωθεί η ικανότητά του να αντιμετωπίζει την ανομοιογένεια των δημοσιονομικών θέσεων, του δημόσιου χρέους και των οικονομικών προκλήσεων, και να συμβάλει στην αντιμετώπιση των μεσοπρόθεσμων και μακροπρόθεσμων προκλήσεων που αντιμετωπίζουν η ΕΕ και τα κράτη μέλη της, μεταξύ άλλων με την προώθηση </w:t>
      </w:r>
      <w:proofErr w:type="spellStart"/>
      <w:r w:rsidR="006441D5" w:rsidRPr="00932A9C">
        <w:t>αντικυκλικών</w:t>
      </w:r>
      <w:proofErr w:type="spellEnd"/>
      <w:r w:rsidR="006441D5" w:rsidRPr="00932A9C">
        <w:t xml:space="preserve"> δημοσιονομικών πολιτικών·</w:t>
      </w:r>
    </w:p>
    <w:p w14:paraId="4BEEBF41" w14:textId="09192F50" w:rsidR="006441D5" w:rsidRPr="00932A9C" w:rsidRDefault="008C4F9A" w:rsidP="008C4F9A">
      <w:pPr>
        <w:pStyle w:val="NormalHanging12a"/>
        <w:ind w:left="567" w:hanging="570"/>
      </w:pPr>
      <w:r w:rsidRPr="00932A9C">
        <w:t>16.</w:t>
      </w:r>
      <w:r w:rsidRPr="00932A9C">
        <w:tab/>
      </w:r>
      <w:r w:rsidR="006441D5" w:rsidRPr="00932A9C">
        <w:t>επισημαίνει ότι, βάσει του μεταρρυθμισμένου πλαισίου οικονομικής διακυβέρνησης, η αύξηση των καθαρών δαπανών είναι ο ενιαίος λειτουργικός δείκτης για την παρακολούθηση της συμμόρφωσης των κρατών μελών με τις αντίστοιχες συστάσεις του Συμβουλίου· επισημαίνει ότι πολλά κράτη μέλη θα εξακολουθήσουν να αντιμετωπίζουν ανεπαρκή δημοσιονομική ικανότητα για την κάλυψη ουσιαστικών επενδυτικών αναγκών· σημειώνει ότι η εθνική ρήτρα διαφυγής (NEC) έχει ήδη ενεργοποιηθεί για αμυντικές δαπάνες ένα μόνο έτος μετά την έναρξη ισχύος των αναθεωρημένων κανόνων ως βραχυπρόθεσμη απάντηση σε έκτακτα γεγονότα που εκφεύγουν του ελέγχου μιας χώρας· υπογραμμίζει ότι η εθνική ρήτρα διαφυγής προορίζεται για προσωρινές, ειδικές ανά χώρα καταστάσεις έκτακτης ανάγκης και δεν είναι κατάλληλη για την αντιμετώπιση μακροπρόθεσμων διαρθρωτικών αναγκών·</w:t>
      </w:r>
    </w:p>
    <w:p w14:paraId="212BFA74" w14:textId="485BE97D" w:rsidR="006441D5" w:rsidRPr="00932A9C" w:rsidRDefault="008C4F9A" w:rsidP="008C4F9A">
      <w:pPr>
        <w:pStyle w:val="NormalHanging12a"/>
        <w:ind w:left="567" w:hanging="570"/>
      </w:pPr>
      <w:r w:rsidRPr="00932A9C">
        <w:t>17.</w:t>
      </w:r>
      <w:r w:rsidRPr="00932A9C">
        <w:tab/>
      </w:r>
      <w:r w:rsidR="006441D5" w:rsidRPr="00932A9C">
        <w:t xml:space="preserve">τονίζει ότι η Επιτροπή έχει διευρύνει τις διακριτικές εξουσίες της βάσει του μεταρρυθμισμένου πλαισίου οικονομικής διακυβέρνησης, ιδίως μέσω της διαδικασίας στην οποία στηρίζονται τα μεσοπρόθεσμα δημοσιονομικά-διαρθρωτικά σχέδια· </w:t>
      </w:r>
      <w:r w:rsidR="006441D5" w:rsidRPr="00932A9C">
        <w:lastRenderedPageBreak/>
        <w:t>σημειώνει τη διαπίστωση του Ευρωπαϊκού Δημοσιονομικού Συμβουλίου ότι η Επιτροπή χρησιμοποίησε κάποια μορφή διακριτικής ευχέρειας όταν καθυστερούσε ή αποφάσιζε να μην κινηθούν διαδικασίες υπερβολικού ελλείμματος· τονίζει ότι η ομοιόμορφη εφαρμογή των δημοσιονομικών κανόνων της ΕΕ είναι υψίστης σημασίας προκειμένου να διατηρηθεί η αξιοπιστία του πλαισίου οικονομικής διακυβέρνησης, να διασφαλιστεί η ίση μεταχείριση των κρατών μελών και να διατηρηθεί μια συνεκτική και πραγματικά ευρωπαϊκή προσέγγιση·</w:t>
      </w:r>
    </w:p>
    <w:p w14:paraId="2F3405D0" w14:textId="1B027554" w:rsidR="006441D5" w:rsidRPr="00932A9C" w:rsidRDefault="008C4F9A" w:rsidP="008C4F9A">
      <w:pPr>
        <w:pStyle w:val="NormalHanging12a"/>
        <w:ind w:left="567" w:hanging="570"/>
      </w:pPr>
      <w:r w:rsidRPr="00932A9C">
        <w:t>18.</w:t>
      </w:r>
      <w:r w:rsidRPr="00932A9C">
        <w:tab/>
      </w:r>
      <w:r w:rsidR="006441D5" w:rsidRPr="00932A9C">
        <w:t>σημειώνει τις στοχευμένες τροποποιήσεις του πλαισίου οικονομικής διακυβέρνησης της ΕΕ που δημοσίευσε η Επιτροπή στις 2 Οκτωβρίου 2025 με στόχο την επίτευξη συνοχής μετά την πλέον πρόσφατη επικαιροποίηση του πλαισίου οικονομικής διακυβέρνησης·</w:t>
      </w:r>
    </w:p>
    <w:p w14:paraId="79CFD5F3" w14:textId="39CD7B5D" w:rsidR="006441D5" w:rsidRPr="00932A9C" w:rsidRDefault="008C4F9A" w:rsidP="008C4F9A">
      <w:pPr>
        <w:pStyle w:val="NormalHanging12a"/>
        <w:ind w:left="567" w:hanging="570"/>
      </w:pPr>
      <w:r w:rsidRPr="00932A9C">
        <w:t>19.</w:t>
      </w:r>
      <w:r w:rsidRPr="00932A9C">
        <w:tab/>
      </w:r>
      <w:r w:rsidR="006441D5" w:rsidRPr="00932A9C">
        <w:t>σημειώνει με ανησυχία τα πορίσματα του Ευρωπαϊκού Δημοσιονομικού Συμβουλίου, σύμφωνα με τα οποία περίπου τα μισά ανεξάρτητα δημοσιονομικά όργανα δεν συμμετείχαν επίσημα στην κατάρτιση των μεσοπρόθεσμων δημοσιονομικών-διαρθρωτικών σχεδίων· είναι της άποψης ότι η μεγαλύτερη συμμετοχή ανεξάρτητων δημοσιονομικών οργάνων θα αυξήσει τη διαφάνεια και την εξωτερική εποπτεία σε μια κρίσιμη στιγμή της μετάβασης·</w:t>
      </w:r>
    </w:p>
    <w:p w14:paraId="354FBFDE" w14:textId="77777777" w:rsidR="006441D5" w:rsidRPr="00932A9C" w:rsidRDefault="006441D5" w:rsidP="006441D5">
      <w:pPr>
        <w:pStyle w:val="Normal12a"/>
      </w:pPr>
      <w:r w:rsidRPr="00932A9C">
        <w:rPr>
          <w:b/>
          <w:i/>
        </w:rPr>
        <w:t>Δημοσιονομικός προσανατολισμός</w:t>
      </w:r>
    </w:p>
    <w:p w14:paraId="4F807366" w14:textId="6D0D7EFC" w:rsidR="006441D5" w:rsidRPr="00932A9C" w:rsidRDefault="008C4F9A" w:rsidP="008C4F9A">
      <w:pPr>
        <w:pStyle w:val="NormalHanging12a"/>
        <w:ind w:left="567" w:hanging="570"/>
      </w:pPr>
      <w:r w:rsidRPr="00932A9C">
        <w:t>20.</w:t>
      </w:r>
      <w:r w:rsidRPr="00932A9C">
        <w:tab/>
      </w:r>
      <w:r w:rsidR="006441D5" w:rsidRPr="00932A9C">
        <w:t>επισημαίνει ότι οι δημόσιες επενδύσεις έχουν αυξηθεί σημαντικά τα τελευταία χρόνια, με περίπου το ήμισυ της αύξησης από το 2019 έως το 2025 να χρηματοδοτείται από την ΕΕ, κυρίως μέσω του ΜΑΑ· σημειώνει ότι τα οφέλη αυτά αναμένεται να συνεχιστούν και μετά το 2026, με σημαντικές δευτερογενείς επιπτώσεις σε όλα τα κράτη μέλη, και ότι ο μακροπρόθεσμος αντίκτυπος των διαρθρωτικών μεταρρυθμίσεων θα μπορούσε να αυξήσει τη δυνητική παραγωγή της ζώνης του ευρώ έως και κατά 1,3 % του ΑΕΠ κατά την περίοδο 2020-2033 σε σύγκριση με ένα σενάριο χωρίς τον ΜΑΑ· εκφράζει ανησυχία για το γεγονός ότι ο ΜΑΑ λήγει το 2026 και για τον αντίκτυπο που αυτό ενδέχεται να έχει στον συνολικό δημοσιονομικό προσανατολισμό της ΕΕ· παροτρύνει τα κράτη μέλη να ολοκληρώσουν την εφαρμογή των οικείων σχεδίων ανάκαμψης και ανθεκτικότητας έως τον Αύγουστο του 2026· υπενθυμίζει ότι τα χρέος που προέκυψε από τη χρηματοδότηση του ΜΑΑ πρέπει να εξοφληθεί έως το 2058, με τρόπο που να διασφαλίζει τη σταθερή και προβλέψιμη μείωση των υποχρεώσεων·</w:t>
      </w:r>
    </w:p>
    <w:p w14:paraId="0DD80266" w14:textId="77D2CCF3" w:rsidR="006441D5" w:rsidRPr="00932A9C" w:rsidRDefault="008C4F9A" w:rsidP="008C4F9A">
      <w:pPr>
        <w:pStyle w:val="NormalHanging12a"/>
        <w:ind w:left="567" w:hanging="570"/>
      </w:pPr>
      <w:r w:rsidRPr="00932A9C">
        <w:t>21.</w:t>
      </w:r>
      <w:r w:rsidRPr="00932A9C">
        <w:tab/>
      </w:r>
      <w:r w:rsidR="006441D5" w:rsidRPr="00932A9C">
        <w:t>σημειώνει τη σύσταση της Επιτροπής ότι ο συνολικός δημοσιονομικός προσανατολισμός των κρατών μελών παραμένει σε γενικές γραμμές ουδέτερος το 2026, παρά τις σημαντικές διαφορές μεταξύ των κρατών μελών·</w:t>
      </w:r>
    </w:p>
    <w:p w14:paraId="32E0BD93" w14:textId="7C482C27" w:rsidR="006441D5" w:rsidRPr="00932A9C" w:rsidRDefault="008C4F9A" w:rsidP="008C4F9A">
      <w:pPr>
        <w:pStyle w:val="NormalHanging12a"/>
        <w:ind w:left="567" w:hanging="570"/>
      </w:pPr>
      <w:r w:rsidRPr="00932A9C">
        <w:t>22.</w:t>
      </w:r>
      <w:r w:rsidRPr="00932A9C">
        <w:tab/>
      </w:r>
      <w:r w:rsidR="006441D5" w:rsidRPr="00932A9C">
        <w:t>τονίζει ότι τα δημόσια έσοδα και οι δημόσιες δαπάνες είναι ζωτικής σημασίας για τη διασφάλιση της βιωσιμότητας των εθνικών προϋπολογισμών· υπενθυμίζει τη σύσταση του Συμβουλίου σχετικά με την οικονομική πολιτική της ζώνης του ευρώ, της 17ης</w:t>
      </w:r>
      <w:r w:rsidR="00E70588">
        <w:t> </w:t>
      </w:r>
      <w:r w:rsidR="006441D5" w:rsidRPr="00932A9C">
        <w:t>Φεβρουαρίου 2026, με την οποία ζητείται η μείωση των φορολογικών κενών μέσω της βελτίωσης της φορολογικής συμμόρφωσης, συμπεριλαμβανομένων της αντιμετώπισης της φοροαποφυγής και της φοροδιαφυγής, και της καταπολέμησης του επιθετικού φορολογικού σχεδιασμού· τονίζει ότι η ανεπαρκής επιβολή στη φορολογική διοίκηση και στην καταπολέμηση της φοροδιαφυγής και της φοροαποφυγής υπονομεύει τη δημοσιονομική βιωσιμότητα και συμβάλλει σε μακροοικονομικές ανισορροπίες·</w:t>
      </w:r>
    </w:p>
    <w:p w14:paraId="72D584EB" w14:textId="3FAA1DDB" w:rsidR="006441D5" w:rsidRPr="00932A9C" w:rsidRDefault="008C4F9A" w:rsidP="008C4F9A">
      <w:pPr>
        <w:pStyle w:val="NormalHanging12a"/>
        <w:ind w:left="567" w:hanging="570"/>
      </w:pPr>
      <w:r w:rsidRPr="00932A9C">
        <w:t>23.</w:t>
      </w:r>
      <w:r w:rsidRPr="00932A9C">
        <w:tab/>
      </w:r>
      <w:r w:rsidR="006441D5" w:rsidRPr="00932A9C">
        <w:t xml:space="preserve">σημειώνει την προγραμματική αλλαγή πολιτικής της Επιτροπής στον τρέχοντα κύκλο του Ευρωπαϊκού Εξαμήνου, στο πλαίσιο της οποίας η Πυξίδα Ανταγωνιστικότητας </w:t>
      </w:r>
      <w:r w:rsidR="006441D5" w:rsidRPr="00932A9C">
        <w:lastRenderedPageBreak/>
        <w:t>παρέχει καθοδήγηση για τη δέσμη μέτρων του Εξαμήνου αντί της ετήσιας έρευνας για τη βιώσιμη ανάπτυξη· επισημαίνει ότι η αλλαγή αυτή ενισχύει την εστίαση του πλαισίου του Εξαμήνου· τονίζει τη σημασία της συνέχειας όσον αφορά τις ΣΑΧ που έχουν σχεδιαστεί ως πολυετείς και μακροπρόθεσμες μεταρρυθμιστικές δεσμεύσεις και τις προσπάθειες των κρατών μελών να επιτύχουν μακροπρόθεσμους στόχους· καλεί την Επιτροπή να διασφαλίσει ένα ολιστικό όραμα για την ευρωπαϊκή ανταγωνιστικότητα και να διασφαλίσει ότι οι μακροπρόθεσμες προτεραιότητες μετάβασης εξακολουθούν να αντικατοπτρίζονται με συνέπεια και συνοχή στις ΣΑΧ σε διαδοχικούς κύκλους του Εξαμήνου·</w:t>
      </w:r>
    </w:p>
    <w:p w14:paraId="04592762" w14:textId="77777777" w:rsidR="006441D5" w:rsidRPr="00932A9C" w:rsidRDefault="006441D5" w:rsidP="006441D5">
      <w:pPr>
        <w:pStyle w:val="Normal12a"/>
      </w:pPr>
      <w:r w:rsidRPr="00932A9C">
        <w:rPr>
          <w:b/>
          <w:i/>
        </w:rPr>
        <w:t>Ειδικές ανά χώρα συστάσεις</w:t>
      </w:r>
    </w:p>
    <w:p w14:paraId="6B487F64" w14:textId="3E939AE5" w:rsidR="006441D5" w:rsidRPr="00932A9C" w:rsidRDefault="008C4F9A" w:rsidP="008C4F9A">
      <w:pPr>
        <w:pStyle w:val="NormalHanging12a"/>
        <w:ind w:left="567" w:hanging="570"/>
      </w:pPr>
      <w:r w:rsidRPr="00932A9C">
        <w:t>24.</w:t>
      </w:r>
      <w:r w:rsidRPr="00932A9C">
        <w:tab/>
      </w:r>
      <w:r w:rsidR="006441D5" w:rsidRPr="00932A9C">
        <w:t>σημειώνει ότι οι ΣΑΧ για κάθε κράτος μέλος περιέχουν σύσταση σχετικά με τη δημοσιονομική πολιτική, περιλαμβανομένων των δημοσιονομικών-διαρθρωτικών μεταρρυθμίσεων, κατά περίπτωση· σημειώνει τη δέσμευση της Επιτροπής να αξιοποιήσει το Ευρωπαϊκό Εξάμηνο για να προωθήσει την ανταγωνιστικότητα, τη σταθερότητα, την οικονομική ανάπτυξη, τη βιωσιμότητα και την κοινωνική δικαιοσύνη, καθώς και να ενσωματώσει τους Στόχους Βιώσιμης Ανάπτυξης των Ηνωμένων Εθνών και τον ευρωπαϊκό πυλώνα κοινωνικών δικαιωμάτων στο Ευρωπαϊκό Εξάμηνο· επισημαίνει ότι το Ευρωπαϊκό Εξάμηνο αποτελεί το βασικό εργαλείο για τον συντονισμό των οικονομικών και δημοσιονομικών πολιτικών των κρατών μελών, διασφαλίζοντας έτσι τη μακροοικονομική σταθερότητα της Οικονομικής και Νομισματικής Ένωσης· τονίζει τη σημασία των ΣΑΧ ως ακρογωνιαίου λίθου του συντονισμού της ευρωπαϊκής οικονομικής πολιτικής· υπενθυμίζει ότι οι ΣΑΧ είναι δράσεις πολιτικής που αποτελούν επίσης αναπόσπαστο μέρος των μεσοπρόθεσμων δημοσιονομικών-διαρθρωτικών σχεδίων, των εθνικών σχεδίων ανάκαμψης και ανθεκτικότητας και της ανακοινωθείσας πρότασης για τα σχέδια εθνικής και περιφερειακής εταιρικής σχέσης (ΕΠΕΣ)·</w:t>
      </w:r>
    </w:p>
    <w:p w14:paraId="574C0049" w14:textId="0796C86C" w:rsidR="006441D5" w:rsidRPr="00932A9C" w:rsidRDefault="008C4F9A" w:rsidP="008C4F9A">
      <w:pPr>
        <w:pStyle w:val="NormalHanging12a"/>
        <w:ind w:left="567" w:hanging="570"/>
      </w:pPr>
      <w:r w:rsidRPr="00932A9C">
        <w:t>25.</w:t>
      </w:r>
      <w:r w:rsidRPr="00932A9C">
        <w:tab/>
      </w:r>
      <w:r w:rsidR="006441D5" w:rsidRPr="00932A9C">
        <w:t>υπενθυμίζει τον ρόλο των ΣΑΧ στον συντονισμό των προτεραιοτήτων της ΕΕ· σημειώνει την έλλειψη προόδου στην αποτελεσματική εφαρμογή των ΣΑΧ· σημειώνει ότι, μεταξύ 2019 και 2023, το 25,1 % των ΣΑΧ σημείωσαν μηδενική ή περιορισμένη πρόοδο· καλεί την Επιτροπή να επανεξετάσει τον τρόπο με τον οποίο αναπτύσσονται και παρακολουθούνται οι ΣΑΧ, ιδίως όσον αφορά τον μελλοντικό ρόλο τους στην πρόσβαση σε κονδύλια της ΕΕ· υπενθυμίζει το αίτημά του για λιγότερες και πιο στοχευμένες ΣΑΧ·</w:t>
      </w:r>
    </w:p>
    <w:p w14:paraId="19B3CC29" w14:textId="7CF61529" w:rsidR="006441D5" w:rsidRPr="00932A9C" w:rsidRDefault="008C4F9A" w:rsidP="008C4F9A">
      <w:pPr>
        <w:pStyle w:val="NormalHanging12a"/>
        <w:ind w:left="567" w:hanging="570"/>
      </w:pPr>
      <w:r w:rsidRPr="00932A9C">
        <w:t>26.</w:t>
      </w:r>
      <w:r w:rsidRPr="00932A9C">
        <w:tab/>
      </w:r>
      <w:r w:rsidR="006441D5" w:rsidRPr="00932A9C">
        <w:t>σημειώνει τη φιλοδοξία της Επιτροπής να αποτυπώσει αποτελεσματικότερα, εντός των ΣΑΧ, τις δράσεις που είναι καθοριστικές για την Ένωση Αποταμιεύσεων και Επενδύσεων, όπως γνωστοποιήθηκε στην ανακοίνωσή της στις 19 Μαρτίου 2025</w:t>
      </w:r>
      <w:r w:rsidR="002A6E01">
        <w:rPr>
          <w:rStyle w:val="FootnoteReference"/>
        </w:rPr>
        <w:footnoteReference w:id="10"/>
      </w:r>
      <w:r w:rsidR="006441D5" w:rsidRPr="00932A9C">
        <w:t>·</w:t>
      </w:r>
    </w:p>
    <w:p w14:paraId="21ABF9FE" w14:textId="544F3020" w:rsidR="006441D5" w:rsidRPr="00932A9C" w:rsidRDefault="008C4F9A" w:rsidP="008C4F9A">
      <w:pPr>
        <w:pStyle w:val="NormalHanging12a"/>
        <w:ind w:left="567" w:hanging="570"/>
      </w:pPr>
      <w:r w:rsidRPr="00932A9C">
        <w:t>27.</w:t>
      </w:r>
      <w:r w:rsidRPr="00932A9C">
        <w:tab/>
      </w:r>
      <w:r w:rsidR="006441D5" w:rsidRPr="00932A9C">
        <w:t xml:space="preserve">σημειώνει ότι οι ΣΑΧ αναμένεται να διαδραματίσουν σημαντικότερο ρόλο στο επόμενο πολυετές δημοσιονομικό πλαίσιο όσον αφορά την καθοδήγηση των επενδύσεων και των μεταρρυθμίσεων σε εθνικό και περιφερειακό επίπεδο· πιστεύει ότι η επιλογή των μεταρρυθμίσεων και των επενδύσεων θα πρέπει να γίνεται με γνώμονα την αποτελεσματικότητά τους όσον αφορά την εφαρμογή των σχετικών ΣΑΧ για την επίτευξη σωστής μετάβασης προς μια πράσινη και ανταγωνιστική οικονομία· </w:t>
      </w:r>
      <w:r w:rsidR="006441D5" w:rsidRPr="00932A9C">
        <w:lastRenderedPageBreak/>
        <w:t>υπογραμμίζει ότι η διαδικασία αυτή πρέπει να συνοδεύεται από ισχυρότερο δημοκρατικό έλεγχο και μεγαλύτερη οικειοποίηση από τα κράτη μέλη·</w:t>
      </w:r>
    </w:p>
    <w:p w14:paraId="5DA2487C" w14:textId="7E566AE1" w:rsidR="006441D5" w:rsidRPr="00932A9C" w:rsidRDefault="008C4F9A" w:rsidP="008C4F9A">
      <w:pPr>
        <w:pStyle w:val="NormalHanging12a"/>
        <w:ind w:left="567" w:hanging="570"/>
      </w:pPr>
      <w:r w:rsidRPr="00932A9C">
        <w:t>28.</w:t>
      </w:r>
      <w:r w:rsidRPr="00932A9C">
        <w:tab/>
      </w:r>
      <w:r w:rsidR="006441D5" w:rsidRPr="00932A9C">
        <w:t>τονίζει την αυξανόμενη σημασία των ΣΑΧ που συνδέονται με τα εθνικά και περιφερειακά σχέδια εταιρικής σχέσης· εφιστά την προσοχή στο γεγονός ότι επί του παρόντος δεν υπάρχει διαφανής ή ανιχνεύσιμη μεθοδολογία για την ανάπτυξη και την επιλογή ΣΑΧ, ούτε σαφήνεια σχετικά με τους λόγους για τους οποίους προτείνονται ορισμένες ΣΑΧ και άλλες όχι, γεγονός που εγείρει ανησυχίες όσον αφορά τη λογοδοσία και την ίση μεταχείριση των κρατών μελών· καλεί την Επιτροπή να αποσαφηνίσει τις υποκείμενες διαδικασίες και τα κριτήρια επιλογής· υπογραμμίζει ότι οποιαδήποτε συνολική αύξηση της διακριτικής ευχέρειας της Επιτροπής πρέπει να συνοδεύεται από αντίστοιχους μηχανισμούς εκ των υστέρων λογοδοσίας και ουσιαστική βελτίωση της ροής πληροφοριών προς το Ευρωπαϊκό Κοινοβούλιο·</w:t>
      </w:r>
    </w:p>
    <w:p w14:paraId="35C39444" w14:textId="0DAE99FE" w:rsidR="006441D5" w:rsidRPr="00932A9C" w:rsidRDefault="008C4F9A" w:rsidP="008C4F9A">
      <w:pPr>
        <w:pStyle w:val="NormalHanging12a"/>
        <w:ind w:left="567" w:hanging="570"/>
      </w:pPr>
      <w:r w:rsidRPr="00932A9C">
        <w:t>29.</w:t>
      </w:r>
      <w:r w:rsidRPr="00932A9C">
        <w:tab/>
      </w:r>
      <w:r w:rsidR="006441D5" w:rsidRPr="00932A9C">
        <w:t>σημειώνει ότι οι ΣΑΧ του 2025 επικεντρώνονταν περισσότερο στην ανταγωνιστικότητα και την απλούστευση, σύμφωνα με τις προτεραιότητες που προσδιορίζονται στην Πυξίδα Ανταγωνιστικότητας, τονίζοντας παράλληλα την ανάγκη ενίσχυσης της επιστημονικής αριστείας, της έρευνας και της καινοτομίας, καθώς και της τεχνολογικής ανάπτυξης ως βασικών κινητήριων δυνάμεων της μακροπρόθεσμης παραγωγικότητας και ανθεκτικότητας· υπογραμμίζει ότι λιγότερες ΣΑΧ έχουν ως αντικείμενο τις κοινωνικές και κλιματικές πολιτικές· σημειώνει ότι, για ορισμένα κράτη μέλη, οι ΣΑΧ περιλαμβάνουν σύσταση για τη σταδιακή κατάργηση των επιδοτήσεων ορυκτών καυσίμων·</w:t>
      </w:r>
    </w:p>
    <w:p w14:paraId="2B1BB8AA" w14:textId="41950A08" w:rsidR="006441D5" w:rsidRPr="00932A9C" w:rsidRDefault="008C4F9A" w:rsidP="008C4F9A">
      <w:pPr>
        <w:pStyle w:val="NormalHanging12a"/>
        <w:ind w:left="567" w:hanging="570"/>
      </w:pPr>
      <w:r w:rsidRPr="00932A9C">
        <w:t>30.</w:t>
      </w:r>
      <w:r w:rsidRPr="00932A9C">
        <w:tab/>
      </w:r>
      <w:r w:rsidR="006441D5" w:rsidRPr="00932A9C">
        <w:t>σημειώνει ότι η Επιτροπή θεωρεί ότι η σύσταση για τη ζώνη του ευρώ αποτελεί πρωτίστως εργαλείο καθοδήγησης για τις συζητήσεις της Ευρωομάδας· καλεί, ωστόσο, την Επιτροπή να δώσει συνέχεια στις συστάσεις για τη ζώνη του ευρώ, μεταξύ άλλων λαμβάνοντας υπόψη τις συστάσεις αυτές κατά την εκπόνηση των ΣΑΧ· εκφράζει τη λύπη του για το γεγονός ότι, το 2025, η Επιτροπή δεν δημοσίευσε επισκόπηση της εφαρμογής των συστάσεων για τη ζώνη του ευρώ, όπως συνέβαινε στο πλαίσιο των εκθέσεων για τη ζώνη του ευρώ· σημειώνει ότι, το 2025, οι ΣΑΧ δεν περιελάμβαναν άμεσα οιεσδήποτε συστάσεις για την κλιματική αλλαγή·</w:t>
      </w:r>
    </w:p>
    <w:p w14:paraId="618821EE" w14:textId="77777777" w:rsidR="006441D5" w:rsidRPr="00932A9C" w:rsidRDefault="006441D5" w:rsidP="006441D5">
      <w:pPr>
        <w:pStyle w:val="Normal12a"/>
      </w:pPr>
      <w:r w:rsidRPr="00932A9C">
        <w:rPr>
          <w:b/>
          <w:i/>
        </w:rPr>
        <w:t>Κάλυψη του επενδυτικού χάσματος</w:t>
      </w:r>
    </w:p>
    <w:p w14:paraId="3E8A8EF0" w14:textId="1C7B4F11" w:rsidR="006441D5" w:rsidRPr="00932A9C" w:rsidRDefault="008C4F9A" w:rsidP="008C4F9A">
      <w:pPr>
        <w:pStyle w:val="NormalHanging12a"/>
        <w:ind w:left="567" w:hanging="570"/>
      </w:pPr>
      <w:r w:rsidRPr="00932A9C">
        <w:t>31.</w:t>
      </w:r>
      <w:r w:rsidRPr="00932A9C">
        <w:tab/>
      </w:r>
      <w:r w:rsidR="006441D5" w:rsidRPr="00932A9C">
        <w:t>υπενθυμίζει ότι η έκθεση Draghi κατέδειξε με σαφήνεια την ανάγκη να αυξηθούν οι δημόσιες και ιδιωτικές επενδύσεις και να επιδιωχθούν φιλόδοξες μεταρρυθμίσεις, ώστε να ενισχυθεί η ανταγωνιστικότητα της ΕΕ· καλεί την Επιτροπή και τα κράτη μέλη να παρουσιάσουν μια στρατηγική για την κάλυψη των επενδυτικών αναγκών μετά το 2026·</w:t>
      </w:r>
    </w:p>
    <w:p w14:paraId="649A611B" w14:textId="0FFA9D90" w:rsidR="006441D5" w:rsidRPr="00932A9C" w:rsidRDefault="008C4F9A" w:rsidP="008C4F9A">
      <w:pPr>
        <w:pStyle w:val="NormalHanging12a"/>
        <w:ind w:left="567" w:hanging="570"/>
      </w:pPr>
      <w:r w:rsidRPr="00932A9C">
        <w:t>32.</w:t>
      </w:r>
      <w:r w:rsidRPr="00932A9C">
        <w:tab/>
      </w:r>
      <w:r w:rsidR="006441D5" w:rsidRPr="00932A9C">
        <w:t>πιστεύει ότι το πλαίσιο οικονομικής διακυβέρνησης της ΕΕ θα πρέπει να συμπληρωθεί με μέσα και εργαλεία σε επίπεδο ΕΕ, κατά περίπτωση, ώστε να ελαχιστοποιηθεί το κόστος για τους φορολογούμενους της ΕΕ και να μεγιστοποιηθεί η αποτελεσματικότητα στην παροχή ευρωπαϊκών δημόσιων αγαθών και να αντιμετωπιστούν κρίσεις σε επίπεδο Ένωσης, όπως η συνεχιζόμενη κρίση στον τομέα της ασφάλειας και της άμυνας· σημειώνει ότι οι χρεωστικοί τίτλοι της ΕΕ θα μπορούσαν να χρησιμεύσουν ως σημείο αναφοράς, ενισχύοντας έτσι την ολοκλήρωση των χρηματοπιστωτικών αγορών της ΕΕ· ζητεί την εισαγωγή νέων ιδίων πόρων για τη χρηματοδότηση των πολιτικών της Ένωσης· υποστηρίζει τη δημιουργία του Ευρωπαϊκού Ταμείου Ανταγωνιστικότητας και του Ταμείου «</w:t>
      </w:r>
      <w:proofErr w:type="spellStart"/>
      <w:r w:rsidR="006441D5" w:rsidRPr="00932A9C">
        <w:t>Scaleup</w:t>
      </w:r>
      <w:proofErr w:type="spellEnd"/>
      <w:r w:rsidR="006441D5" w:rsidRPr="00932A9C">
        <w:t xml:space="preserve"> Europe»·</w:t>
      </w:r>
    </w:p>
    <w:p w14:paraId="118C336F" w14:textId="26511761" w:rsidR="006441D5" w:rsidRPr="00932A9C" w:rsidRDefault="008C4F9A" w:rsidP="008C4F9A">
      <w:pPr>
        <w:pStyle w:val="NormalHanging12a"/>
        <w:ind w:left="567" w:hanging="570"/>
      </w:pPr>
      <w:r w:rsidRPr="00932A9C">
        <w:lastRenderedPageBreak/>
        <w:t>33.</w:t>
      </w:r>
      <w:r w:rsidRPr="00932A9C">
        <w:tab/>
      </w:r>
      <w:r w:rsidR="006441D5" w:rsidRPr="00932A9C">
        <w:t>υπογραμμίζει τη συμφωνία του Ευρωπαϊκού Συμβουλίου να χορηγήσει δάνειο ύψους 90 δισεκατομμυρίων EUR στην Ουκρανία για το 2026 και το 2027, με βάση δανεισμό της ΕΕ από τις κεφαλαιαγορές, που υποστηρίζεται από το δημοσιονομικό περιθώριο της ΕΕ·</w:t>
      </w:r>
    </w:p>
    <w:p w14:paraId="4A9DEF02" w14:textId="617A27AE" w:rsidR="006441D5" w:rsidRPr="00932A9C" w:rsidRDefault="008C4F9A" w:rsidP="008C4F9A">
      <w:pPr>
        <w:pStyle w:val="NormalHanging12a"/>
        <w:ind w:left="567" w:hanging="570"/>
      </w:pPr>
      <w:r w:rsidRPr="00932A9C">
        <w:t>34.</w:t>
      </w:r>
      <w:r w:rsidRPr="00932A9C">
        <w:tab/>
      </w:r>
      <w:r w:rsidR="006441D5" w:rsidRPr="00932A9C">
        <w:t>σημειώνει ότι το εξελισσόμενο γεωπολιτικό περιβάλλον απαιτεί ακόμη μεγαλύτερη ενότητα και αλληλεγγύη μεταξύ των κρατών μελών, ιδίως όταν λαμβάνονται υπόψη οι ανησυχίες της ΕΕ και των κρατών μελών της στον τομέα της ασφάλειας· θεωρεί ότι η ενίσχυση της ασφάλειας της Ευρώπης μέσω της μείωσης των στρατηγικών εξαρτήσεων παραμένει απαραίτητη για τη διασφάλιση της μακροπρόθεσμης ανθεκτικότητας της Ένωσης· υποστηρίζει τις προσπάθειες της Επιτροπής για την υιοθέτηση μιας πιο συντονισμένης προσέγγισης στον τομέα της άμυνας· σημειώνει ότι το μέσο δράσης για την ασφάλεια στην Ευρώπη (SAFE) θεσπίζει δανειακή διευκόλυνση ύψους 150 δισεκατομμυρίων EUR για τη στήριξη των επενδύσεων των κρατών μελών στον τομέα της άμυνας· εκφράζει, ωστόσο, τη λύπη του για το γεγονός ότι το μέσο SAFE βασίστηκε στο άρθρο 122 ΣΛΕΕ, με αποτέλεσμα να περιορίζεται η κοινοβουλευτική εποπτεία· εκφράζει την ικανοποίησή του για το γεγονός ότι ο δείκτης καθαρών δαπανών αποκλείει κάθε εθνική συγχρηματοδότηση χρηματοδοτούμενων από την ΕΕ προγραμμάτων, παρέχοντας στα κράτη μέλη αυξημένα δημοσιονομικά περιθώρια για να επενδύσουν στις κοινές προτεραιότητες της ΕΕ, όπως ορίζονται στον κανονισμό (ΕΕ) 2024/1263</w:t>
      </w:r>
      <w:r w:rsidR="002A6E01">
        <w:rPr>
          <w:rStyle w:val="FootnoteReference"/>
        </w:rPr>
        <w:footnoteReference w:id="11"/>
      </w:r>
      <w:r w:rsidR="006441D5" w:rsidRPr="00932A9C">
        <w:t>, συμβάλλοντας έτσι στην ενίσχυση των συνεργειών μεταξύ του προϋπολογισμού της ΕΕ και των εθνικών προϋπολογισμών, μειώνοντας με αυτόν τον τρόπο τον κατακερματισμό και αυξάνοντας τη συνολική αποδοτικότητα των δημόσιων δαπανών σε ορισμένους τομείς, όπως η άμυνα· τονίζει ότι η δέσμευση των κρατών μελών να αυξήσουν τις αμυντικές δαπάνες δεν θα πρέπει να αποβεί εις βάρος των άλλων κοινών προτεραιοτήτων της ΕΕ·</w:t>
      </w:r>
    </w:p>
    <w:p w14:paraId="27E6F6B8" w14:textId="1E27371D" w:rsidR="006441D5" w:rsidRPr="00932A9C" w:rsidRDefault="008C4F9A" w:rsidP="008C4F9A">
      <w:pPr>
        <w:pStyle w:val="NormalHanging12a"/>
        <w:ind w:left="567" w:hanging="570"/>
      </w:pPr>
      <w:r w:rsidRPr="00932A9C">
        <w:t>35.</w:t>
      </w:r>
      <w:r w:rsidRPr="00932A9C">
        <w:tab/>
      </w:r>
      <w:r w:rsidR="006441D5" w:rsidRPr="00932A9C">
        <w:t>σημειώνει ότι 16 κράτη μέλη έχουν ενεργοποιήσει την εθνική ρήτρα διαφυγής για τις αμυντικές δαπάνες· υπογραμμίζει ότι οι εθνικές ρήτρες διαφυγής παρέχουν στα κράτη μέλη ευελιξία για να αυξήσουν τις αμυντικές δαπάνες, χωρίς άμεση ανάγκη χρηματοδότησης των εν λόγω αυξήσεων με περικοπές δαπανών ή μέτρα αύξησης των εσόδων· σημειώνει ότι η ευελιξία αυτή παρέχει στα κράτη μέλη τον αναγκαίο χρόνο για να καλύψουν υψηλότερες αμυντικές δαπάνες στο πλαίσιο των εθνικών προϋπολογισμών· επισημαίνει ότι η μερική συμμετοχή μειώνει σημαντικά τις προβλεπόμενες πρόσθετες αμυντικές δαπάνες από 650 δισεκατομμύρια EUR σε περίπου 297-337 δισεκατομμύρια EUR·</w:t>
      </w:r>
    </w:p>
    <w:p w14:paraId="6293C643" w14:textId="6FAEC0CC" w:rsidR="006441D5" w:rsidRPr="00932A9C" w:rsidRDefault="008C4F9A" w:rsidP="008C4F9A">
      <w:pPr>
        <w:pStyle w:val="NormalHanging12a"/>
        <w:ind w:left="567" w:hanging="570"/>
      </w:pPr>
      <w:r w:rsidRPr="00932A9C">
        <w:t>36.</w:t>
      </w:r>
      <w:r w:rsidRPr="00932A9C">
        <w:tab/>
      </w:r>
      <w:r w:rsidR="006441D5" w:rsidRPr="00932A9C">
        <w:t>προειδοποιεί ότι οι αμυντικές δαπάνες αποτελούν εκ φύσεως καταναλωτικές επενδύσεις και δεν αυξάνουν αυτές καθαυτές τη δυνητική παραγωγή μιας οικονομίας· θεωρεί, ως εκ τούτου, ότι οι αμυντικές δαπάνες δεν θα πρέπει να χρηματοδοτούνται μέσω αυξημένης έκδοσης χρεωστικών τίτλων μακροπρόθεσμα·</w:t>
      </w:r>
    </w:p>
    <w:p w14:paraId="5A29D4E0" w14:textId="1FED5A52" w:rsidR="006441D5" w:rsidRPr="00932A9C" w:rsidRDefault="008C4F9A" w:rsidP="008C4F9A">
      <w:pPr>
        <w:pStyle w:val="NormalHanging12a"/>
        <w:ind w:left="567" w:hanging="570"/>
      </w:pPr>
      <w:r w:rsidRPr="00932A9C">
        <w:t>37.</w:t>
      </w:r>
      <w:r w:rsidRPr="00932A9C">
        <w:tab/>
      </w:r>
      <w:r w:rsidR="006441D5" w:rsidRPr="00932A9C">
        <w:t xml:space="preserve">τονίζει ότι είναι σημαντικό να αυξηθεί η συνοχή και η συνεργασία στις επενδύσεις στον τομέα της άμυνας σε όλα τα κράτη μέλη, ιδίως όσον αφορά τους στρατηγικούς παράγοντες διευκόλυνσης ή τα στρατηγικά οπλικά συστήματα που είναι υπερβολικά </w:t>
      </w:r>
      <w:r w:rsidR="006441D5" w:rsidRPr="00932A9C">
        <w:lastRenderedPageBreak/>
        <w:t>δαπανηρά για τα επιμέρους κράτη μέλη, υπό το πρίσμα της πιεστικής ανάγκης του ευρωπαϊκού αμυντικού τομέα για κλιμάκωση και διασφάλιση μακροπρόθεσμης ασφάλειας και στρατηγικής αυτονομίας·</w:t>
      </w:r>
    </w:p>
    <w:p w14:paraId="11D87BBB" w14:textId="103016F4" w:rsidR="006441D5" w:rsidRPr="00932A9C" w:rsidRDefault="008C4F9A" w:rsidP="008C4F9A">
      <w:pPr>
        <w:pStyle w:val="NormalHanging12a"/>
        <w:ind w:left="567" w:hanging="570"/>
      </w:pPr>
      <w:r w:rsidRPr="00932A9C">
        <w:t>38.</w:t>
      </w:r>
      <w:r w:rsidRPr="00932A9C">
        <w:tab/>
      </w:r>
      <w:r w:rsidR="006441D5" w:rsidRPr="00932A9C">
        <w:t>υπενθυμίζει ότι η Επιτροπή δεν έχει κινήσει ποτέ διαδικασία υπερβολικών ανισορροπιών, παρά το γεγονός ότι ορισμένα κράτη μέλη παρουσιάζουν επαναλαμβανόμενες ανισορροπίες στα ισοζύγια τρεχουσών συναλλαγών τους· σημειώνει ότι η Επιτροπή θα αξιολογήσει την ύπαρξη μακροοικονομικών ανισορροπιών για τα επτά κράτη μέλη που επιλέχθηκαν για εμπεριστατωμένες επισκοπήσεις στην έκθεσή της για τον μηχανισμό επαγρύπνησης του 2026·</w:t>
      </w:r>
    </w:p>
    <w:p w14:paraId="390F6D0E" w14:textId="77777777" w:rsidR="006441D5" w:rsidRPr="00932A9C" w:rsidRDefault="006441D5" w:rsidP="006441D5">
      <w:pPr>
        <w:pStyle w:val="NormalCenter12a"/>
      </w:pPr>
      <w:r w:rsidRPr="00932A9C">
        <w:t>°</w:t>
      </w:r>
    </w:p>
    <w:p w14:paraId="1FD78DCD" w14:textId="77777777" w:rsidR="006441D5" w:rsidRPr="00932A9C" w:rsidRDefault="006441D5" w:rsidP="006441D5">
      <w:pPr>
        <w:pStyle w:val="NormalCenter12a"/>
      </w:pPr>
      <w:r w:rsidRPr="00932A9C">
        <w:t>°</w:t>
      </w:r>
      <w:r w:rsidRPr="00932A9C">
        <w:tab/>
        <w:t>°</w:t>
      </w:r>
    </w:p>
    <w:p w14:paraId="2B67B18A" w14:textId="26DD3B13" w:rsidR="00932A9C" w:rsidRPr="00932A9C" w:rsidRDefault="008C4F9A" w:rsidP="008C4F9A">
      <w:pPr>
        <w:pStyle w:val="NormalHanging12a"/>
        <w:ind w:left="567" w:hanging="570"/>
      </w:pPr>
      <w:r w:rsidRPr="00932A9C">
        <w:t>39.</w:t>
      </w:r>
      <w:r w:rsidRPr="00932A9C">
        <w:tab/>
      </w:r>
      <w:r w:rsidR="006441D5" w:rsidRPr="00932A9C">
        <w:t>αναθέτει στην Πρόεδρό του να διαβιβάσει το παρόν ψήφισμα στο Συμβούλιο και στην Επιτροπή.</w:t>
      </w:r>
    </w:p>
    <w:p w14:paraId="704629AD" w14:textId="2D2EDAE6" w:rsidR="00E365E1" w:rsidRPr="00932A9C" w:rsidRDefault="00E365E1" w:rsidP="00A0165C"/>
    <w:sectPr w:rsidR="00E365E1" w:rsidRPr="00932A9C" w:rsidSect="00932A9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B67C9" w14:textId="77777777" w:rsidR="00A0165C" w:rsidRPr="00932A9C" w:rsidRDefault="00A0165C">
      <w:r w:rsidRPr="00932A9C">
        <w:separator/>
      </w:r>
    </w:p>
  </w:endnote>
  <w:endnote w:type="continuationSeparator" w:id="0">
    <w:p w14:paraId="5B4C2D65" w14:textId="77777777" w:rsidR="00A0165C" w:rsidRPr="00932A9C" w:rsidRDefault="00A0165C">
      <w:r w:rsidRPr="00932A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CA5F8" w14:textId="77777777" w:rsidR="00064002" w:rsidRPr="00932A9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10B2" w14:textId="77777777" w:rsidR="00064002" w:rsidRPr="00932A9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6FDA5" w14:textId="77777777" w:rsidR="00064002" w:rsidRPr="00932A9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951D9" w14:textId="77777777" w:rsidR="00A0165C" w:rsidRPr="00932A9C" w:rsidRDefault="00A0165C">
      <w:r w:rsidRPr="00932A9C">
        <w:separator/>
      </w:r>
    </w:p>
  </w:footnote>
  <w:footnote w:type="continuationSeparator" w:id="0">
    <w:p w14:paraId="21FD35FF" w14:textId="77777777" w:rsidR="00A0165C" w:rsidRPr="00932A9C" w:rsidRDefault="00A0165C">
      <w:r w:rsidRPr="00932A9C">
        <w:continuationSeparator/>
      </w:r>
    </w:p>
  </w:footnote>
  <w:footnote w:id="1">
    <w:p w14:paraId="0DD119B3" w14:textId="0F168FAF" w:rsidR="002A6E01" w:rsidRPr="008C4F9A" w:rsidRDefault="002A6E01" w:rsidP="004C738E">
      <w:pPr>
        <w:pStyle w:val="FootnoteText"/>
        <w:spacing w:line="240" w:lineRule="auto"/>
        <w:ind w:left="567" w:hanging="567"/>
        <w:rPr>
          <w:sz w:val="24"/>
          <w:lang w:val="fi-FI"/>
        </w:rPr>
      </w:pPr>
      <w:r>
        <w:rPr>
          <w:rStyle w:val="FootnoteReference"/>
        </w:rPr>
        <w:footnoteRef/>
      </w:r>
      <w:r w:rsidRPr="008C4F9A">
        <w:rPr>
          <w:sz w:val="24"/>
          <w:vertAlign w:val="superscript"/>
          <w:lang w:val="fi-FI"/>
        </w:rPr>
        <w:t xml:space="preserve"> </w:t>
      </w:r>
      <w:r w:rsidRPr="008C4F9A">
        <w:rPr>
          <w:sz w:val="24"/>
          <w:vertAlign w:val="superscript"/>
          <w:lang w:val="fi-FI"/>
        </w:rPr>
        <w:tab/>
      </w:r>
      <w:r w:rsidRPr="008C4F9A">
        <w:rPr>
          <w:sz w:val="24"/>
          <w:lang w:val="fi-FI"/>
        </w:rPr>
        <w:t xml:space="preserve">EE L 243 </w:t>
      </w:r>
      <w:r w:rsidRPr="00932A9C">
        <w:rPr>
          <w:sz w:val="24"/>
          <w:lang w:val="el-GR"/>
        </w:rPr>
        <w:t>της</w:t>
      </w:r>
      <w:r w:rsidRPr="008C4F9A">
        <w:rPr>
          <w:sz w:val="24"/>
          <w:lang w:val="fi-FI"/>
        </w:rPr>
        <w:t xml:space="preserve"> 9.7.2021, ELI: </w:t>
      </w:r>
      <w:hyperlink r:id="rId1" w:tgtFrame="http://data.europa.eu/eli/reg/2021/1119/oj" w:history="1">
        <w:r w:rsidRPr="008C4F9A">
          <w:rPr>
            <w:rStyle w:val="Hyperlink"/>
            <w:sz w:val="24"/>
            <w:lang w:val="fi-FI"/>
          </w:rPr>
          <w:t>http://data.europa.eu/eli/reg/2021/1119/oj</w:t>
        </w:r>
      </w:hyperlink>
      <w:r w:rsidRPr="008C4F9A">
        <w:rPr>
          <w:sz w:val="24"/>
          <w:lang w:val="fi-FI"/>
        </w:rPr>
        <w:t>.</w:t>
      </w:r>
    </w:p>
  </w:footnote>
  <w:footnote w:id="2">
    <w:p w14:paraId="5AC9FAC8" w14:textId="1B76C0CF" w:rsidR="002A6E01" w:rsidRPr="008C4F9A" w:rsidRDefault="002A6E01" w:rsidP="004C738E">
      <w:pPr>
        <w:pStyle w:val="FootnoteText"/>
        <w:spacing w:line="240" w:lineRule="auto"/>
        <w:ind w:left="567" w:hanging="567"/>
        <w:rPr>
          <w:sz w:val="24"/>
          <w:lang w:val="fi-FI"/>
        </w:rPr>
      </w:pPr>
      <w:r>
        <w:rPr>
          <w:rStyle w:val="FootnoteReference"/>
        </w:rPr>
        <w:footnoteRef/>
      </w:r>
      <w:r w:rsidRPr="008C4F9A">
        <w:rPr>
          <w:sz w:val="24"/>
          <w:vertAlign w:val="superscript"/>
          <w:lang w:val="fi-FI"/>
        </w:rPr>
        <w:t xml:space="preserve"> </w:t>
      </w:r>
      <w:r w:rsidRPr="008C4F9A">
        <w:rPr>
          <w:sz w:val="24"/>
          <w:vertAlign w:val="superscript"/>
          <w:lang w:val="fi-FI"/>
        </w:rPr>
        <w:tab/>
      </w:r>
      <w:r w:rsidRPr="00932A9C">
        <w:rPr>
          <w:sz w:val="24"/>
          <w:lang w:val="el-GR"/>
        </w:rPr>
        <w:t>ΕΕ</w:t>
      </w:r>
      <w:r w:rsidRPr="008C4F9A">
        <w:rPr>
          <w:sz w:val="24"/>
          <w:lang w:val="fi-FI"/>
        </w:rPr>
        <w:t xml:space="preserve"> L, 2024/1263, 30.4.2024, ELI: </w:t>
      </w:r>
      <w:hyperlink r:id="rId2" w:tgtFrame="http://data.europa.eu/eli/reg/2024/1263/oj" w:history="1">
        <w:r w:rsidRPr="008C4F9A">
          <w:rPr>
            <w:rStyle w:val="Hyperlink"/>
            <w:sz w:val="24"/>
            <w:lang w:val="fi-FI"/>
          </w:rPr>
          <w:t>http://data.europa.eu/eli/reg/2024/1263/oj</w:t>
        </w:r>
      </w:hyperlink>
      <w:r w:rsidRPr="008C4F9A">
        <w:rPr>
          <w:sz w:val="24"/>
          <w:lang w:val="fi-FI"/>
        </w:rPr>
        <w:t>.</w:t>
      </w:r>
    </w:p>
  </w:footnote>
  <w:footnote w:id="3">
    <w:p w14:paraId="49F74256" w14:textId="386A4C38" w:rsidR="002A6E01" w:rsidRPr="008C4F9A" w:rsidRDefault="002A6E01" w:rsidP="004C738E">
      <w:pPr>
        <w:pStyle w:val="FootnoteText"/>
        <w:spacing w:line="240" w:lineRule="auto"/>
        <w:ind w:left="567" w:hanging="567"/>
        <w:rPr>
          <w:sz w:val="24"/>
          <w:lang w:val="fi-FI"/>
        </w:rPr>
      </w:pPr>
      <w:r>
        <w:rPr>
          <w:rStyle w:val="FootnoteReference"/>
        </w:rPr>
        <w:footnoteRef/>
      </w:r>
      <w:r w:rsidRPr="008C4F9A">
        <w:rPr>
          <w:sz w:val="24"/>
          <w:vertAlign w:val="superscript"/>
          <w:lang w:val="fi-FI"/>
        </w:rPr>
        <w:t xml:space="preserve"> </w:t>
      </w:r>
      <w:r w:rsidRPr="008C4F9A">
        <w:rPr>
          <w:sz w:val="24"/>
          <w:vertAlign w:val="superscript"/>
          <w:lang w:val="fi-FI"/>
        </w:rPr>
        <w:tab/>
      </w:r>
      <w:r w:rsidRPr="00932A9C">
        <w:rPr>
          <w:sz w:val="24"/>
          <w:lang w:val="el-GR"/>
        </w:rPr>
        <w:t>ΕΕ</w:t>
      </w:r>
      <w:r w:rsidRPr="008C4F9A">
        <w:rPr>
          <w:sz w:val="24"/>
          <w:lang w:val="fi-FI"/>
        </w:rPr>
        <w:t xml:space="preserve"> L, 2024/1264, 30.4.2024, ELI: </w:t>
      </w:r>
      <w:hyperlink r:id="rId3" w:tgtFrame="http://data.europa.eu/eli/reg/2024/1264/oj" w:history="1">
        <w:r w:rsidRPr="008C4F9A">
          <w:rPr>
            <w:rStyle w:val="Hyperlink"/>
            <w:sz w:val="24"/>
            <w:lang w:val="fi-FI"/>
          </w:rPr>
          <w:t>http://data.europa.eu/eli/reg/2024/1264/oj</w:t>
        </w:r>
      </w:hyperlink>
      <w:r w:rsidRPr="008C4F9A">
        <w:rPr>
          <w:sz w:val="24"/>
          <w:lang w:val="fi-FI"/>
        </w:rPr>
        <w:t>.</w:t>
      </w:r>
    </w:p>
  </w:footnote>
  <w:footnote w:id="4">
    <w:p w14:paraId="1FF62CCA" w14:textId="4D5DE9C0" w:rsidR="002A6E01" w:rsidRPr="008C4F9A" w:rsidRDefault="002A6E01" w:rsidP="004C738E">
      <w:pPr>
        <w:pStyle w:val="FootnoteText"/>
        <w:spacing w:line="240" w:lineRule="auto"/>
        <w:ind w:left="567" w:hanging="567"/>
        <w:rPr>
          <w:sz w:val="24"/>
          <w:lang w:val="fi-FI"/>
        </w:rPr>
      </w:pPr>
      <w:r>
        <w:rPr>
          <w:rStyle w:val="FootnoteReference"/>
        </w:rPr>
        <w:footnoteRef/>
      </w:r>
      <w:r w:rsidRPr="008C4F9A">
        <w:rPr>
          <w:sz w:val="24"/>
          <w:vertAlign w:val="superscript"/>
          <w:lang w:val="fi-FI"/>
        </w:rPr>
        <w:t xml:space="preserve"> </w:t>
      </w:r>
      <w:r w:rsidRPr="008C4F9A">
        <w:rPr>
          <w:sz w:val="24"/>
          <w:vertAlign w:val="superscript"/>
          <w:lang w:val="fi-FI"/>
        </w:rPr>
        <w:tab/>
      </w:r>
      <w:r>
        <w:rPr>
          <w:sz w:val="24"/>
          <w:lang w:val="el-GR"/>
        </w:rPr>
        <w:t>ΕΕ</w:t>
      </w:r>
      <w:r w:rsidRPr="008C4F9A">
        <w:rPr>
          <w:sz w:val="24"/>
          <w:lang w:val="fi-FI"/>
        </w:rPr>
        <w:t xml:space="preserve"> L, 2024/1265, 30.4.2024, ELI: </w:t>
      </w:r>
      <w:hyperlink r:id="rId4" w:tgtFrame="http://data.europa.eu/eli/dir/2024/1265/oj" w:history="1">
        <w:r w:rsidRPr="008C4F9A">
          <w:rPr>
            <w:rStyle w:val="Hyperlink"/>
            <w:sz w:val="24"/>
            <w:lang w:val="fi-FI"/>
          </w:rPr>
          <w:t>http://data.europa.eu/eli/dir/2024/1265/oj</w:t>
        </w:r>
      </w:hyperlink>
      <w:r w:rsidRPr="008C4F9A">
        <w:rPr>
          <w:sz w:val="24"/>
          <w:lang w:val="fi-FI"/>
        </w:rPr>
        <w:t>.</w:t>
      </w:r>
    </w:p>
  </w:footnote>
  <w:footnote w:id="5">
    <w:p w14:paraId="0BE8B4D3" w14:textId="7D387DAD" w:rsidR="002A6E01" w:rsidRPr="00932A9C" w:rsidRDefault="002A6E01" w:rsidP="004C738E">
      <w:pPr>
        <w:pStyle w:val="FootnoteText"/>
        <w:spacing w:line="240" w:lineRule="auto"/>
        <w:ind w:left="567" w:hanging="567"/>
        <w:rPr>
          <w:sz w:val="24"/>
          <w:lang w:val="el-GR"/>
        </w:rPr>
      </w:pPr>
      <w:r>
        <w:rPr>
          <w:rStyle w:val="FootnoteReference"/>
        </w:rPr>
        <w:footnoteRef/>
      </w:r>
      <w:r w:rsidRPr="00932A9C">
        <w:rPr>
          <w:sz w:val="24"/>
          <w:vertAlign w:val="superscript"/>
          <w:lang w:val="el-GR"/>
        </w:rPr>
        <w:t xml:space="preserve"> </w:t>
      </w:r>
      <w:r w:rsidRPr="00932A9C">
        <w:rPr>
          <w:sz w:val="24"/>
          <w:vertAlign w:val="superscript"/>
          <w:lang w:val="el-GR"/>
        </w:rPr>
        <w:tab/>
      </w:r>
      <w:r w:rsidRPr="00932A9C">
        <w:rPr>
          <w:sz w:val="24"/>
          <w:lang w:val="el-GR"/>
        </w:rPr>
        <w:t xml:space="preserve">ΕΕ L 306 της 23.11.2011, σ. </w:t>
      </w:r>
      <w:r w:rsidRPr="00932A9C">
        <w:rPr>
          <w:sz w:val="24"/>
          <w:lang w:val="el-GR"/>
        </w:rPr>
        <w:t xml:space="preserve">1, ELI: </w:t>
      </w:r>
      <w:hyperlink r:id="rId5" w:tgtFrame="http://data.europa.eu/eli/reg/2011/1173/oj" w:history="1">
        <w:r w:rsidRPr="00932A9C">
          <w:rPr>
            <w:rStyle w:val="Hyperlink"/>
            <w:sz w:val="24"/>
            <w:lang w:val="el-GR"/>
          </w:rPr>
          <w:t>http://data.europa.eu/eli/reg/2011/1173/oj</w:t>
        </w:r>
      </w:hyperlink>
      <w:r w:rsidRPr="00932A9C">
        <w:rPr>
          <w:sz w:val="24"/>
          <w:lang w:val="el-GR"/>
        </w:rPr>
        <w:t>.</w:t>
      </w:r>
    </w:p>
  </w:footnote>
  <w:footnote w:id="6">
    <w:p w14:paraId="30A9B9A0" w14:textId="223730A7" w:rsidR="002A6E01" w:rsidRPr="00932A9C" w:rsidRDefault="002A6E01" w:rsidP="004C738E">
      <w:pPr>
        <w:pStyle w:val="FootnoteText"/>
        <w:spacing w:line="240" w:lineRule="auto"/>
        <w:ind w:left="567" w:hanging="567"/>
        <w:rPr>
          <w:sz w:val="24"/>
          <w:lang w:val="el-GR"/>
        </w:rPr>
      </w:pPr>
      <w:r>
        <w:rPr>
          <w:rStyle w:val="FootnoteReference"/>
        </w:rPr>
        <w:footnoteRef/>
      </w:r>
      <w:r w:rsidRPr="00932A9C">
        <w:rPr>
          <w:sz w:val="24"/>
          <w:vertAlign w:val="superscript"/>
          <w:lang w:val="el-GR"/>
        </w:rPr>
        <w:t xml:space="preserve"> </w:t>
      </w:r>
      <w:r w:rsidRPr="00932A9C">
        <w:rPr>
          <w:sz w:val="24"/>
          <w:vertAlign w:val="superscript"/>
          <w:lang w:val="el-GR"/>
        </w:rPr>
        <w:tab/>
      </w:r>
      <w:r w:rsidRPr="00932A9C">
        <w:rPr>
          <w:sz w:val="24"/>
          <w:lang w:val="el-GR"/>
        </w:rPr>
        <w:t xml:space="preserve">ΕΕ L 306 της 23.11.2011, σ. </w:t>
      </w:r>
      <w:r w:rsidRPr="00932A9C">
        <w:rPr>
          <w:sz w:val="24"/>
          <w:lang w:val="el-GR"/>
        </w:rPr>
        <w:t xml:space="preserve">8, ELI: </w:t>
      </w:r>
      <w:hyperlink r:id="rId6" w:tgtFrame="http://data.europa.eu/eli/reg/2011/1174/oj" w:history="1">
        <w:r w:rsidRPr="00932A9C">
          <w:rPr>
            <w:rStyle w:val="Hyperlink"/>
            <w:sz w:val="24"/>
            <w:lang w:val="el-GR"/>
          </w:rPr>
          <w:t>http://data.europa.eu/eli/reg/2011/1174/oj</w:t>
        </w:r>
      </w:hyperlink>
      <w:r w:rsidRPr="00932A9C">
        <w:rPr>
          <w:sz w:val="24"/>
          <w:lang w:val="el-GR"/>
        </w:rPr>
        <w:t>.</w:t>
      </w:r>
    </w:p>
  </w:footnote>
  <w:footnote w:id="7">
    <w:p w14:paraId="132B64A2" w14:textId="2317A948" w:rsidR="002A6E01" w:rsidRPr="00932A9C" w:rsidRDefault="002A6E01" w:rsidP="004C738E">
      <w:pPr>
        <w:pStyle w:val="FootnoteText"/>
        <w:spacing w:line="240" w:lineRule="auto"/>
        <w:ind w:left="567" w:hanging="567"/>
        <w:rPr>
          <w:sz w:val="24"/>
          <w:lang w:val="el-GR"/>
        </w:rPr>
      </w:pPr>
      <w:r>
        <w:rPr>
          <w:rStyle w:val="FootnoteReference"/>
        </w:rPr>
        <w:footnoteRef/>
      </w:r>
      <w:r w:rsidRPr="00932A9C">
        <w:rPr>
          <w:sz w:val="24"/>
          <w:vertAlign w:val="superscript"/>
          <w:lang w:val="el-GR"/>
        </w:rPr>
        <w:t xml:space="preserve"> </w:t>
      </w:r>
      <w:r w:rsidRPr="00932A9C">
        <w:rPr>
          <w:sz w:val="24"/>
          <w:vertAlign w:val="superscript"/>
          <w:lang w:val="el-GR"/>
        </w:rPr>
        <w:tab/>
      </w:r>
      <w:r w:rsidRPr="00932A9C">
        <w:rPr>
          <w:sz w:val="24"/>
          <w:lang w:val="el-GR"/>
        </w:rPr>
        <w:t xml:space="preserve">ΕΕ L 306 της 23.11.2011, σ. </w:t>
      </w:r>
      <w:r w:rsidRPr="00932A9C">
        <w:rPr>
          <w:sz w:val="24"/>
          <w:lang w:val="el-GR"/>
        </w:rPr>
        <w:t xml:space="preserve">25, ELI: </w:t>
      </w:r>
      <w:hyperlink r:id="rId7" w:tgtFrame="http://data.europa.eu/eli/reg/2011/1176/oj" w:history="1">
        <w:r w:rsidRPr="00932A9C">
          <w:rPr>
            <w:rStyle w:val="Hyperlink"/>
            <w:sz w:val="24"/>
            <w:lang w:val="el-GR"/>
          </w:rPr>
          <w:t>http://data.europa.eu/eli/reg/2011/1176/oj</w:t>
        </w:r>
      </w:hyperlink>
      <w:r w:rsidRPr="00932A9C">
        <w:rPr>
          <w:sz w:val="24"/>
          <w:lang w:val="el-GR"/>
        </w:rPr>
        <w:t>.</w:t>
      </w:r>
    </w:p>
  </w:footnote>
  <w:footnote w:id="8">
    <w:p w14:paraId="689ED395" w14:textId="5B5CC30F" w:rsidR="002A6E01" w:rsidRPr="00932A9C" w:rsidRDefault="002A6E01" w:rsidP="004C738E">
      <w:pPr>
        <w:pStyle w:val="FootnoteText"/>
        <w:spacing w:line="240" w:lineRule="auto"/>
        <w:ind w:left="567" w:hanging="567"/>
        <w:rPr>
          <w:sz w:val="24"/>
          <w:lang w:val="el-GR"/>
        </w:rPr>
      </w:pPr>
      <w:r>
        <w:rPr>
          <w:rStyle w:val="FootnoteReference"/>
        </w:rPr>
        <w:footnoteRef/>
      </w:r>
      <w:r w:rsidRPr="00932A9C">
        <w:rPr>
          <w:sz w:val="24"/>
          <w:vertAlign w:val="superscript"/>
          <w:lang w:val="el-GR"/>
        </w:rPr>
        <w:t xml:space="preserve"> </w:t>
      </w:r>
      <w:r w:rsidRPr="00932A9C">
        <w:rPr>
          <w:sz w:val="24"/>
          <w:vertAlign w:val="superscript"/>
          <w:lang w:val="el-GR"/>
        </w:rPr>
        <w:tab/>
      </w:r>
      <w:r w:rsidRPr="00932A9C">
        <w:rPr>
          <w:sz w:val="24"/>
          <w:lang w:val="el-GR"/>
        </w:rPr>
        <w:t xml:space="preserve">ΕΕ L 140 της 27.5.2013, σ. </w:t>
      </w:r>
      <w:r w:rsidRPr="00932A9C">
        <w:rPr>
          <w:sz w:val="24"/>
          <w:lang w:val="el-GR"/>
        </w:rPr>
        <w:t xml:space="preserve">1, ELI: </w:t>
      </w:r>
      <w:hyperlink r:id="rId8" w:tgtFrame="http://data.europa.eu/eli/reg/2013/472/oj" w:history="1">
        <w:r w:rsidRPr="00932A9C">
          <w:rPr>
            <w:rStyle w:val="Hyperlink"/>
            <w:sz w:val="24"/>
            <w:lang w:val="el-GR"/>
          </w:rPr>
          <w:t>http://data.europa.eu/eli/reg/2013/472/oj</w:t>
        </w:r>
      </w:hyperlink>
      <w:r w:rsidRPr="00932A9C">
        <w:rPr>
          <w:sz w:val="24"/>
          <w:lang w:val="el-GR"/>
        </w:rPr>
        <w:t>.</w:t>
      </w:r>
    </w:p>
  </w:footnote>
  <w:footnote w:id="9">
    <w:p w14:paraId="0820508D" w14:textId="4A371A7C" w:rsidR="002A6E01" w:rsidRPr="00932A9C" w:rsidRDefault="002A6E01" w:rsidP="004C738E">
      <w:pPr>
        <w:pStyle w:val="FootnoteText"/>
        <w:spacing w:line="240" w:lineRule="auto"/>
        <w:ind w:left="567" w:hanging="567"/>
        <w:rPr>
          <w:sz w:val="24"/>
          <w:lang w:val="el-GR"/>
        </w:rPr>
      </w:pPr>
      <w:r>
        <w:rPr>
          <w:rStyle w:val="FootnoteReference"/>
        </w:rPr>
        <w:footnoteRef/>
      </w:r>
      <w:r w:rsidRPr="00932A9C">
        <w:rPr>
          <w:sz w:val="24"/>
          <w:vertAlign w:val="superscript"/>
          <w:lang w:val="el-GR"/>
        </w:rPr>
        <w:t xml:space="preserve"> </w:t>
      </w:r>
      <w:r w:rsidRPr="00932A9C">
        <w:rPr>
          <w:sz w:val="24"/>
          <w:vertAlign w:val="superscript"/>
          <w:lang w:val="el-GR"/>
        </w:rPr>
        <w:tab/>
      </w:r>
      <w:r w:rsidRPr="00932A9C">
        <w:rPr>
          <w:sz w:val="24"/>
          <w:lang w:val="el-GR"/>
        </w:rPr>
        <w:t xml:space="preserve">ΕΕ L 140 της 27.5.2013, σ. </w:t>
      </w:r>
      <w:r w:rsidRPr="00932A9C">
        <w:rPr>
          <w:sz w:val="24"/>
          <w:lang w:val="el-GR"/>
        </w:rPr>
        <w:t xml:space="preserve">11, ELI: </w:t>
      </w:r>
      <w:hyperlink r:id="rId9" w:tgtFrame="http://data.europa.eu/eli/reg/2013/473/oj" w:history="1">
        <w:r w:rsidRPr="00932A9C">
          <w:rPr>
            <w:rStyle w:val="Hyperlink"/>
            <w:sz w:val="24"/>
            <w:lang w:val="el-GR"/>
          </w:rPr>
          <w:t>http://data.europa.eu/eli/reg/2013/473/oj</w:t>
        </w:r>
      </w:hyperlink>
      <w:r w:rsidRPr="00932A9C">
        <w:rPr>
          <w:sz w:val="24"/>
          <w:lang w:val="el-GR"/>
        </w:rPr>
        <w:t>.</w:t>
      </w:r>
    </w:p>
  </w:footnote>
  <w:footnote w:id="10">
    <w:p w14:paraId="7092E734" w14:textId="097CA632" w:rsidR="002A6E01" w:rsidRPr="00932A9C" w:rsidRDefault="002A6E01" w:rsidP="004C738E">
      <w:pPr>
        <w:pStyle w:val="FootnoteText"/>
        <w:spacing w:line="240" w:lineRule="auto"/>
        <w:ind w:left="567" w:hanging="567"/>
        <w:rPr>
          <w:sz w:val="24"/>
          <w:lang w:val="el-GR"/>
        </w:rPr>
      </w:pPr>
      <w:r>
        <w:rPr>
          <w:rStyle w:val="FootnoteReference"/>
        </w:rPr>
        <w:footnoteRef/>
      </w:r>
      <w:r w:rsidRPr="00932A9C">
        <w:rPr>
          <w:sz w:val="24"/>
          <w:vertAlign w:val="superscript"/>
          <w:lang w:val="el-GR"/>
        </w:rPr>
        <w:t xml:space="preserve"> </w:t>
      </w:r>
      <w:r w:rsidRPr="00932A9C">
        <w:rPr>
          <w:sz w:val="24"/>
          <w:vertAlign w:val="superscript"/>
          <w:lang w:val="el-GR"/>
        </w:rPr>
        <w:tab/>
      </w:r>
      <w:r w:rsidRPr="00932A9C">
        <w:rPr>
          <w:sz w:val="24"/>
          <w:lang w:val="el-GR"/>
        </w:rPr>
        <w:t>Ανακοίνωση της Επιτροπής, της 19ης Μαρτίου 2025, με τίτλο «Ένωση Αποταμιεύσεων και Επενδύσεων — Στρατηγική για την προώθηση της δημιουργίας πλούτου για τους πολίτες και της οικονομικής ανταγωνιστικότητας στην ΕΕ» (COM(2025)0124).</w:t>
      </w:r>
    </w:p>
  </w:footnote>
  <w:footnote w:id="11">
    <w:p w14:paraId="7672128A" w14:textId="19AF31FA" w:rsidR="002A6E01" w:rsidRPr="00932A9C" w:rsidRDefault="002A6E01" w:rsidP="004C738E">
      <w:pPr>
        <w:pStyle w:val="FootnoteText"/>
        <w:spacing w:line="240" w:lineRule="auto"/>
        <w:ind w:left="567" w:hanging="567"/>
        <w:rPr>
          <w:sz w:val="24"/>
          <w:lang w:val="el-GR"/>
        </w:rPr>
      </w:pPr>
      <w:r>
        <w:rPr>
          <w:rStyle w:val="FootnoteReference"/>
        </w:rPr>
        <w:footnoteRef/>
      </w:r>
      <w:r w:rsidRPr="00932A9C">
        <w:rPr>
          <w:sz w:val="24"/>
          <w:vertAlign w:val="superscript"/>
          <w:lang w:val="el-GR"/>
        </w:rPr>
        <w:t xml:space="preserve"> </w:t>
      </w:r>
      <w:r w:rsidRPr="00932A9C">
        <w:rPr>
          <w:sz w:val="24"/>
          <w:vertAlign w:val="superscript"/>
          <w:lang w:val="el-GR"/>
        </w:rPr>
        <w:tab/>
      </w:r>
      <w:r w:rsidRPr="00932A9C">
        <w:rPr>
          <w:sz w:val="24"/>
          <w:lang w:val="el-GR"/>
        </w:rPr>
        <w:t>Κανονισμός (ΕΕ) 2024/1263 του Ευρωπαϊκού Κοινοβουλίου και του Συμβουλίου, της 29ης Απριλίου 2024, σχετικά με τον αποτελεσματικό συντονισμό των οικονομικών πολιτικών και την πολυμερή δημοσιονομική εποπτεία και την κατάργηση του κανονισμού (ΕΚ) αριθ. </w:t>
      </w:r>
      <w:r w:rsidRPr="00932A9C">
        <w:rPr>
          <w:sz w:val="24"/>
          <w:lang w:val="el-GR"/>
        </w:rPr>
        <w:t xml:space="preserve">1466/97 του Συμβουλίου (ΕΕ L, 2024/1263, 30.4.2024, ELI: </w:t>
      </w:r>
      <w:hyperlink r:id="rId10" w:tgtFrame="http://data.europa.eu/eli/reg/2024/1263/oj" w:history="1">
        <w:r w:rsidRPr="00932A9C">
          <w:rPr>
            <w:rStyle w:val="Hyperlink"/>
            <w:sz w:val="24"/>
            <w:lang w:val="el-GR"/>
          </w:rPr>
          <w:t>http://data.europa.eu/eli/reg/2024/1263/oj</w:t>
        </w:r>
      </w:hyperlink>
      <w:r w:rsidRPr="00932A9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3EAB2" w14:textId="77777777" w:rsidR="00064002" w:rsidRPr="00932A9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B6825" w14:textId="77777777" w:rsidR="00064002" w:rsidRPr="00932A9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D06F" w14:textId="77777777" w:rsidR="00064002" w:rsidRPr="00932A9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239DB"/>
    <w:multiLevelType w:val="hybridMultilevel"/>
    <w:tmpl w:val="73C4B708"/>
    <w:lvl w:ilvl="0" w:tplc="BCB63CC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7478203">
    <w:abstractNumId w:val="1"/>
  </w:num>
  <w:num w:numId="2" w16cid:durableId="456686751">
    <w:abstractNumId w:val="2"/>
  </w:num>
  <w:num w:numId="3" w16cid:durableId="116204747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EL"/>
    <w:docVar w:name="dvnumam" w:val="47"/>
    <w:docVar w:name="dvpe" w:val="779.614"/>
    <w:docVar w:name="dvrapporteur" w:val="Εισηγήτρια: "/>
    <w:docVar w:name="dvtitre" w:val="Ψήφισμα του Ευρωπαϊκού Κοινοβουλίου της ... 2026 σχετικά με το Ευρωπαϊκό Εξάμηνο για τον συντονισμό των οικονομικών πολιτικών για το 2026(2025/2214(INI))"/>
  </w:docVars>
  <w:rsids>
    <w:rsidRoot w:val="00A0165C"/>
    <w:rsid w:val="00002272"/>
    <w:rsid w:val="0003313D"/>
    <w:rsid w:val="00064002"/>
    <w:rsid w:val="000677B9"/>
    <w:rsid w:val="000831BA"/>
    <w:rsid w:val="000A42CC"/>
    <w:rsid w:val="000E7DD9"/>
    <w:rsid w:val="0010095E"/>
    <w:rsid w:val="00125B37"/>
    <w:rsid w:val="00187494"/>
    <w:rsid w:val="001F32AE"/>
    <w:rsid w:val="002317E7"/>
    <w:rsid w:val="002326E1"/>
    <w:rsid w:val="002767FF"/>
    <w:rsid w:val="002A6E01"/>
    <w:rsid w:val="002B18FE"/>
    <w:rsid w:val="002B5493"/>
    <w:rsid w:val="00343214"/>
    <w:rsid w:val="00361C00"/>
    <w:rsid w:val="00395FA1"/>
    <w:rsid w:val="003E15D4"/>
    <w:rsid w:val="00411CCE"/>
    <w:rsid w:val="0041666E"/>
    <w:rsid w:val="00421060"/>
    <w:rsid w:val="00471C19"/>
    <w:rsid w:val="004867E3"/>
    <w:rsid w:val="0049219E"/>
    <w:rsid w:val="00494A28"/>
    <w:rsid w:val="004C0004"/>
    <w:rsid w:val="004C5D52"/>
    <w:rsid w:val="004C738E"/>
    <w:rsid w:val="0050519A"/>
    <w:rsid w:val="005072A1"/>
    <w:rsid w:val="00514517"/>
    <w:rsid w:val="00545827"/>
    <w:rsid w:val="00560270"/>
    <w:rsid w:val="00580465"/>
    <w:rsid w:val="005C2568"/>
    <w:rsid w:val="005F1B17"/>
    <w:rsid w:val="006037C0"/>
    <w:rsid w:val="006441D5"/>
    <w:rsid w:val="006631B6"/>
    <w:rsid w:val="00680577"/>
    <w:rsid w:val="006F74FA"/>
    <w:rsid w:val="00731ADD"/>
    <w:rsid w:val="00734777"/>
    <w:rsid w:val="00747932"/>
    <w:rsid w:val="00751A4A"/>
    <w:rsid w:val="00756632"/>
    <w:rsid w:val="00762C74"/>
    <w:rsid w:val="007640D5"/>
    <w:rsid w:val="00786EC0"/>
    <w:rsid w:val="007D1690"/>
    <w:rsid w:val="007E22AD"/>
    <w:rsid w:val="00817416"/>
    <w:rsid w:val="00842779"/>
    <w:rsid w:val="00865F67"/>
    <w:rsid w:val="00881A7B"/>
    <w:rsid w:val="008840E5"/>
    <w:rsid w:val="00887B3E"/>
    <w:rsid w:val="008C2AC6"/>
    <w:rsid w:val="008C4F9A"/>
    <w:rsid w:val="00930C23"/>
    <w:rsid w:val="0093193B"/>
    <w:rsid w:val="00932A9C"/>
    <w:rsid w:val="009509D8"/>
    <w:rsid w:val="00950B64"/>
    <w:rsid w:val="00981893"/>
    <w:rsid w:val="00A0165C"/>
    <w:rsid w:val="00A1687D"/>
    <w:rsid w:val="00A43E52"/>
    <w:rsid w:val="00A4678D"/>
    <w:rsid w:val="00A778C7"/>
    <w:rsid w:val="00AB441E"/>
    <w:rsid w:val="00AB6293"/>
    <w:rsid w:val="00AE0928"/>
    <w:rsid w:val="00AF3B82"/>
    <w:rsid w:val="00B12E95"/>
    <w:rsid w:val="00B22876"/>
    <w:rsid w:val="00B558F0"/>
    <w:rsid w:val="00B9280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0588"/>
    <w:rsid w:val="00E820A4"/>
    <w:rsid w:val="00EB006A"/>
    <w:rsid w:val="00EB4772"/>
    <w:rsid w:val="00ED169E"/>
    <w:rsid w:val="00ED4235"/>
    <w:rsid w:val="00F04346"/>
    <w:rsid w:val="00F075DC"/>
    <w:rsid w:val="00F149E9"/>
    <w:rsid w:val="00F5134D"/>
    <w:rsid w:val="00F74202"/>
    <w:rsid w:val="00F87713"/>
    <w:rsid w:val="00FB405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8904E"/>
  <w15:chartTrackingRefBased/>
  <w15:docId w15:val="{72FA629F-0E6F-4998-8B9B-49CD02CE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6441D5"/>
    <w:pPr>
      <w:widowControl/>
      <w:spacing w:after="240"/>
    </w:pPr>
    <w:rPr>
      <w:szCs w:val="24"/>
      <w:lang w:eastAsia="en-US"/>
    </w:rPr>
  </w:style>
  <w:style w:type="paragraph" w:customStyle="1" w:styleId="NormalHanging12a">
    <w:name w:val="NormalHanging12a"/>
    <w:basedOn w:val="Normal"/>
    <w:rsid w:val="006441D5"/>
    <w:pPr>
      <w:widowControl/>
      <w:spacing w:after="240"/>
      <w:ind w:left="566" w:hanging="566"/>
    </w:pPr>
    <w:rPr>
      <w:szCs w:val="24"/>
      <w:lang w:eastAsia="en-US"/>
    </w:rPr>
  </w:style>
  <w:style w:type="paragraph" w:customStyle="1" w:styleId="Normal12">
    <w:name w:val="Normal12"/>
    <w:basedOn w:val="Normal"/>
    <w:rsid w:val="006441D5"/>
    <w:pPr>
      <w:widowControl/>
      <w:spacing w:after="240"/>
    </w:pPr>
    <w:rPr>
      <w:szCs w:val="24"/>
      <w:lang w:eastAsia="en-US"/>
    </w:rPr>
  </w:style>
  <w:style w:type="paragraph" w:customStyle="1" w:styleId="NormalHanging">
    <w:name w:val="NormalHanging"/>
    <w:basedOn w:val="Normal"/>
    <w:rsid w:val="006441D5"/>
    <w:pPr>
      <w:widowControl/>
      <w:spacing w:after="240"/>
      <w:ind w:left="566" w:hanging="566"/>
    </w:pPr>
    <w:rPr>
      <w:szCs w:val="24"/>
      <w:lang w:eastAsia="en-US"/>
    </w:rPr>
  </w:style>
  <w:style w:type="paragraph" w:customStyle="1" w:styleId="NormalCenter12a">
    <w:name w:val="NormalCenter12a"/>
    <w:basedOn w:val="Normal"/>
    <w:rsid w:val="006441D5"/>
    <w:pPr>
      <w:widowControl/>
      <w:spacing w:after="240"/>
      <w:jc w:val="center"/>
    </w:pPr>
    <w:rPr>
      <w:szCs w:val="24"/>
      <w:lang w:eastAsia="en-US"/>
    </w:rPr>
  </w:style>
  <w:style w:type="character" w:styleId="Hyperlink">
    <w:name w:val="Hyperlink"/>
    <w:basedOn w:val="DefaultParagraphFont"/>
    <w:rsid w:val="006441D5"/>
    <w:rPr>
      <w:color w:val="0000FF"/>
      <w:u w:val="single"/>
    </w:rPr>
  </w:style>
  <w:style w:type="paragraph" w:styleId="Revision">
    <w:name w:val="Revision"/>
    <w:hidden/>
    <w:uiPriority w:val="99"/>
    <w:semiHidden/>
    <w:rsid w:val="0058046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4577</Words>
  <Characters>27445</Characters>
  <Application>Microsoft Office Word</Application>
  <DocSecurity>0</DocSecurity>
  <Lines>228</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KOLOKYTHIA Amalia </cp:lastModifiedBy>
  <cp:revision>2</cp:revision>
  <cp:lastPrinted>2004-11-19T15:42:00Z</cp:lastPrinted>
  <dcterms:created xsi:type="dcterms:W3CDTF">2026-05-11T13:14:00Z</dcterms:created>
  <dcterms:modified xsi:type="dcterms:W3CDTF">2026-05-11T13:14:00Z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P10_TA(2026)0075_</vt:lpwstr>
  </property>
  <property fmtid="{D5CDD505-2E9C-101B-9397-08002B2CF9AE}" pid="4" name="&lt;Type&gt;">
    <vt:lpwstr>RR</vt:lpwstr>
  </property>
</Properties>
</file>