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44F5" w14:paraId="70C4AE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912C15" w14:textId="77777777" w:rsidR="00751A4A" w:rsidRPr="006244F5" w:rsidRDefault="009D4DEB" w:rsidP="0010095E">
            <w:pPr>
              <w:pStyle w:val="EPName"/>
            </w:pPr>
            <w:r w:rsidRPr="006244F5">
              <w:t>Europski parlament</w:t>
            </w:r>
          </w:p>
          <w:p w14:paraId="4C54FF4A" w14:textId="77777777" w:rsidR="00751A4A" w:rsidRPr="006244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44F5">
              <w:t>2024</w:t>
            </w:r>
            <w:r w:rsidR="00817416" w:rsidRPr="006244F5">
              <w:t>-202</w:t>
            </w:r>
            <w:r w:rsidRPr="006244F5">
              <w:t>9</w:t>
            </w:r>
          </w:p>
        </w:tc>
        <w:tc>
          <w:tcPr>
            <w:tcW w:w="2268" w:type="dxa"/>
            <w:shd w:val="clear" w:color="auto" w:fill="auto"/>
          </w:tcPr>
          <w:p w14:paraId="73D295AB" w14:textId="77777777" w:rsidR="00751A4A" w:rsidRPr="006244F5" w:rsidRDefault="00187494" w:rsidP="0010095E">
            <w:pPr>
              <w:pStyle w:val="EPLogo"/>
            </w:pPr>
            <w:r w:rsidRPr="006244F5">
              <w:rPr>
                <w:noProof/>
                <w:lang w:eastAsia="ja-JP"/>
              </w:rPr>
              <w:drawing>
                <wp:inline distT="0" distB="0" distL="0" distR="0" wp14:anchorId="7B749BAF" wp14:editId="43858F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67DF49" w14:textId="77777777" w:rsidR="00D058B8" w:rsidRPr="006244F5" w:rsidRDefault="00D058B8" w:rsidP="004C5D52">
      <w:pPr>
        <w:pStyle w:val="LineTop"/>
      </w:pPr>
    </w:p>
    <w:p w14:paraId="5FEDCB8F" w14:textId="77777777" w:rsidR="00680577" w:rsidRPr="006244F5" w:rsidRDefault="009D4DEB" w:rsidP="00680577">
      <w:pPr>
        <w:pStyle w:val="EPBodyTA1"/>
      </w:pPr>
      <w:r w:rsidRPr="006244F5">
        <w:t>USVOJENI TEKSTOVI</w:t>
      </w:r>
    </w:p>
    <w:p w14:paraId="40A71733" w14:textId="77777777" w:rsidR="00D058B8" w:rsidRPr="006244F5" w:rsidRDefault="00D058B8" w:rsidP="00D058B8">
      <w:pPr>
        <w:pStyle w:val="LineBottom"/>
      </w:pPr>
    </w:p>
    <w:p w14:paraId="6531C8BB" w14:textId="2E902EA9" w:rsidR="009D4DEB" w:rsidRPr="006244F5" w:rsidRDefault="009D4DEB" w:rsidP="009D4DEB">
      <w:pPr>
        <w:pStyle w:val="ATHeading1"/>
      </w:pPr>
      <w:bookmarkStart w:id="0" w:name="TANumber"/>
      <w:r w:rsidRPr="006244F5">
        <w:t>P10_TA(2026)00</w:t>
      </w:r>
      <w:r w:rsidR="00A90502">
        <w:t>75</w:t>
      </w:r>
      <w:bookmarkEnd w:id="0"/>
    </w:p>
    <w:p w14:paraId="41EE9988" w14:textId="77777777" w:rsidR="009D4DEB" w:rsidRPr="006244F5" w:rsidRDefault="009D4DEB" w:rsidP="009D4DEB">
      <w:pPr>
        <w:pStyle w:val="ATHeading2"/>
      </w:pPr>
      <w:bookmarkStart w:id="1" w:name="title"/>
      <w:r w:rsidRPr="006244F5">
        <w:t>Europski semestar za koordinaciju ekonomskih politika 2026.</w:t>
      </w:r>
      <w:bookmarkEnd w:id="1"/>
    </w:p>
    <w:p w14:paraId="7984C9F3" w14:textId="77777777" w:rsidR="009D4DEB" w:rsidRPr="006244F5" w:rsidRDefault="009D4DEB" w:rsidP="009D4DEB">
      <w:pPr>
        <w:rPr>
          <w:i/>
          <w:vanish/>
        </w:rPr>
      </w:pPr>
      <w:r w:rsidRPr="006244F5">
        <w:rPr>
          <w:i/>
        </w:rPr>
        <w:fldChar w:fldCharType="begin"/>
      </w:r>
      <w:r w:rsidRPr="006244F5">
        <w:rPr>
          <w:i/>
        </w:rPr>
        <w:instrText xml:space="preserve"> TC"(</w:instrText>
      </w:r>
      <w:bookmarkStart w:id="2" w:name="DocNumber"/>
      <w:r w:rsidRPr="006244F5">
        <w:rPr>
          <w:i/>
        </w:rPr>
        <w:instrText>A10-0036/2026</w:instrText>
      </w:r>
      <w:bookmarkEnd w:id="2"/>
      <w:r w:rsidRPr="006244F5">
        <w:rPr>
          <w:i/>
        </w:rPr>
        <w:instrText xml:space="preserve"> - Izvjestiteljica: Kira Marie Peter-Hansen)"\l3 \n&gt; \* MERGEFORMAT </w:instrText>
      </w:r>
      <w:r w:rsidRPr="006244F5">
        <w:rPr>
          <w:i/>
        </w:rPr>
        <w:fldChar w:fldCharType="end"/>
      </w:r>
    </w:p>
    <w:p w14:paraId="76445D6B" w14:textId="77777777" w:rsidR="009D4DEB" w:rsidRPr="006244F5" w:rsidRDefault="009D4DEB" w:rsidP="009D4DEB">
      <w:pPr>
        <w:rPr>
          <w:vanish/>
        </w:rPr>
      </w:pPr>
      <w:bookmarkStart w:id="3" w:name="Commission"/>
      <w:r w:rsidRPr="006244F5">
        <w:rPr>
          <w:vanish/>
        </w:rPr>
        <w:t>Odbor za ekonomsku i monetarnu politiku</w:t>
      </w:r>
      <w:bookmarkEnd w:id="3"/>
    </w:p>
    <w:p w14:paraId="37C0D2AC" w14:textId="77777777" w:rsidR="009D4DEB" w:rsidRPr="006244F5" w:rsidRDefault="009D4DEB" w:rsidP="009D4DEB">
      <w:pPr>
        <w:rPr>
          <w:vanish/>
        </w:rPr>
      </w:pPr>
      <w:bookmarkStart w:id="4" w:name="PE"/>
      <w:r w:rsidRPr="006244F5">
        <w:rPr>
          <w:vanish/>
        </w:rPr>
        <w:t>PE779.614</w:t>
      </w:r>
      <w:bookmarkEnd w:id="4"/>
    </w:p>
    <w:p w14:paraId="7B5EF39C" w14:textId="55830894" w:rsidR="009D4DEB" w:rsidRPr="006244F5" w:rsidRDefault="009D4DEB" w:rsidP="009D4DEB">
      <w:pPr>
        <w:pStyle w:val="ATHeading3"/>
      </w:pPr>
      <w:bookmarkStart w:id="5" w:name="Sujet"/>
      <w:r w:rsidRPr="006244F5">
        <w:t xml:space="preserve">Rezolucija Europskog parlamenta od </w:t>
      </w:r>
      <w:r w:rsidR="00377F61">
        <w:t>11. ožujka</w:t>
      </w:r>
      <w:r w:rsidRPr="006244F5">
        <w:t xml:space="preserve"> 2026. o Europskom semestru za koordinaciju ekonomskih politika 2026.</w:t>
      </w:r>
      <w:bookmarkEnd w:id="5"/>
      <w:r w:rsidRPr="006244F5">
        <w:t xml:space="preserve"> </w:t>
      </w:r>
      <w:bookmarkStart w:id="6" w:name="References"/>
      <w:r w:rsidRPr="006244F5">
        <w:t>(2025/2214(INI))</w:t>
      </w:r>
      <w:bookmarkEnd w:id="6"/>
    </w:p>
    <w:p w14:paraId="774D07BE" w14:textId="77777777" w:rsidR="00432B22" w:rsidRPr="006244F5" w:rsidRDefault="00432B22" w:rsidP="00A90502">
      <w:pPr>
        <w:pStyle w:val="Normal12"/>
        <w:spacing w:before="360"/>
      </w:pPr>
      <w:r w:rsidRPr="006244F5">
        <w:rPr>
          <w:i/>
        </w:rPr>
        <w:t>Europski parlament</w:t>
      </w:r>
      <w:r w:rsidRPr="006244F5">
        <w:t>,</w:t>
      </w:r>
    </w:p>
    <w:p w14:paraId="612EEBDF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Ugovor o funkcioniranju Europske unije (UFEU), a posebno njegove članke 121., 126. i 136.,</w:t>
      </w:r>
    </w:p>
    <w:p w14:paraId="601BC0EC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Protokol br. 1. Ugovora o Europskoj uniji (UEU) i UFEU-a o ulozi nacionalnih parlamenata u Europskoj uniji,</w:t>
      </w:r>
    </w:p>
    <w:p w14:paraId="23C501B1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Protokol br. 2 UEU-a i UFEU-a o primjeni načela supsidijarnosti i proporcionalnosti,</w:t>
      </w:r>
    </w:p>
    <w:p w14:paraId="57DEA29D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Pariški sporazum postignut 12. prosinca 2015. na Konferenciji stranaka Okvirne konvencije UN-a o klimatskim promjenama i UN-ove ciljeve održivog razvoja,</w:t>
      </w:r>
    </w:p>
    <w:p w14:paraId="13114D89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Uredbu (EU) 2021/1119 Europskog parlamenta i Vijeća od 30. lipnja 2021. o uspostavi okvira za postizanje klimatske neutralnosti i o izmjeni uredaba (EZ) br. 401/2009 i (EU) 2018/1999 („Europski zakon o klimi”)</w:t>
      </w:r>
      <w:r w:rsidRPr="006244F5">
        <w:rPr>
          <w:rStyle w:val="FootnoteReference"/>
        </w:rPr>
        <w:footnoteReference w:customMarkFollows="1" w:id="1"/>
        <w:t>1</w:t>
      </w:r>
      <w:r w:rsidRPr="006244F5">
        <w:t>,</w:t>
      </w:r>
    </w:p>
    <w:p w14:paraId="19D834D9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Protokol br. 12 UEU-a i UFEU-a o postupku u slučaju prekomjernog deficita,</w:t>
      </w:r>
    </w:p>
    <w:p w14:paraId="16702587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Ugovor o stabilnosti, koordinaciji i upravljanju u ekonomskoj i monetarnoj uniji,</w:t>
      </w:r>
    </w:p>
    <w:p w14:paraId="675C6476" w14:textId="77777777" w:rsidR="00432B22" w:rsidRPr="006244F5" w:rsidRDefault="00432B22" w:rsidP="00432B22">
      <w:pPr>
        <w:pStyle w:val="NormalHanging"/>
      </w:pPr>
      <w:r w:rsidRPr="006244F5">
        <w:lastRenderedPageBreak/>
        <w:t>–</w:t>
      </w:r>
      <w:r w:rsidRPr="006244F5">
        <w:tab/>
        <w:t>uzimajući u obzir Uredbu (EU) 2024/1263 Europskog parlamenta i Vijeća od 29. travnja 2024. o djelotvornoj koordinaciji ekonomskih politika i multilateralnom proračunskom nadzoru te stavljanju izvan snage Uredbe Vijeća (EZ) br. 1466/97</w:t>
      </w:r>
      <w:r w:rsidRPr="006244F5">
        <w:rPr>
          <w:rStyle w:val="FootnoteReference"/>
        </w:rPr>
        <w:footnoteReference w:customMarkFollows="1" w:id="2"/>
        <w:t>2</w:t>
      </w:r>
      <w:r w:rsidRPr="006244F5">
        <w:t>,</w:t>
      </w:r>
    </w:p>
    <w:p w14:paraId="5E86FA74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Uredbu Vijeća (EU) 2024/1264 od 29. travnja 2024. o izmjeni Uredbe (EZ) br. 1467/97 o ubrzanju i pojašnjenju provedbe postupka u slučaju prekomjernog deficita</w:t>
      </w:r>
      <w:r w:rsidRPr="006244F5">
        <w:rPr>
          <w:rStyle w:val="FootnoteReference"/>
        </w:rPr>
        <w:footnoteReference w:customMarkFollows="1" w:id="3"/>
        <w:t>3</w:t>
      </w:r>
      <w:r w:rsidRPr="006244F5">
        <w:t>,</w:t>
      </w:r>
    </w:p>
    <w:p w14:paraId="7B430A15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Direktivu Vijeća (EU) 2024/1265 od 29. travnja 2024. o izmjeni Direktive 2011/85/EU o zahtjevima za proračunske okvire država članica</w:t>
      </w:r>
      <w:r w:rsidRPr="006244F5">
        <w:rPr>
          <w:rStyle w:val="FootnoteReference"/>
        </w:rPr>
        <w:footnoteReference w:customMarkFollows="1" w:id="4"/>
        <w:t>4</w:t>
      </w:r>
      <w:r w:rsidRPr="006244F5">
        <w:t>,</w:t>
      </w:r>
    </w:p>
    <w:p w14:paraId="55E6AE94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Uredbu (EU) br. 1173/2011 Europskog parlamenta i Vijeća od 16. studenoga 2011. o učinkovitoj provedbi proračunskog nadzora u europodručju</w:t>
      </w:r>
      <w:r w:rsidRPr="006244F5">
        <w:rPr>
          <w:rStyle w:val="FootnoteReference"/>
        </w:rPr>
        <w:footnoteReference w:customMarkFollows="1" w:id="5"/>
        <w:t>5</w:t>
      </w:r>
      <w:r w:rsidRPr="006244F5">
        <w:t>,</w:t>
      </w:r>
    </w:p>
    <w:p w14:paraId="0DC453C9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Uredbu (EU) br. 1174/2011 Europskog parlamenta i Vijeća od 16. studenoga 2011. o provedbenim mjerama za ispravljanje prekomjernih makroekonomskih neravnoteža u europodručju</w:t>
      </w:r>
      <w:r w:rsidRPr="006244F5">
        <w:rPr>
          <w:rStyle w:val="FootnoteReference"/>
        </w:rPr>
        <w:footnoteReference w:customMarkFollows="1" w:id="6"/>
        <w:t>6</w:t>
      </w:r>
      <w:r w:rsidRPr="006244F5">
        <w:t>,</w:t>
      </w:r>
    </w:p>
    <w:p w14:paraId="3FCF0EB3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Uredbu (EU) br. 1176/2011 Europskog parlamenta i Vijeća od 16. studenoga 2011. o sprečavanju i ispravljanju makroekonomskih neravnoteža</w:t>
      </w:r>
      <w:r w:rsidRPr="006244F5">
        <w:rPr>
          <w:rStyle w:val="FootnoteReference"/>
        </w:rPr>
        <w:footnoteReference w:customMarkFollows="1" w:id="7"/>
        <w:t>7</w:t>
      </w:r>
      <w:r w:rsidRPr="006244F5">
        <w:t>,</w:t>
      </w:r>
    </w:p>
    <w:p w14:paraId="0573CA37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 xml:space="preserve">uzimajući u obzir Uredbu (EU) br. 472/2013 Europskog parlamenta i Vijeća od 21. svibnja 2013. o jačanju gospodarskog i proračunskog nadzora država članica </w:t>
      </w:r>
      <w:proofErr w:type="spellStart"/>
      <w:r w:rsidRPr="006244F5">
        <w:t>europodručja</w:t>
      </w:r>
      <w:proofErr w:type="spellEnd"/>
      <w:r w:rsidRPr="006244F5">
        <w:t xml:space="preserve"> koje su u poteškoćama ili kojima prijete ozbiljne poteškoće u odnosu na njihovu financijsku stabilnost</w:t>
      </w:r>
      <w:r w:rsidRPr="006244F5">
        <w:rPr>
          <w:rStyle w:val="FootnoteReference"/>
        </w:rPr>
        <w:footnoteReference w:customMarkFollows="1" w:id="8"/>
        <w:t>8</w:t>
      </w:r>
      <w:r w:rsidRPr="006244F5">
        <w:t>,</w:t>
      </w:r>
    </w:p>
    <w:p w14:paraId="462143A5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Uredbu (EU) br. 473/2013 Europskog parlamenta i Vijeća od 21. svibnja 2013. o zajedničkim odredbama za praćenje i procjenu nacrta proračunskih planova i osiguranju smanjenja prekomjernog deficita država članica u europodručju</w:t>
      </w:r>
      <w:r w:rsidRPr="006244F5">
        <w:rPr>
          <w:rStyle w:val="FootnoteReference"/>
        </w:rPr>
        <w:footnoteReference w:customMarkFollows="1" w:id="9"/>
        <w:t>9</w:t>
      </w:r>
      <w:r w:rsidRPr="006244F5">
        <w:t>,</w:t>
      </w:r>
    </w:p>
    <w:p w14:paraId="052CFC78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Komisijinu proljetnu gospodarsku prognozu za 2025. od 19. svibnja 2025.,</w:t>
      </w:r>
    </w:p>
    <w:p w14:paraId="29DE2DCF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Komisijinu jesensku gospodarsku prognozu za 2025. od 17. studenoga 2025.,</w:t>
      </w:r>
    </w:p>
    <w:p w14:paraId="4B902A1A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Komisijin jesenski paket europskog semestra za 2026. od 25. studenoga 2025.,</w:t>
      </w:r>
    </w:p>
    <w:p w14:paraId="74AC015B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Komisijino Izvješće o održivosti duga za 2024. od 17. ožujka 2025.,</w:t>
      </w:r>
    </w:p>
    <w:p w14:paraId="05BCFF11" w14:textId="77777777" w:rsidR="00432B22" w:rsidRPr="006244F5" w:rsidRDefault="00432B22" w:rsidP="00432B22">
      <w:pPr>
        <w:pStyle w:val="NormalHanging"/>
      </w:pPr>
      <w:r w:rsidRPr="006244F5">
        <w:lastRenderedPageBreak/>
        <w:t>–</w:t>
      </w:r>
      <w:r w:rsidRPr="006244F5">
        <w:tab/>
        <w:t>uzimajući u obzir komunikaciju Komisije od 19. ožujka 2025. naslovljenu „Primjena povećanih rashoda za obranu u okviru Pakta o stabilnosti i rastu” (C(2025)2000),</w:t>
      </w:r>
    </w:p>
    <w:p w14:paraId="3E91DE28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godišnje izvješće Europskog fiskalnog odbora za 2025. objavljeno 22. listopada 2025.,</w:t>
      </w:r>
    </w:p>
    <w:p w14:paraId="7D047A19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 xml:space="preserve">uzimajući u obzir izvješće Marija </w:t>
      </w:r>
      <w:proofErr w:type="spellStart"/>
      <w:r w:rsidRPr="006244F5">
        <w:t>Draghija</w:t>
      </w:r>
      <w:proofErr w:type="spellEnd"/>
      <w:r w:rsidRPr="006244F5">
        <w:t xml:space="preserve"> od 9. rujna 2024. naslovljeno „Budućnost europske konkurentnosti” (</w:t>
      </w:r>
      <w:proofErr w:type="spellStart"/>
      <w:r w:rsidRPr="006244F5">
        <w:t>Draghijevo</w:t>
      </w:r>
      <w:proofErr w:type="spellEnd"/>
      <w:r w:rsidRPr="006244F5">
        <w:t xml:space="preserve"> izvješće),</w:t>
      </w:r>
    </w:p>
    <w:p w14:paraId="2FCCFB8E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zajedničku komunikaciju Komisije i visoke predstavnice Unije za vanjske poslove i sigurnosnu politiku od 19. ožujka 2025. naslovljenu „Bijela knjiga o budućnosti europske obrane” (JOIN(2025)0120),</w:t>
      </w:r>
    </w:p>
    <w:p w14:paraId="65DB54C5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 xml:space="preserve">uzimajući u obzir izvješće Zajedničkog istraživačkog centra naslovljeno „Mjerenje održive i </w:t>
      </w:r>
      <w:proofErr w:type="spellStart"/>
      <w:r w:rsidRPr="006244F5">
        <w:t>uključive</w:t>
      </w:r>
      <w:proofErr w:type="spellEnd"/>
      <w:r w:rsidRPr="006244F5">
        <w:t xml:space="preserve"> dobrobiti: višedimenzionalni pregled”, objavljeno 28. siječnja 2025.,</w:t>
      </w:r>
    </w:p>
    <w:p w14:paraId="2A4FEFC5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 xml:space="preserve">uzimajući u obzir </w:t>
      </w:r>
      <w:proofErr w:type="spellStart"/>
      <w:r w:rsidRPr="006244F5">
        <w:t>Međuinstitucijski</w:t>
      </w:r>
      <w:proofErr w:type="spellEnd"/>
      <w:r w:rsidRPr="006244F5">
        <w:t xml:space="preserve"> proglas o europskom stupu socijalnih prava od 13. prosinca 2017.,</w:t>
      </w:r>
    </w:p>
    <w:p w14:paraId="57AE291D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 xml:space="preserve">uzimajući u obzir Izjavu iz La </w:t>
      </w:r>
      <w:proofErr w:type="spellStart"/>
      <w:r w:rsidRPr="006244F5">
        <w:t>Hulpea</w:t>
      </w:r>
      <w:proofErr w:type="spellEnd"/>
      <w:r w:rsidRPr="006244F5">
        <w:t xml:space="preserve"> o budućnosti europskog stupa socijalnih prava od 16. travnja 2024.,</w:t>
      </w:r>
    </w:p>
    <w:p w14:paraId="4F6C217D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Socijalnu obvezu iz Porta od 7. svibnja 2021. koju su preuzeli Vijeće, Komisija, Parlament i socijalni partneri,</w:t>
      </w:r>
    </w:p>
    <w:p w14:paraId="024D9E18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članak 55. Poslovnika,</w:t>
      </w:r>
    </w:p>
    <w:p w14:paraId="76B69E7C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mišljenje Odbora za proračune,</w:t>
      </w:r>
    </w:p>
    <w:p w14:paraId="56EAFBDA" w14:textId="77777777" w:rsidR="00432B22" w:rsidRPr="006244F5" w:rsidRDefault="00432B22" w:rsidP="00432B22">
      <w:pPr>
        <w:pStyle w:val="NormalHanging"/>
      </w:pPr>
      <w:r w:rsidRPr="006244F5">
        <w:t>–</w:t>
      </w:r>
      <w:r w:rsidRPr="006244F5">
        <w:tab/>
        <w:t>uzimajući u obzir izvješće Odbora za ekonomsku i monetarnu politiku (A10-0036/2026),</w:t>
      </w:r>
    </w:p>
    <w:p w14:paraId="0FCCADE5" w14:textId="77777777" w:rsidR="00432B22" w:rsidRPr="006244F5" w:rsidRDefault="00432B22" w:rsidP="00432B22">
      <w:pPr>
        <w:pStyle w:val="NormalHanging"/>
      </w:pPr>
      <w:r w:rsidRPr="006244F5">
        <w:t>A.</w:t>
      </w:r>
      <w:r w:rsidRPr="006244F5">
        <w:tab/>
        <w:t>budući da europski semestar ima ključnu ulogu u koordiniranju i usklađivanju ekonomskih i proračunskih politika u državama članicama s ciljem zaštite makroekonomske stabilnosti ekonomske i monetarne unije i postizanja društveno pravednog prelaska na održivo gospodarstvo;</w:t>
      </w:r>
    </w:p>
    <w:p w14:paraId="3A37D98C" w14:textId="77777777" w:rsidR="00432B22" w:rsidRPr="006244F5" w:rsidRDefault="00432B22" w:rsidP="00432B22">
      <w:pPr>
        <w:pStyle w:val="NormalHanging"/>
      </w:pPr>
      <w:r w:rsidRPr="006244F5">
        <w:t>B.</w:t>
      </w:r>
      <w:r w:rsidRPr="006244F5">
        <w:tab/>
        <w:t>budući da će preporuke u okviru europskog semestra 2026. imati ključnu ulogu u izradi planova za nacionalno i regionalno partnerstvo koje države članice trebaju pripremiti;</w:t>
      </w:r>
    </w:p>
    <w:p w14:paraId="0BA1A1E9" w14:textId="77777777" w:rsidR="00432B22" w:rsidRPr="006244F5" w:rsidRDefault="00432B22" w:rsidP="00432B22">
      <w:pPr>
        <w:pStyle w:val="NormalHanging"/>
      </w:pPr>
      <w:r w:rsidRPr="006244F5">
        <w:t>C.</w:t>
      </w:r>
      <w:r w:rsidRPr="006244F5">
        <w:tab/>
        <w:t>budući da preporuke za pojedinačne zemlje u okviru europskog semestra redovito uključuju smanjenje socijalnih rashoda, dok tek rubno spominju povećanje prihoda;</w:t>
      </w:r>
    </w:p>
    <w:p w14:paraId="52CD1726" w14:textId="77777777" w:rsidR="00432B22" w:rsidRPr="006244F5" w:rsidRDefault="00432B22" w:rsidP="00432B22">
      <w:pPr>
        <w:pStyle w:val="NormalHanging"/>
      </w:pPr>
      <w:r w:rsidRPr="006244F5">
        <w:t>D.</w:t>
      </w:r>
      <w:r w:rsidRPr="006244F5">
        <w:tab/>
        <w:t>budući da gospodarski izgledi ostaju neizvjesni u prvom redu zbog ruske invazije na Ukrajinu i neizvjesnosti koja proizlazi iz protekcionističkih politika, carina i trgovinskih napetosti, što negativno utječe na gospodarstvo;</w:t>
      </w:r>
    </w:p>
    <w:p w14:paraId="20FDECCA" w14:textId="77777777" w:rsidR="00432B22" w:rsidRPr="006244F5" w:rsidRDefault="00432B22" w:rsidP="00432B22">
      <w:pPr>
        <w:pStyle w:val="NormalHanging"/>
      </w:pPr>
      <w:r w:rsidRPr="006244F5">
        <w:t>E.</w:t>
      </w:r>
      <w:r w:rsidRPr="006244F5">
        <w:tab/>
        <w:t>budući da se u Komisijinoj jesenskoj gospodarskoj prognozi za 2025. predviđa da će rast BDP-a u EU-u biti blizu moguće razine rasta, uz punu zaposlenost i inflaciju blizu ciljne razine iako je inflacija u nekim državama članicama i dalje visoka;</w:t>
      </w:r>
    </w:p>
    <w:p w14:paraId="4871CF02" w14:textId="77777777" w:rsidR="00432B22" w:rsidRPr="006244F5" w:rsidRDefault="00432B22" w:rsidP="00432B22">
      <w:pPr>
        <w:pStyle w:val="NormalHanging"/>
      </w:pPr>
      <w:r w:rsidRPr="006244F5">
        <w:lastRenderedPageBreak/>
        <w:t>F.</w:t>
      </w:r>
      <w:r w:rsidRPr="006244F5">
        <w:tab/>
        <w:t xml:space="preserve">budući da Komisija za EU u cjelini predviđa rast od 1,4 % do 1,5 % između 2025. i 2027., dok se u </w:t>
      </w:r>
      <w:proofErr w:type="spellStart"/>
      <w:r w:rsidRPr="006244F5">
        <w:t>europodručju</w:t>
      </w:r>
      <w:proofErr w:type="spellEnd"/>
      <w:r w:rsidRPr="006244F5">
        <w:t xml:space="preserve"> očekuje sporija dinamika (od 1,2 % do 1,4 %); budući da se očekuje da će se potencijalni rast u EU-u smanjiti s približno 1,5 % 2024. na 1,3 % 2027. (u </w:t>
      </w:r>
      <w:proofErr w:type="spellStart"/>
      <w:r w:rsidRPr="006244F5">
        <w:t>europodručju</w:t>
      </w:r>
      <w:proofErr w:type="spellEnd"/>
      <w:r w:rsidRPr="006244F5">
        <w:t xml:space="preserve"> s 1,4 % na 1,2 %), uglavnom zbog nepovoljnih demografskih trendova;</w:t>
      </w:r>
    </w:p>
    <w:p w14:paraId="511F6075" w14:textId="77777777" w:rsidR="00432B22" w:rsidRPr="006244F5" w:rsidRDefault="00432B22" w:rsidP="00432B22">
      <w:pPr>
        <w:pStyle w:val="NormalHanging"/>
      </w:pPr>
      <w:r w:rsidRPr="006244F5">
        <w:t>G.</w:t>
      </w:r>
      <w:r w:rsidRPr="006244F5">
        <w:tab/>
        <w:t xml:space="preserve">budući da EU ima goleme potrebe za ulaganjima, među ostalim za dodatnim godišnjim ulaganjima u iznosu od 800 milijardi EUR koja se u </w:t>
      </w:r>
      <w:proofErr w:type="spellStart"/>
      <w:r w:rsidRPr="006244F5">
        <w:t>Draghijevu</w:t>
      </w:r>
      <w:proofErr w:type="spellEnd"/>
      <w:r w:rsidRPr="006244F5">
        <w:t xml:space="preserve"> izvješću navode kao nužna za poticanje konkurentnosti i produktivnosti Europe, uključujući 450 milijardi EUR samo za energetsku tranziciju, od čega bi prema Institutu Rousseau 260 milijardi EUR trebalo doći iz javnog sektora; budući da je potrebno još 800 milijardi EUR dodatnih ulaganja za rashode za obranu u okviru plana </w:t>
      </w:r>
      <w:proofErr w:type="spellStart"/>
      <w:r w:rsidRPr="006244F5">
        <w:t>ReArm</w:t>
      </w:r>
      <w:proofErr w:type="spellEnd"/>
      <w:r w:rsidRPr="006244F5">
        <w:t xml:space="preserve"> Europe / </w:t>
      </w:r>
      <w:proofErr w:type="spellStart"/>
      <w:r w:rsidRPr="006244F5">
        <w:t>Readiness</w:t>
      </w:r>
      <w:proofErr w:type="spellEnd"/>
      <w:r w:rsidRPr="006244F5">
        <w:t> 2030; budući da za postizanje tih ciljeva ulaganja nedostaju odgovarajuća nova vlastita sredstva, zbog čega Unija nema fiskalni kapacitet potreban za njihovo postizanje; budući da se te potrebe ne mogu zadovoljiti samo javnim financiranjem;</w:t>
      </w:r>
    </w:p>
    <w:p w14:paraId="3BC45573" w14:textId="77777777" w:rsidR="00432B22" w:rsidRPr="006244F5" w:rsidRDefault="00432B22" w:rsidP="00432B22">
      <w:pPr>
        <w:pStyle w:val="NormalHanging"/>
      </w:pPr>
      <w:r w:rsidRPr="006244F5">
        <w:t>H.</w:t>
      </w:r>
      <w:r w:rsidRPr="006244F5">
        <w:tab/>
        <w:t>budući da se EU suočava s velikim izazovima, od stalnih prijetnji na njegovim istočnim granicama povezanih s ruskom ratnom agresijom na Ukrajinu do geopolitičke nestabilnosti i trgovinske nesigurnosti, uz postojane dugogodišnje izazove kao što su zelena i digitalna tranzicija;</w:t>
      </w:r>
    </w:p>
    <w:p w14:paraId="760EFAA9" w14:textId="77777777" w:rsidR="00432B22" w:rsidRPr="006244F5" w:rsidRDefault="00432B22" w:rsidP="00432B22">
      <w:pPr>
        <w:pStyle w:val="NormalHanging"/>
      </w:pPr>
      <w:r w:rsidRPr="006244F5">
        <w:t>I.</w:t>
      </w:r>
      <w:r w:rsidRPr="006244F5">
        <w:tab/>
        <w:t>budući da se UFEU-om utvrđuju referentne vrijednosti do 3 % za državni deficit i 60 % za udio duga u BDP-u; budući da su ukupni deficit EU-a i udio duga opće države u BDP-u i dalje iznad referentnih vrijednosti; budući da ni ukupni deficit ni udio državnog duga u BDP-u nisu ujednačeni u EU-u, uz znatne razlike u državama članicama;</w:t>
      </w:r>
    </w:p>
    <w:p w14:paraId="37B31616" w14:textId="77777777" w:rsidR="00432B22" w:rsidRPr="006244F5" w:rsidRDefault="00432B22" w:rsidP="00432B22">
      <w:pPr>
        <w:pStyle w:val="NormalHanging"/>
      </w:pPr>
      <w:r w:rsidRPr="006244F5">
        <w:t>J.</w:t>
      </w:r>
      <w:r w:rsidRPr="006244F5">
        <w:tab/>
        <w:t>budući da Vijeće, otkad je 2011. uspostavljen postupak u slučaju prekomjerne makroekonomske neravnoteže, niti jednom nije pokrenulo taj postupak;</w:t>
      </w:r>
    </w:p>
    <w:p w14:paraId="6C632B06" w14:textId="77777777" w:rsidR="00432B22" w:rsidRPr="006244F5" w:rsidRDefault="00432B22" w:rsidP="00432B22">
      <w:pPr>
        <w:pStyle w:val="NormalHanging"/>
      </w:pPr>
      <w:r w:rsidRPr="006244F5">
        <w:t>K.</w:t>
      </w:r>
      <w:r w:rsidRPr="006244F5">
        <w:tab/>
        <w:t xml:space="preserve">budući da se aktualna Komisija obvezala da će biti „Komisija za ulaganja” i da se oslanja na potporu Parlamenta, kao </w:t>
      </w:r>
      <w:proofErr w:type="spellStart"/>
      <w:r w:rsidRPr="006244F5">
        <w:t>suzakonodavca</w:t>
      </w:r>
      <w:proofErr w:type="spellEnd"/>
      <w:r w:rsidRPr="006244F5">
        <w:t>, da poduzme bitne mjere za povećanje ulaganja EU-a na razinu koja odgovara potrebama zelene i digitalne tranzicije; budući da Komisija tek treba ponuditi odgovarajući odgovor na goleme potrebe Unije za ulaganjima, posebno s obzirom na to da će Mehanizam za oporavak i otpornost (RRF) završiti krajem 2026.;</w:t>
      </w:r>
    </w:p>
    <w:p w14:paraId="337667A3" w14:textId="77777777" w:rsidR="00432B22" w:rsidRPr="006244F5" w:rsidRDefault="00432B22" w:rsidP="00432B22">
      <w:pPr>
        <w:pStyle w:val="NormalHanging"/>
      </w:pPr>
      <w:r w:rsidRPr="006244F5">
        <w:t>L.</w:t>
      </w:r>
      <w:r w:rsidRPr="006244F5">
        <w:tab/>
        <w:t>budući da su prethodne krize, uključujući pandemiju bolesti COVID-19, pokazale da zajednički i koordinirani europski odgovor jača Uniju; budući da u konkurentnom geoekonomskom okruženju Europa može zaštititi svoje interese i vrijednosti samo jedinstvom, naglašavajući potrebu za čvrstim okvirom makroekonomske politike i još većom koordinacijom gospodarskih i socijalnih politika u okviru europskog semestra;</w:t>
      </w:r>
    </w:p>
    <w:p w14:paraId="6072A5C4" w14:textId="77777777" w:rsidR="00432B22" w:rsidRPr="006244F5" w:rsidRDefault="00432B22" w:rsidP="00432B22">
      <w:pPr>
        <w:pStyle w:val="Normal12a"/>
      </w:pPr>
      <w:r w:rsidRPr="006244F5">
        <w:rPr>
          <w:b/>
          <w:i/>
        </w:rPr>
        <w:t>Gospodarski izgledi za EU</w:t>
      </w:r>
    </w:p>
    <w:p w14:paraId="294E29F8" w14:textId="77777777" w:rsidR="00432B22" w:rsidRPr="006244F5" w:rsidRDefault="00432B22" w:rsidP="00432B22">
      <w:pPr>
        <w:pStyle w:val="NormalHanging12a"/>
      </w:pPr>
      <w:r w:rsidRPr="006244F5">
        <w:t>1.</w:t>
      </w:r>
      <w:r w:rsidRPr="006244F5">
        <w:tab/>
        <w:t xml:space="preserve">konstatira da se tijekom posljednjih pet godina EU suočio s velikim izazovima, uključujući izbijanje pandemije bolesti COVID-19 i ruski protuzakoniti i neopravdani rat protiv Ukrajine, koji su imali velike gospodarske posljedice; prima na znanje brzinu i učinak inicijativa i instrumenata na razini EU-a za pružanje odgovora na gospodarske i društvene posljedice vanjskih šokova, posebno Mehanizma za oporavak i otpornost i </w:t>
      </w:r>
      <w:r w:rsidRPr="006244F5">
        <w:lastRenderedPageBreak/>
        <w:t>Europskog instrumenta za privremenu potporu radi smanjenja rizika od nezaposlenosti u izvanrednoj situaciji (SURE);</w:t>
      </w:r>
    </w:p>
    <w:p w14:paraId="36ACD9CC" w14:textId="77777777" w:rsidR="00432B22" w:rsidRPr="006244F5" w:rsidRDefault="00432B22" w:rsidP="00432B22">
      <w:pPr>
        <w:pStyle w:val="NormalHanging12a"/>
      </w:pPr>
      <w:r w:rsidRPr="006244F5">
        <w:t>2.</w:t>
      </w:r>
      <w:r w:rsidRPr="006244F5">
        <w:tab/>
        <w:t xml:space="preserve">primjećuje da se u Komisijinoj jesenskoj gospodarskoj prognozi za 2025., koja je objavljena 17. studenoga 2025., predviđa da će se BDP EU-a 2025. povećati za 1,4 % u odnosu na 2024. i za 1,4 % 2026.; primjećuje da na temelju te prognoze EU i dalje zaostaje za Sjedinjenim Američkim Državama i Kinom u pogledu očekivanog rasta; ističe da su </w:t>
      </w:r>
      <w:proofErr w:type="spellStart"/>
      <w:r w:rsidRPr="006244F5">
        <w:t>europodručje</w:t>
      </w:r>
      <w:proofErr w:type="spellEnd"/>
      <w:r w:rsidRPr="006244F5">
        <w:t xml:space="preserve"> i EU, unatoč znatnim izazovima, pokazali otpornost;</w:t>
      </w:r>
    </w:p>
    <w:p w14:paraId="202C449F" w14:textId="77777777" w:rsidR="00432B22" w:rsidRPr="006244F5" w:rsidRDefault="00432B22" w:rsidP="00432B22">
      <w:pPr>
        <w:pStyle w:val="NormalHanging12a"/>
      </w:pPr>
      <w:r w:rsidRPr="006244F5">
        <w:t>3.</w:t>
      </w:r>
      <w:r w:rsidRPr="006244F5">
        <w:tab/>
        <w:t xml:space="preserve">napominje da će se potencijalni rast, koji označava stopu rasta koju gospodarstvo može održati bez prekomjerne inflacije, smanjiti s 1,5 % 2024. na 1,3 % 2027. u EU-u, odnosno s 1,4 % na 1,2 % u </w:t>
      </w:r>
      <w:proofErr w:type="spellStart"/>
      <w:r w:rsidRPr="006244F5">
        <w:t>europodručju</w:t>
      </w:r>
      <w:proofErr w:type="spellEnd"/>
      <w:r w:rsidRPr="006244F5">
        <w:t>, s obzirom na usporavanje rasta radno sposobnog stanovništva; smatra da su te potencijalne razine rasta preniske da bi se svladali izazovi koji čekaju europsko gospodarstvo u nadolazećim godinama;</w:t>
      </w:r>
    </w:p>
    <w:p w14:paraId="5D51559C" w14:textId="77777777" w:rsidR="00432B22" w:rsidRPr="006244F5" w:rsidRDefault="00432B22" w:rsidP="00432B22">
      <w:pPr>
        <w:pStyle w:val="NormalHanging12a"/>
      </w:pPr>
      <w:r w:rsidRPr="006244F5">
        <w:t>4.</w:t>
      </w:r>
      <w:r w:rsidRPr="006244F5">
        <w:tab/>
        <w:t xml:space="preserve">napominje da se u Komisijinoj jesenskoj gospodarskoj prognozi za 2025. predviđa da će se ukupni deficit </w:t>
      </w:r>
      <w:proofErr w:type="spellStart"/>
      <w:r w:rsidRPr="006244F5">
        <w:t>europodručja</w:t>
      </w:r>
      <w:proofErr w:type="spellEnd"/>
      <w:r w:rsidRPr="006244F5">
        <w:t xml:space="preserve"> povećati s 3,1 % BDP-a 2024. na 3,2 % BDP-a u 2025.; napominje da se na temelju aktualnih politika 2026. očekuje porast deficita na 3,3 % BDP-a;</w:t>
      </w:r>
    </w:p>
    <w:p w14:paraId="144E3750" w14:textId="77777777" w:rsidR="00432B22" w:rsidRPr="006244F5" w:rsidRDefault="00432B22" w:rsidP="00432B22">
      <w:pPr>
        <w:pStyle w:val="NormalHanging12a"/>
      </w:pPr>
      <w:r w:rsidRPr="006244F5">
        <w:t>5.</w:t>
      </w:r>
      <w:r w:rsidRPr="006244F5">
        <w:tab/>
        <w:t>napominje da će 2027. godine 12 država članica imati deficite koji premašuju 3 % BDP</w:t>
      </w:r>
      <w:r w:rsidRPr="006244F5">
        <w:noBreakHyphen/>
        <w:t>a te da se postupci u slučaju prekomjernog deficita primjenjuju na 10 država članica;</w:t>
      </w:r>
    </w:p>
    <w:p w14:paraId="17ACB249" w14:textId="77777777" w:rsidR="00432B22" w:rsidRPr="006244F5" w:rsidRDefault="00432B22" w:rsidP="00432B22">
      <w:pPr>
        <w:pStyle w:val="NormalHanging12a"/>
      </w:pPr>
      <w:r w:rsidRPr="006244F5">
        <w:t>6.</w:t>
      </w:r>
      <w:r w:rsidRPr="006244F5">
        <w:tab/>
        <w:t xml:space="preserve">napominje da se očekuje da će omjer bruto duga opće države i BDP-a u Uniji 2025. dosegnuti 82,8 % te da se procjenjuje da će 2026. porasti na 83,8 % te 2027. na 84,5 %, što je iznad referentne vrijednosti od 60 % utvrđene u Ugovorima za države članice; napominje da se predviđa da će dug opće države 2026. u </w:t>
      </w:r>
      <w:proofErr w:type="spellStart"/>
      <w:r w:rsidRPr="006244F5">
        <w:t>europodručju</w:t>
      </w:r>
      <w:proofErr w:type="spellEnd"/>
      <w:r w:rsidRPr="006244F5">
        <w:t xml:space="preserve"> porasti na 89,8 % te 2027. na 90,4 %; napominje da se razine duga znatno razlikuju među državama članicama;</w:t>
      </w:r>
    </w:p>
    <w:p w14:paraId="5740532A" w14:textId="77777777" w:rsidR="00432B22" w:rsidRPr="006244F5" w:rsidRDefault="00432B22" w:rsidP="00432B22">
      <w:pPr>
        <w:pStyle w:val="NormalHanging12a"/>
      </w:pPr>
      <w:r w:rsidRPr="006244F5">
        <w:t>7.</w:t>
      </w:r>
      <w:r w:rsidRPr="006244F5">
        <w:tab/>
        <w:t>poziva države članice da provode razborite fiskalne politike kako bi se zaštitila održivost javnog duga;</w:t>
      </w:r>
    </w:p>
    <w:p w14:paraId="59C35862" w14:textId="77777777" w:rsidR="00432B22" w:rsidRPr="006244F5" w:rsidRDefault="00432B22" w:rsidP="00432B22">
      <w:pPr>
        <w:pStyle w:val="NormalHanging12a"/>
      </w:pPr>
      <w:r w:rsidRPr="006244F5">
        <w:t>8.</w:t>
      </w:r>
      <w:r w:rsidRPr="006244F5">
        <w:tab/>
        <w:t>podsjeća da ekstremni vremenski uvjeti znatno utječu na javne financije; svjestan je da će se učinak i učestalost ekstremnih vremenskih uvjeta u nadolazećim godinama samo povećavati;</w:t>
      </w:r>
    </w:p>
    <w:p w14:paraId="3622978C" w14:textId="77777777" w:rsidR="00432B22" w:rsidRPr="006244F5" w:rsidRDefault="00432B22" w:rsidP="00432B22">
      <w:pPr>
        <w:pStyle w:val="NormalHanging12a"/>
      </w:pPr>
      <w:r w:rsidRPr="006244F5">
        <w:t>9.</w:t>
      </w:r>
      <w:r w:rsidRPr="006244F5">
        <w:tab/>
        <w:t xml:space="preserve">pozdravlja činjenicu da se nakon najviše razine od 10,6 % u listopadu 2022. inflacija u </w:t>
      </w:r>
      <w:proofErr w:type="spellStart"/>
      <w:r w:rsidRPr="006244F5">
        <w:t>europodručju</w:t>
      </w:r>
      <w:proofErr w:type="spellEnd"/>
      <w:r w:rsidRPr="006244F5">
        <w:t xml:space="preserve"> spustila na ciljanu razinu Europske središnje banke; međutim, napominje da je inflacija u državama članicama i dalje na različitim razinama, s višim razinama u nekim državama članicama, uključujući one s energetski intenzivnim industrijama; napominje da su i temeljna inflacija i inflacijska očekivanja i dalje iznad ciljane razine; ističe kontinuirani učinak inflacije cijena hrane i energije na europska kućanstva; napominje da inflacija neravnomjerno utječe na dohodovne skupine, pri čemu su najteže pogođena kućanstva s niskim prihodima;</w:t>
      </w:r>
    </w:p>
    <w:p w14:paraId="681C9792" w14:textId="77777777" w:rsidR="00432B22" w:rsidRPr="006244F5" w:rsidRDefault="00432B22" w:rsidP="00432B22">
      <w:pPr>
        <w:pStyle w:val="NormalHanging12a"/>
      </w:pPr>
      <w:r w:rsidRPr="006244F5">
        <w:t>10.</w:t>
      </w:r>
      <w:r w:rsidRPr="006244F5">
        <w:tab/>
        <w:t xml:space="preserve">izražava zabrinutost zbog toga što će nedovoljna privatna i javna ulaganja vjerojatno biti prepreka održivom rastu i konkurentnosti u Europi te spriječiti Uniju u ispunjavanju zajedničkih prioriteta navedenih u strateškom programu EU-a za razdoblje 2024. – 2029.; naglašava da države članice moraju pojačati napore za uklanjanje prepreka i </w:t>
      </w:r>
      <w:r w:rsidRPr="006244F5">
        <w:lastRenderedPageBreak/>
        <w:t>mobilizaciju većih privatnih ulaganja u skladu sa strategijom Komisije za uniju štednje i ulaganja; svjestan je da je politički cilj Komisije pojednostaviti regulatorni okvir i znatno smanjiti administrativno opterećenje kako bi se potaknula privatna ulaganja; ističe da su za povećanje potencijalnog rasta EU-a hitno potrebna ulaganja u područja kao što su istraživanje i razvoj, infrastruktura i inovacije; ustraje u ključnoj ulozi sljedećeg višegodišnjeg financijskog okvira ne samo kako bi se osigurala javna ulaganja, već i kako bi se pomoglo u mobilizaciji privatnih ulaganja te u tom kontekstu naglašava da su financijski instrumenti i proračunska jamstva snažni i učinkoviti alati za postizanje ključnih političkih ciljeva EU-a te financijski instrumenti spremni za korištenje na razini Unije;</w:t>
      </w:r>
    </w:p>
    <w:p w14:paraId="2BEFA158" w14:textId="77777777" w:rsidR="00432B22" w:rsidRPr="006244F5" w:rsidRDefault="00432B22" w:rsidP="00432B22">
      <w:pPr>
        <w:pStyle w:val="NormalHanging12a"/>
      </w:pPr>
      <w:r w:rsidRPr="006244F5">
        <w:t>11.</w:t>
      </w:r>
      <w:r w:rsidRPr="006244F5">
        <w:tab/>
        <w:t>napominje da se u Komisijinom europskom makroekonomskom izvješću potvrđuje da je cjenovna pristupačnost stanovanja makroekonomsko i socijalno pitanje, posebno zbog nametanja potencijalnih ograničenja za mobilnost radne snage i dugoročnog slabljenja rasta produktivnosti;</w:t>
      </w:r>
    </w:p>
    <w:p w14:paraId="230D76A0" w14:textId="5D1F724D" w:rsidR="00432B22" w:rsidRPr="006244F5" w:rsidRDefault="00432B22" w:rsidP="00432B22">
      <w:pPr>
        <w:pStyle w:val="NormalHanging12a"/>
      </w:pPr>
      <w:r w:rsidRPr="006244F5">
        <w:t>12.</w:t>
      </w:r>
      <w:r w:rsidRPr="006244F5">
        <w:tab/>
        <w:t xml:space="preserve">ističe da je za tehnološku transformaciju EU-a i osiguravanje otpornih lanaca opskrbe, uz istodobno očuvanje konkurentnih i nenarušenih tržišta, neophodna dosljedna i </w:t>
      </w:r>
      <w:r w:rsidR="00A90502" w:rsidRPr="00A90502">
        <w:rPr>
          <w:bCs/>
          <w:iCs/>
        </w:rPr>
        <w:t>ciljana</w:t>
      </w:r>
      <w:r w:rsidRPr="006244F5">
        <w:t xml:space="preserve"> industrijska politika;</w:t>
      </w:r>
    </w:p>
    <w:p w14:paraId="568CA0CE" w14:textId="77777777" w:rsidR="00432B22" w:rsidRPr="006244F5" w:rsidRDefault="00432B22" w:rsidP="00432B22">
      <w:pPr>
        <w:pStyle w:val="NormalHanging12a"/>
      </w:pPr>
      <w:r w:rsidRPr="006244F5">
        <w:t>13.</w:t>
      </w:r>
      <w:r w:rsidRPr="006244F5">
        <w:tab/>
        <w:t>konstatira da je stopa zaposlenosti u Uniji u prosjeku dosegnula rekordno visoku razinu, što je pokazatelj dinamičnog tržišta rada u većini država članica; naglašava uključivanje okvira socijalne konvergencije u europski semestar; ističe da se model strukovnog obrazovanja i osposobljavanja pokazao uspješnim u državama članicama koje su se za njega odlučile; žali zbog činjenice da među državama članicama postoje velike razlike u stopama nezaposlenosti, posebno kad je riječ o mladima;</w:t>
      </w:r>
    </w:p>
    <w:p w14:paraId="6C01E004" w14:textId="77777777" w:rsidR="00432B22" w:rsidRPr="006244F5" w:rsidRDefault="00432B22" w:rsidP="00432B22">
      <w:pPr>
        <w:pStyle w:val="NormalHanging12a"/>
      </w:pPr>
      <w:r w:rsidRPr="006244F5">
        <w:t>14.</w:t>
      </w:r>
      <w:r w:rsidRPr="006244F5">
        <w:tab/>
        <w:t>ponavlja važnost očuvanja jednakih uvjeta na jedinstvenom tržištu i poziva države članice da poduzmu mjere za produbljivanje jedinstvenog tržišta uklanjanjem unutarnjih prepreka;</w:t>
      </w:r>
    </w:p>
    <w:p w14:paraId="1EFBE9D9" w14:textId="77777777" w:rsidR="00432B22" w:rsidRPr="00377F61" w:rsidRDefault="00432B22" w:rsidP="00432B22">
      <w:pPr>
        <w:pStyle w:val="Normal12a"/>
        <w:rPr>
          <w:b/>
          <w:bCs/>
          <w:i/>
          <w:iCs/>
        </w:rPr>
      </w:pPr>
      <w:r w:rsidRPr="00377F61">
        <w:rPr>
          <w:b/>
          <w:bCs/>
          <w:i/>
          <w:iCs/>
        </w:rPr>
        <w:t>Primjena revidiranog okvira gospodarskog upravljanja EU-a</w:t>
      </w:r>
    </w:p>
    <w:p w14:paraId="4146EEFE" w14:textId="77777777" w:rsidR="00432B22" w:rsidRPr="006244F5" w:rsidRDefault="00432B22" w:rsidP="00432B22">
      <w:pPr>
        <w:pStyle w:val="NormalHanging12a"/>
      </w:pPr>
      <w:r w:rsidRPr="006244F5">
        <w:t>15.</w:t>
      </w:r>
      <w:r w:rsidRPr="006244F5">
        <w:tab/>
        <w:t xml:space="preserve">podsjeća da je svrha reforme okvira gospodarskog upravljanja učiniti ga jednostavnijim, transparentnijim i učinkovitijim, povećati nacionalnu odgovornost te poboljšati provedbu i njegovu sposobnost prilagodbe heterogenosti fiskalnih pozicija, javnog duga i gospodarskih izazova te pomoći u rješavanju srednjoročnih i dugoročnih izazova s kojima se EU i njegove države članice suočavaju, uključujući promicanjem </w:t>
      </w:r>
      <w:proofErr w:type="spellStart"/>
      <w:r w:rsidRPr="006244F5">
        <w:t>protucikličkih</w:t>
      </w:r>
      <w:proofErr w:type="spellEnd"/>
      <w:r w:rsidRPr="006244F5">
        <w:t xml:space="preserve"> fiskalnih politika;</w:t>
      </w:r>
    </w:p>
    <w:p w14:paraId="594B52D9" w14:textId="77777777" w:rsidR="00432B22" w:rsidRPr="006244F5" w:rsidRDefault="00432B22" w:rsidP="00432B22">
      <w:pPr>
        <w:pStyle w:val="NormalHanging12a"/>
      </w:pPr>
      <w:r w:rsidRPr="006244F5">
        <w:t>16.</w:t>
      </w:r>
      <w:r w:rsidRPr="006244F5">
        <w:tab/>
        <w:t>ističe da je prema reformiranom okviru gospodarskog upravljanja rast neto rashoda jedinstveni operativni pokazatelj za praćenje usklađenosti država članica s relevantnim preporukama Vijeća; ističe da će brojne države članice i dalje imati nedovoljan fiskalni kapacitet za ispunjenje znatnih potreba za ulaganjima; prima na znanje da je nacionalna klauzula o odstupanju već aktivirana za rashode za obranu samo godinu dana nakon stupanja na snagu revidiranih pravila kao kratkoročni odgovor na izvanredne događaje izvan kontrole određene zemlje; ističe da je nacionalna klauzula o odstupanju namijenjena za privremene hitne situacije specifične za pojedinu zemlju i da nije prikladna za dugoročne strukturne potrebe;</w:t>
      </w:r>
    </w:p>
    <w:p w14:paraId="39B64119" w14:textId="77777777" w:rsidR="00432B22" w:rsidRPr="006244F5" w:rsidRDefault="00432B22" w:rsidP="00432B22">
      <w:pPr>
        <w:pStyle w:val="NormalHanging12a"/>
      </w:pPr>
      <w:r w:rsidRPr="006244F5">
        <w:lastRenderedPageBreak/>
        <w:t>17.</w:t>
      </w:r>
      <w:r w:rsidRPr="006244F5">
        <w:tab/>
        <w:t>naglašava da je Komisija proširila svoje diskrecijske ovlasti kao dio reformiranog okvira gospodarskog upravljanja, posebno procesom na kojem se temelje srednjoročni fiskalno-strukturni planovi; prima na znanje zaključak Europskog fiskalnog odbora da je Komisija koristila određenu diskreciju u slučaju odgode ili odluke o nepokretanju postupaka u slučaju prekomjernog deficita; naglašava da je ujednačena primjena fiskalnih pravila EU-a presudna da bi se održala vjerodostojnost okvira gospodarskog upravljanja, osiguralo jednako postupanje prema državama članicama te podržao dosljedan i istinski europski pristup;</w:t>
      </w:r>
    </w:p>
    <w:p w14:paraId="1FEC3600" w14:textId="77777777" w:rsidR="00432B22" w:rsidRPr="006244F5" w:rsidRDefault="00432B22" w:rsidP="00432B22">
      <w:pPr>
        <w:pStyle w:val="NormalHanging12a"/>
      </w:pPr>
      <w:r w:rsidRPr="006244F5">
        <w:t>18.</w:t>
      </w:r>
      <w:r w:rsidRPr="006244F5">
        <w:tab/>
        <w:t>prima na znanje ciljane izmjene okvira gospodarskog upravljanja EU-a koje je Komisija objavila 2. listopada 2025. radi osiguravanja dosljednosti nakon najnovijeg ažuriranja okvira gospodarskog upravljanja;</w:t>
      </w:r>
    </w:p>
    <w:p w14:paraId="43E05047" w14:textId="77777777" w:rsidR="00432B22" w:rsidRPr="006244F5" w:rsidRDefault="00432B22" w:rsidP="00432B22">
      <w:pPr>
        <w:pStyle w:val="NormalHanging12a"/>
      </w:pPr>
      <w:r w:rsidRPr="006244F5">
        <w:t>19.</w:t>
      </w:r>
      <w:r w:rsidRPr="006244F5">
        <w:tab/>
        <w:t>sa zabrinutošću prima na znanje zaključke Europskog fiskalnog odbora da otprilike polovina neovisnih fiskalnih institucija nije službeno sudjelovala u pripremi srednjoročnih fiskalno-strukturnih planova; smatra da bi veće sudjelovanje neovisnih fiskalnih institucija povećalo transparentnost i vanjski nadzor u ključnom trenutku tranzicije;</w:t>
      </w:r>
    </w:p>
    <w:p w14:paraId="0F748911" w14:textId="77777777" w:rsidR="00432B22" w:rsidRPr="006244F5" w:rsidRDefault="00432B22" w:rsidP="00432B22">
      <w:pPr>
        <w:pStyle w:val="Normal12a"/>
      </w:pPr>
      <w:r w:rsidRPr="006244F5">
        <w:rPr>
          <w:b/>
          <w:i/>
        </w:rPr>
        <w:t>Smjer fiskalne politike</w:t>
      </w:r>
    </w:p>
    <w:p w14:paraId="04BAF96B" w14:textId="77777777" w:rsidR="00432B22" w:rsidRPr="006244F5" w:rsidRDefault="00432B22" w:rsidP="00432B22">
      <w:pPr>
        <w:pStyle w:val="NormalHanging12a"/>
      </w:pPr>
      <w:r w:rsidRPr="006244F5">
        <w:t>20.</w:t>
      </w:r>
      <w:r w:rsidRPr="006244F5">
        <w:tab/>
        <w:t xml:space="preserve">ističe da su posljednjih godina javna ulaganja znatno porasla, pri čemu je za otprilike polovinu povećanja od 2019. do 2025. zaslužno financiranje EU-a, prvenstveno u okviru Mehanizma za oporavak i otpornost; napominje da se nastavak tih koristi očekuje i nakon 2026., uz važne učinke prelijevanja među državama članicama, te da bi dugoročni učinak strukturnih reformi mogao povećati potencijalne rezultate </w:t>
      </w:r>
      <w:proofErr w:type="spellStart"/>
      <w:r w:rsidRPr="006244F5">
        <w:t>europodručja</w:t>
      </w:r>
      <w:proofErr w:type="spellEnd"/>
      <w:r w:rsidRPr="006244F5">
        <w:t xml:space="preserve"> za do 1,3 % BDP-a u razdoblju od 2020. do 2033. u usporedbi sa scenarijem bez Mehanizma za oporavak i otpornost; izražava zabrinutost zbog činjenice da Mehanizam za oporavak i otpornost istječe 2026. te zbog učinka koji bi to moglo imati na opći smjer fiskalne politike EU-a; potiče države članice da do kolovoza 2026. dovrše provedbu svojih planova za oporavak i otpornost; podsjeća da se dužnički instrumenti izdani za financiranje Mehanizma za oporavak i otpornost moraju otplatiti do 2058., i to na način kojim se jamči stabilno i predvidljivo smanjenje obveza;</w:t>
      </w:r>
    </w:p>
    <w:p w14:paraId="13FF1FBE" w14:textId="77777777" w:rsidR="00432B22" w:rsidRPr="006244F5" w:rsidRDefault="00432B22" w:rsidP="00432B22">
      <w:pPr>
        <w:pStyle w:val="NormalHanging12a"/>
      </w:pPr>
      <w:r w:rsidRPr="006244F5">
        <w:t>21.</w:t>
      </w:r>
      <w:r w:rsidRPr="006244F5">
        <w:tab/>
        <w:t>prima na znanje preporuku Komisije da bi opći smjer fiskalne politike država članica 2026., unatoč znatnim razlikama među državama članicama, trebao ostati uglavnom neutralan;</w:t>
      </w:r>
    </w:p>
    <w:p w14:paraId="3D717365" w14:textId="77777777" w:rsidR="00432B22" w:rsidRPr="006244F5" w:rsidRDefault="00432B22" w:rsidP="00432B22">
      <w:pPr>
        <w:pStyle w:val="NormalHanging12a"/>
      </w:pPr>
      <w:r w:rsidRPr="006244F5">
        <w:t>22.</w:t>
      </w:r>
      <w:r w:rsidRPr="006244F5">
        <w:tab/>
        <w:t xml:space="preserve">naglašava da su javni prihodi i javni rashodi neophodni za osiguravanje održivosti nacionalnih proračuna; podsjeća na preporuku Vijeća o ekonomskoj politici </w:t>
      </w:r>
      <w:proofErr w:type="spellStart"/>
      <w:r w:rsidRPr="006244F5">
        <w:t>europodručja</w:t>
      </w:r>
      <w:proofErr w:type="spellEnd"/>
      <w:r w:rsidRPr="006244F5">
        <w:t xml:space="preserve"> od 17. veljače 2026. u kojoj se poziva na smanjenje poreznih jazova poboljšanjem porezne discipline, uključujući rješavanjem problema izbjegavanja plaćanja poreza i utaje poreza, te na borbu protiv agresivnog poreznog planiranja; naglašava da slaba provedba u okviru poreznih uprava te u pogledu borbe protiv utaje i izbjegavanja plaćanja poreza ugrožava fiskalnu održivost i doprinosi makroekonomskim neravnotežama;</w:t>
      </w:r>
    </w:p>
    <w:p w14:paraId="4464CC72" w14:textId="77777777" w:rsidR="00432B22" w:rsidRPr="006244F5" w:rsidRDefault="00432B22" w:rsidP="00432B22">
      <w:pPr>
        <w:pStyle w:val="NormalHanging12a"/>
      </w:pPr>
      <w:r w:rsidRPr="006244F5">
        <w:t>23.</w:t>
      </w:r>
      <w:r w:rsidRPr="006244F5">
        <w:tab/>
        <w:t xml:space="preserve">prima na znanje promjenu programske politike Komisije u aktualnom ciklusu europskog semestra, u kojem se smjernice za paket semestra temelje na Kompasu konkurentnosti umjesto na godišnjem pregledu održivog rasta; ističe da se tom promjenom jača usmjerenost okvira semestra; ističe važnost kontinuiteta u pogledu </w:t>
      </w:r>
      <w:r w:rsidRPr="006244F5">
        <w:lastRenderedPageBreak/>
        <w:t>preporuka za pojedine zemlje, koje su osmišljene kao višegodišnje i dugoročne reformske obveze, te u pogledu napora država članica da ostvare dugoročne ciljeve; poziva Komisiju da osigura sveobuhvatnu viziju europske konkurentnosti te da se dugoročni tranzicijski prioriteti u uzastopnim ciklusima semestra nastave dosljedno i koherentno odražavati u preporukama za pojedine zemlje;</w:t>
      </w:r>
    </w:p>
    <w:p w14:paraId="6A041AB0" w14:textId="77777777" w:rsidR="00432B22" w:rsidRPr="006244F5" w:rsidRDefault="00432B22" w:rsidP="00432B22">
      <w:pPr>
        <w:pStyle w:val="Normal12a"/>
      </w:pPr>
      <w:r w:rsidRPr="006244F5">
        <w:rPr>
          <w:b/>
          <w:i/>
        </w:rPr>
        <w:t>Preporuke za pojedine zemlje</w:t>
      </w:r>
    </w:p>
    <w:p w14:paraId="3A80B3A5" w14:textId="77777777" w:rsidR="00432B22" w:rsidRPr="006244F5" w:rsidRDefault="00432B22" w:rsidP="00432B22">
      <w:pPr>
        <w:pStyle w:val="NormalHanging12a"/>
      </w:pPr>
      <w:r w:rsidRPr="006244F5">
        <w:t>24.</w:t>
      </w:r>
      <w:r w:rsidRPr="006244F5">
        <w:tab/>
        <w:t>napominje da preporuke za pojedine zemlje sadržavaju preporuku o fiskalnoj politici za svaku državu članicu, uključujući o fiskalno-strukturnim reformama ako su potrebne; prima na znanje da je Komisija predana tome da europski semestar koristi za promicanje konkurentnosti, stabilnosti, gospodarskog rasta, održivosti i socijalne pravednosti te da u europski semestar integrira UN-ove ciljeve održivog razvoja i europski stup socijalnih prava; ističe da je europski semestar ključni alat za koordinaciju dobrih makroekonomskih i proračunskih politika u državama članicama, čime se štiti makroekonomska stabilnost ekonomske i monetarne unije; ističe važnost preporuka za pojedinu zemlju kao temelja koordinacije europske gospodarske politike; podsjeća da su preporuke za pojedinu zemlju političke mjere koje su također sastavni dio srednjoročnih fiskalno-strukturnih planova, nacionalnih planova za oporavak i otpornost te najavljenih prijedloga planova za nacionalno i regionalno partnerstvo;</w:t>
      </w:r>
    </w:p>
    <w:p w14:paraId="76789562" w14:textId="77777777" w:rsidR="00432B22" w:rsidRPr="006244F5" w:rsidRDefault="00432B22" w:rsidP="00432B22">
      <w:pPr>
        <w:pStyle w:val="NormalHanging12a"/>
      </w:pPr>
      <w:r w:rsidRPr="006244F5">
        <w:t>25.</w:t>
      </w:r>
      <w:r w:rsidRPr="006244F5">
        <w:tab/>
        <w:t>podsjeća na ulogu preporuka za pojedine zemlje u koordinaciji prioriteta EU-a; primjećuje nedostatak napretka u pogledu djelotvorne provedbe preporuka za pojedine zemlje; napominje da od 2019. do 2023. u 25,1 % preporuka za pojedine zemlje nije zabilježen nikakav napredak ili je on bio ograničen; poziva Komisiju da preispita način na koji se preporuke za pojedine zemlje izrađuju i prate, posebno u pogledu njihove buduće uloge u pristupu sredstvima EU-a; podsjeća na svoj zahtjev da preporuka za pojedine zemlje bude manje, ali da budu usmjerenije;</w:t>
      </w:r>
    </w:p>
    <w:p w14:paraId="0B07C5A5" w14:textId="77777777" w:rsidR="00432B22" w:rsidRPr="006244F5" w:rsidRDefault="00432B22" w:rsidP="00432B22">
      <w:pPr>
        <w:pStyle w:val="NormalHanging12a"/>
      </w:pPr>
      <w:r w:rsidRPr="006244F5">
        <w:t>26.</w:t>
      </w:r>
      <w:r w:rsidRPr="006244F5">
        <w:tab/>
        <w:t>prima na znanje ambiciju Komisije da u preporukama za pojedine zemlje dodatno uzima u obzir mjere koje su ključne za uniju štednje i ulaganja, kako je najavljeno u njezinoj komunikaciji od 19. ožujka 2025.</w:t>
      </w:r>
      <w:r w:rsidRPr="006244F5">
        <w:rPr>
          <w:rStyle w:val="FootnoteReference"/>
        </w:rPr>
        <w:footnoteReference w:customMarkFollows="1" w:id="10"/>
        <w:t>10</w:t>
      </w:r>
      <w:r w:rsidRPr="006244F5">
        <w:t>;</w:t>
      </w:r>
    </w:p>
    <w:p w14:paraId="4435F3ED" w14:textId="77777777" w:rsidR="00432B22" w:rsidRPr="006244F5" w:rsidRDefault="00432B22" w:rsidP="00432B22">
      <w:pPr>
        <w:pStyle w:val="NormalHanging12a"/>
      </w:pPr>
      <w:r w:rsidRPr="006244F5">
        <w:t>27.</w:t>
      </w:r>
      <w:r w:rsidRPr="006244F5">
        <w:tab/>
        <w:t>prima na znanje da će u sljedećem višegodišnjem financijskom okviru preporuke za pojedine zemlje imati veću ulogu u pogledu usmjeravanja ulaganja i reformi na nacionalnoj i regionalnoj razini; smatra da bi se odabir reformi i ulaganja trebao temeljiti na njihovoj učinkovitosti u rješavanju relevantnih preporuka za pojedine zemlje s ciljem postizanja pravedne tranzicije prema zelenom i konkurentnom europskom gospodarstvu; ističe da taj proces mora pratiti stroži demokratski nadzor i veća odgovornost država članica;</w:t>
      </w:r>
    </w:p>
    <w:p w14:paraId="64DBB2A6" w14:textId="77777777" w:rsidR="00432B22" w:rsidRPr="006244F5" w:rsidRDefault="00432B22" w:rsidP="00432B22">
      <w:pPr>
        <w:pStyle w:val="NormalHanging12a"/>
      </w:pPr>
      <w:r w:rsidRPr="006244F5">
        <w:t>28.</w:t>
      </w:r>
      <w:r w:rsidRPr="006244F5">
        <w:tab/>
        <w:t xml:space="preserve">naglašava sve veću važnost preporuka za pojedine zemlje članicama povezanih s planovima za nacionalno i regionalno partnerstvo; skreće pozornost na činjenicu da trenutačno ne postoji transparentna ili </w:t>
      </w:r>
      <w:proofErr w:type="spellStart"/>
      <w:r w:rsidRPr="006244F5">
        <w:t>sljediva</w:t>
      </w:r>
      <w:proofErr w:type="spellEnd"/>
      <w:r w:rsidRPr="006244F5">
        <w:t xml:space="preserve"> metodologija za izradu i odabir preporuka za pojedinu zemlju niti je jasno zašto se neke donose, a druge ne, što izaziva zabrinutost u pogledu preuzimanja odgovornosti i jednakog postupanja prema državama članicama; poziva Komisiju da pojasni postupke na kojima se temelje i kriterije odabira; </w:t>
      </w:r>
      <w:r w:rsidRPr="006244F5">
        <w:lastRenderedPageBreak/>
        <w:t xml:space="preserve">ističe da svako opće povećanje diskrecijskih ovlasti Komisije mora biti popraćeno odgovarajućim </w:t>
      </w:r>
      <w:r w:rsidRPr="006244F5">
        <w:rPr>
          <w:i/>
          <w:iCs/>
        </w:rPr>
        <w:t>ex post</w:t>
      </w:r>
      <w:r w:rsidRPr="006244F5">
        <w:t xml:space="preserve"> mehanizmima odgovornosti i znatnim poboljšanjem protoka informacija prema Parlamentu;</w:t>
      </w:r>
    </w:p>
    <w:p w14:paraId="5B616531" w14:textId="77777777" w:rsidR="00432B22" w:rsidRPr="006244F5" w:rsidRDefault="00432B22" w:rsidP="00432B22">
      <w:pPr>
        <w:pStyle w:val="NormalHanging12a"/>
      </w:pPr>
      <w:r w:rsidRPr="006244F5">
        <w:t>29.</w:t>
      </w:r>
      <w:r w:rsidRPr="006244F5">
        <w:tab/>
        <w:t>primjećuje da su preporuke za pojedine zemlje za 2025. bile više usmjerene na konkurentnost i pojednostavnjenje, u skladu s prioritetima utvrđenima u Kompasu konkurentnosti, dok je istodobno bila naglašena potreba za poticanjem znanstvene izvrsnosti, istraživanja i inovacija te tehnološkog razvoja kao ključnih pokretača dugoročne produktivnosti i otpornosti; naglašava da je manji broj preporuka za pojedine zemlje posvećen socijalnim i klimatskim politikama; prima na znanje da preporuke za pojedinu zemlju za neke države članice uključuju preporuku za postupno ukidanje subvencija za fosilna goriva;</w:t>
      </w:r>
    </w:p>
    <w:p w14:paraId="4273EF4E" w14:textId="77777777" w:rsidR="00432B22" w:rsidRPr="006244F5" w:rsidRDefault="00432B22" w:rsidP="00432B22">
      <w:pPr>
        <w:pStyle w:val="NormalHanging12a"/>
      </w:pPr>
      <w:r w:rsidRPr="006244F5">
        <w:t>30.</w:t>
      </w:r>
      <w:r w:rsidRPr="006244F5">
        <w:tab/>
        <w:t xml:space="preserve">napominje da Komisija smatra da je preporuka za </w:t>
      </w:r>
      <w:proofErr w:type="spellStart"/>
      <w:r w:rsidRPr="006244F5">
        <w:t>europodručje</w:t>
      </w:r>
      <w:proofErr w:type="spellEnd"/>
      <w:r w:rsidRPr="006244F5">
        <w:t xml:space="preserve"> prije svega alat za usmjeravanje rasprava </w:t>
      </w:r>
      <w:proofErr w:type="spellStart"/>
      <w:r w:rsidRPr="006244F5">
        <w:t>Euroskupine</w:t>
      </w:r>
      <w:proofErr w:type="spellEnd"/>
      <w:r w:rsidRPr="006244F5">
        <w:t xml:space="preserve">; međutim, poziva Komisiju da poduzme daljnje mjere u vezi s preporukama za </w:t>
      </w:r>
      <w:proofErr w:type="spellStart"/>
      <w:r w:rsidRPr="006244F5">
        <w:t>europodručje</w:t>
      </w:r>
      <w:proofErr w:type="spellEnd"/>
      <w:r w:rsidRPr="006244F5">
        <w:t xml:space="preserve">, među ostalim da ih uzme u obzir pri izradi preporuka za pojedine zemlje; žali zbog toga što Komisija 2025. nije objavila pregled provedbe preporuka za </w:t>
      </w:r>
      <w:proofErr w:type="spellStart"/>
      <w:r w:rsidRPr="006244F5">
        <w:t>europodručje</w:t>
      </w:r>
      <w:proofErr w:type="spellEnd"/>
      <w:r w:rsidRPr="006244F5">
        <w:t xml:space="preserve">, kao što je to činila u okviru izvješća o </w:t>
      </w:r>
      <w:proofErr w:type="spellStart"/>
      <w:r w:rsidRPr="006244F5">
        <w:t>europodručju</w:t>
      </w:r>
      <w:proofErr w:type="spellEnd"/>
      <w:r w:rsidRPr="006244F5">
        <w:t>; konstatira da u preporukama za pojedine zemlje 2025. nije bilo izravnih preporuka koje se odnose na klimatske promjene;</w:t>
      </w:r>
    </w:p>
    <w:p w14:paraId="74B04964" w14:textId="77777777" w:rsidR="00432B22" w:rsidRPr="006244F5" w:rsidRDefault="00432B22" w:rsidP="00432B22">
      <w:pPr>
        <w:pStyle w:val="Normal12a"/>
      </w:pPr>
      <w:r w:rsidRPr="006244F5">
        <w:rPr>
          <w:b/>
          <w:i/>
        </w:rPr>
        <w:t>Rješavanje problema nedostatka ulaganja</w:t>
      </w:r>
    </w:p>
    <w:p w14:paraId="29FC7B2A" w14:textId="77777777" w:rsidR="00432B22" w:rsidRPr="006244F5" w:rsidRDefault="00432B22" w:rsidP="00432B22">
      <w:pPr>
        <w:pStyle w:val="NormalHanging12a"/>
      </w:pPr>
      <w:r w:rsidRPr="006244F5">
        <w:t>31.</w:t>
      </w:r>
      <w:r w:rsidRPr="006244F5">
        <w:tab/>
        <w:t xml:space="preserve">podsjeća da je u </w:t>
      </w:r>
      <w:proofErr w:type="spellStart"/>
      <w:r w:rsidRPr="006244F5">
        <w:t>Draghijevu</w:t>
      </w:r>
      <w:proofErr w:type="spellEnd"/>
      <w:r w:rsidRPr="006244F5">
        <w:t xml:space="preserve"> izvješću jasno ukazano na potrebu za povećanjem javnih i privatnih ulaganja i provedbom ambicioznih reformi kako bi se potaknula konkurentnost EU-a; poziva Komisiju i države članice da predstave strategiju za zadovoljavanje potreba za ulaganjima nakon 2026.;</w:t>
      </w:r>
    </w:p>
    <w:p w14:paraId="560DBB38" w14:textId="77777777" w:rsidR="00432B22" w:rsidRPr="006244F5" w:rsidRDefault="00432B22" w:rsidP="00432B22">
      <w:pPr>
        <w:pStyle w:val="NormalHanging12a"/>
      </w:pPr>
      <w:r w:rsidRPr="006244F5">
        <w:t>32.</w:t>
      </w:r>
      <w:r w:rsidRPr="006244F5">
        <w:tab/>
        <w:t xml:space="preserve">smatra da bi okvir gospodarskog upravljanja EU-a prema potrebi trebalo dopuniti instrumentima i alatima na razini EU-a kako bi se troškovi za porezne obveznike EU-a sveli na najmanju moguću mjeru i kako bi se maksimalno povećala učinkovitost u pružanju europskih javnih dobara te kako bi se odgovorilo na krize na razini Unije, kao što je aktualna kriza u području sigurnosti i obrane; napominje da bi dužnički vrijednosni papiri EU-a mogli služiti kao referentna vrijednost, čime bi se ojačala integracija financijskih tržišta EU-a; poziva na uvođenje novih vlastitih sredstava za financiranje politika Unije; podržava osnivanje Europskog fonda za konkurentnost i Fonda za </w:t>
      </w:r>
      <w:proofErr w:type="spellStart"/>
      <w:r w:rsidRPr="006244F5">
        <w:rPr>
          <w:i/>
          <w:iCs/>
        </w:rPr>
        <w:t>scale-up</w:t>
      </w:r>
      <w:proofErr w:type="spellEnd"/>
      <w:r w:rsidRPr="006244F5">
        <w:t xml:space="preserve"> poduzeća u Europi;</w:t>
      </w:r>
    </w:p>
    <w:p w14:paraId="67D43FB0" w14:textId="77777777" w:rsidR="00432B22" w:rsidRPr="006244F5" w:rsidRDefault="00432B22" w:rsidP="00432B22">
      <w:pPr>
        <w:pStyle w:val="NormalHanging12a"/>
      </w:pPr>
      <w:r w:rsidRPr="006244F5">
        <w:t>33.</w:t>
      </w:r>
      <w:r w:rsidRPr="006244F5">
        <w:tab/>
      </w:r>
      <w:proofErr w:type="spellStart"/>
      <w:r w:rsidRPr="006244F5">
        <w:t>posjeća</w:t>
      </w:r>
      <w:proofErr w:type="spellEnd"/>
      <w:r w:rsidRPr="006244F5">
        <w:t xml:space="preserve"> na dogovor Europskog vijeća o osiguravanju zajma Ukrajini u iznosu od 90 milijardi EUR za 2026. i 2027., na temelju zaduživanja EU-a na tržištima kapitala uz potporu manevarskog prostora u proračunu EU-a;</w:t>
      </w:r>
    </w:p>
    <w:p w14:paraId="549C35CD" w14:textId="77777777" w:rsidR="00432B22" w:rsidRPr="006244F5" w:rsidRDefault="00432B22" w:rsidP="00432B22">
      <w:pPr>
        <w:pStyle w:val="NormalHanging12a"/>
      </w:pPr>
      <w:r w:rsidRPr="006244F5">
        <w:t>34.</w:t>
      </w:r>
      <w:r w:rsidRPr="006244F5">
        <w:tab/>
        <w:t xml:space="preserve">napominje da promjenjivo geopolitičko okruženje zahtijeva još više jedinstva i solidarnosti među državama članicama, posebno ako se uzmu u obzir sigurnosna pitanja EU-a i njegovih država članica; smatra da je jačanje sigurnosti Europe smanjenjem strateških ovisnosti i dalje ključno za zaštitu dugoročne otpornosti Unije; podržava napore koje Komisija ulaže u postizanje </w:t>
      </w:r>
      <w:proofErr w:type="spellStart"/>
      <w:r w:rsidRPr="006244F5">
        <w:t>koordiniranijeg</w:t>
      </w:r>
      <w:proofErr w:type="spellEnd"/>
      <w:r w:rsidRPr="006244F5">
        <w:t xml:space="preserve"> pristupa obrani; napominje da se Instrumentom za sigurnosne mjere za Europu (SAFE) uspostavlja kreditni instrument u iznosu od 150 milijardi EUR za potporu ulaganjima država članica u obranu; međutim, žali zbog činjenice da je instrument SAFE utemeljen na članku 122. UFEU-a, čime se ograničava parlamentarni nadzor; pozdravlja činjenicu da pokazatelj neto </w:t>
      </w:r>
      <w:r w:rsidRPr="006244F5">
        <w:lastRenderedPageBreak/>
        <w:t>rashoda isključuje sve nacionalno sufinanciranje programa koje financira EU, čime se državama članicama pruža veći fiskalni prostor za ulaganje u zajedničke prioritete EU-a, kako je utvrđeno u Uredbi (EU) 2024/1263</w:t>
      </w:r>
      <w:r w:rsidRPr="006244F5">
        <w:rPr>
          <w:rStyle w:val="FootnoteReference"/>
        </w:rPr>
        <w:footnoteReference w:customMarkFollows="1" w:id="11"/>
        <w:t>11</w:t>
      </w:r>
      <w:r w:rsidRPr="006244F5">
        <w:t>, doprinosi jačanju sinergija između proračuna EU-a i nacionalnih proračuna te se smanjuje rascjepkanost i povećava ukupna učinkovitost javne potrošnje u nekim područjima, kao što je obrana; naglašava da predanost država članica povećanju potrošnje za obranu ne bi trebala biti nauštrb ostalih zajedničkih prioriteta EU-a;</w:t>
      </w:r>
    </w:p>
    <w:p w14:paraId="07C8E4C6" w14:textId="77777777" w:rsidR="00432B22" w:rsidRPr="006244F5" w:rsidRDefault="00432B22" w:rsidP="00432B22">
      <w:pPr>
        <w:pStyle w:val="NormalHanging12a"/>
      </w:pPr>
      <w:r w:rsidRPr="006244F5">
        <w:t>35.</w:t>
      </w:r>
      <w:r w:rsidRPr="006244F5">
        <w:tab/>
        <w:t>primjećuje da je 16 država članica aktiviralo nacionalnu klauzulu o odstupanju za potrošnju za obranu; ističe da se time državama članicama nudi fleksibilnost u pogledu povećanja rashoda za obranu, bez neposredne potrebe za financiranjem takvog povećanja mjerama za smanjenje potrošnje ili povećanje prihoda; napominje da se tom fleksibilnošću državama članicama daje dovoljno vremena za povećanje rashoda za obranu u nacionalnim proračunima; ističe da se djelomičnim sudjelovanjem znatno smanjuju predviđeni dodatni rashodi za obranu, i to sa 650 milijardi EUR na približno 297 – 337 milijardi EUR;</w:t>
      </w:r>
    </w:p>
    <w:p w14:paraId="40FD379A" w14:textId="77777777" w:rsidR="00432B22" w:rsidRPr="006244F5" w:rsidRDefault="00432B22" w:rsidP="00432B22">
      <w:pPr>
        <w:pStyle w:val="NormalHanging12a"/>
      </w:pPr>
      <w:r w:rsidRPr="006244F5">
        <w:t>36.</w:t>
      </w:r>
      <w:r w:rsidRPr="006244F5">
        <w:tab/>
        <w:t>upozorava da je potrošnja za obranu po svojoj prirodi neproduktivno ulaganje, koje ne povećava potencijal proizvodnje gospodarstva; smatra da se potrošnja za obranu stoga ne bi trebala dugoročno financirati povećanim izdavanjem dužničkih vrijednosnih papira;</w:t>
      </w:r>
    </w:p>
    <w:p w14:paraId="4D4AE736" w14:textId="77777777" w:rsidR="00432B22" w:rsidRPr="006244F5" w:rsidRDefault="00432B22" w:rsidP="00432B22">
      <w:pPr>
        <w:pStyle w:val="NormalHanging12a"/>
      </w:pPr>
      <w:r w:rsidRPr="006244F5">
        <w:t>37.</w:t>
      </w:r>
      <w:r w:rsidRPr="006244F5">
        <w:tab/>
        <w:t>naglašava važnost povećanja usklađenosti i suradnje u ulaganjima u obranu u svim državama članicama, posebno u pogledu strateških pospješitelja ili strateških oružanih sustava koji su preskupi za pojedinačne države članice, s obzirom na hitnu potrebu za povećanjem europskog obrambenog sektora i osiguravanjem dugoročne sigurnosti i strateške autonomije;</w:t>
      </w:r>
    </w:p>
    <w:p w14:paraId="4D94DB68" w14:textId="77777777" w:rsidR="00432B22" w:rsidRPr="006244F5" w:rsidRDefault="00432B22" w:rsidP="00432B22">
      <w:pPr>
        <w:pStyle w:val="NormalHanging12a"/>
      </w:pPr>
      <w:r w:rsidRPr="006244F5">
        <w:t>38.</w:t>
      </w:r>
      <w:r w:rsidRPr="006244F5">
        <w:tab/>
        <w:t>podsjeća da Komisija nikad nije pokrenula postupak u slučaju prekomjerne neravnoteže, unatoč činjenici da neke države članice opetovano bilježe neravnoteže tekućeg računa; napominje da će Komisija ocijeniti postojanje makroekonomskih neravnoteža u sedam država članica odabranih za detaljna preispitivanja na temelju Izvješća o mehanizmu upozoravanja za 2026.;</w:t>
      </w:r>
    </w:p>
    <w:p w14:paraId="2B4A3E14" w14:textId="5A3C4361" w:rsidR="00377F61" w:rsidRDefault="00377F61" w:rsidP="00377F61">
      <w:pPr>
        <w:pStyle w:val="NormalCenter12a"/>
      </w:pPr>
      <w:r>
        <w:t>°</w:t>
      </w:r>
    </w:p>
    <w:p w14:paraId="5BD21C87" w14:textId="269D441B" w:rsidR="00377F61" w:rsidRDefault="00377F61" w:rsidP="00377F61">
      <w:pPr>
        <w:pStyle w:val="NormalCenter12a"/>
      </w:pPr>
      <w:r>
        <w:t>°     °</w:t>
      </w:r>
    </w:p>
    <w:p w14:paraId="28938F0C" w14:textId="09F2E0F9" w:rsidR="006244F5" w:rsidRPr="006244F5" w:rsidRDefault="00432B22" w:rsidP="006244F5">
      <w:pPr>
        <w:pStyle w:val="NormalHanging12a"/>
      </w:pPr>
      <w:r w:rsidRPr="006244F5">
        <w:t>39.</w:t>
      </w:r>
      <w:r w:rsidRPr="006244F5">
        <w:tab/>
        <w:t>nalaže svojoj predsjednici da ovu Rezoluciju proslijedi Vijeću i Komisiji.</w:t>
      </w:r>
    </w:p>
    <w:p w14:paraId="057E401C" w14:textId="56E828D2" w:rsidR="00E365E1" w:rsidRPr="006244F5" w:rsidRDefault="00E365E1" w:rsidP="009D4DEB"/>
    <w:sectPr w:rsidR="00E365E1" w:rsidRPr="006244F5" w:rsidSect="006244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30496" w14:textId="77777777" w:rsidR="009D4DEB" w:rsidRPr="006244F5" w:rsidRDefault="009D4DEB">
      <w:r w:rsidRPr="006244F5">
        <w:separator/>
      </w:r>
    </w:p>
  </w:endnote>
  <w:endnote w:type="continuationSeparator" w:id="0">
    <w:p w14:paraId="7267E285" w14:textId="77777777" w:rsidR="009D4DEB" w:rsidRPr="006244F5" w:rsidRDefault="009D4DEB">
      <w:r w:rsidRPr="006244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3E4C3" w14:textId="77777777" w:rsidR="00064002" w:rsidRPr="006244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BDCA4" w14:textId="77777777" w:rsidR="00064002" w:rsidRPr="006244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FA025" w14:textId="77777777" w:rsidR="00064002" w:rsidRPr="006244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8225E" w14:textId="77777777" w:rsidR="009D4DEB" w:rsidRPr="006244F5" w:rsidRDefault="009D4DEB">
      <w:r w:rsidRPr="006244F5">
        <w:separator/>
      </w:r>
    </w:p>
  </w:footnote>
  <w:footnote w:type="continuationSeparator" w:id="0">
    <w:p w14:paraId="695D2294" w14:textId="77777777" w:rsidR="009D4DEB" w:rsidRPr="006244F5" w:rsidRDefault="009D4DEB">
      <w:r w:rsidRPr="006244F5">
        <w:continuationSeparator/>
      </w:r>
    </w:p>
  </w:footnote>
  <w:footnote w:id="1">
    <w:p w14:paraId="3FE3960D" w14:textId="4F1F1FED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1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 L 243, 9.7.2021., ELI: </w:t>
      </w:r>
      <w:hyperlink r:id="rId1" w:tgtFrame="http://data.europa.eu/eli/reg/2021/1119/oj" w:history="1">
        <w:r w:rsidRPr="006244F5">
          <w:rPr>
            <w:rStyle w:val="Hyperlink"/>
            <w:sz w:val="24"/>
            <w:lang w:val="hr-HR"/>
          </w:rPr>
          <w:t>http://data.europa.eu/eli/reg/2021/1119/oj</w:t>
        </w:r>
      </w:hyperlink>
      <w:r w:rsidRPr="006244F5">
        <w:rPr>
          <w:sz w:val="24"/>
          <w:lang w:val="hr-HR"/>
        </w:rPr>
        <w:t>.</w:t>
      </w:r>
    </w:p>
  </w:footnote>
  <w:footnote w:id="2">
    <w:p w14:paraId="190050A2" w14:textId="6558980C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2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 L, 2024/1263, 30.4.2024., ELI: </w:t>
      </w:r>
      <w:hyperlink r:id="rId2" w:tgtFrame="http://data.europa.eu/eli/reg/2024/1263/oj" w:history="1">
        <w:r w:rsidRPr="006244F5">
          <w:rPr>
            <w:rStyle w:val="Hyperlink"/>
            <w:sz w:val="24"/>
            <w:lang w:val="hr-HR"/>
          </w:rPr>
          <w:t>http://data.europa.eu/eli/reg/2024/1263/oj</w:t>
        </w:r>
      </w:hyperlink>
      <w:r w:rsidRPr="006244F5">
        <w:rPr>
          <w:sz w:val="24"/>
          <w:lang w:val="hr-HR"/>
        </w:rPr>
        <w:t>.</w:t>
      </w:r>
    </w:p>
  </w:footnote>
  <w:footnote w:id="3">
    <w:p w14:paraId="3C221D82" w14:textId="7EF49AA5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3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 L, 2024/1264, 30.4.2024., ELI: </w:t>
      </w:r>
      <w:hyperlink r:id="rId3" w:tgtFrame="http://data.europa.eu/eli/reg/2024/1264/oj" w:history="1">
        <w:r w:rsidRPr="006244F5">
          <w:rPr>
            <w:rStyle w:val="Hyperlink"/>
            <w:sz w:val="24"/>
            <w:lang w:val="hr-HR"/>
          </w:rPr>
          <w:t>http://data.europa.eu/eli/reg/2024/1264/oj</w:t>
        </w:r>
      </w:hyperlink>
      <w:r w:rsidRPr="006244F5">
        <w:rPr>
          <w:sz w:val="24"/>
          <w:lang w:val="hr-HR"/>
        </w:rPr>
        <w:t>.</w:t>
      </w:r>
    </w:p>
  </w:footnote>
  <w:footnote w:id="4">
    <w:p w14:paraId="03D2E916" w14:textId="39672D1B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4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 L, 2024/1265, 30.4.2024., ELI: </w:t>
      </w:r>
      <w:hyperlink r:id="rId4" w:tgtFrame="http://data.europa.eu/eli/dir/2024/1265/oj" w:history="1">
        <w:r w:rsidRPr="006244F5">
          <w:rPr>
            <w:rStyle w:val="Hyperlink"/>
            <w:sz w:val="24"/>
            <w:lang w:val="hr-HR"/>
          </w:rPr>
          <w:t>http://data.europa.eu/eli/dir/2024/1265/oj</w:t>
        </w:r>
      </w:hyperlink>
      <w:r w:rsidRPr="006244F5">
        <w:rPr>
          <w:sz w:val="24"/>
          <w:lang w:val="hr-HR"/>
        </w:rPr>
        <w:t>.</w:t>
      </w:r>
    </w:p>
  </w:footnote>
  <w:footnote w:id="5">
    <w:p w14:paraId="4D4490D6" w14:textId="41DBAAFD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5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 L 306, 23.11.2011., str. </w:t>
      </w:r>
      <w:r w:rsidRPr="006244F5">
        <w:rPr>
          <w:sz w:val="24"/>
          <w:lang w:val="hr-HR"/>
        </w:rPr>
        <w:t xml:space="preserve">1., ELI: </w:t>
      </w:r>
      <w:hyperlink r:id="rId5" w:tgtFrame="http://data.europa.eu/eli/reg/2011/1173/oj" w:history="1">
        <w:r w:rsidRPr="006244F5">
          <w:rPr>
            <w:rStyle w:val="Hyperlink"/>
            <w:sz w:val="24"/>
            <w:lang w:val="hr-HR"/>
          </w:rPr>
          <w:t>http://data.europa.eu/eli/reg/2011/1173/oj</w:t>
        </w:r>
      </w:hyperlink>
      <w:r w:rsidRPr="006244F5">
        <w:rPr>
          <w:sz w:val="24"/>
          <w:lang w:val="hr-HR"/>
        </w:rPr>
        <w:t>.</w:t>
      </w:r>
    </w:p>
  </w:footnote>
  <w:footnote w:id="6">
    <w:p w14:paraId="5A754326" w14:textId="3C421709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6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 L 306, 23.11.2011., str. </w:t>
      </w:r>
      <w:r w:rsidRPr="006244F5">
        <w:rPr>
          <w:sz w:val="24"/>
          <w:lang w:val="hr-HR"/>
        </w:rPr>
        <w:t xml:space="preserve">8., ELI: </w:t>
      </w:r>
      <w:hyperlink r:id="rId6" w:tgtFrame="http://data.europa.eu/eli/reg/2011/1174/oj" w:history="1">
        <w:r w:rsidRPr="006244F5">
          <w:rPr>
            <w:rStyle w:val="Hyperlink"/>
            <w:sz w:val="24"/>
            <w:lang w:val="hr-HR"/>
          </w:rPr>
          <w:t>http://data.europa.eu/eli/reg/2011/1174/oj</w:t>
        </w:r>
      </w:hyperlink>
      <w:r w:rsidRPr="006244F5">
        <w:rPr>
          <w:sz w:val="24"/>
          <w:lang w:val="hr-HR"/>
        </w:rPr>
        <w:t>.</w:t>
      </w:r>
    </w:p>
  </w:footnote>
  <w:footnote w:id="7">
    <w:p w14:paraId="5F9DE7BD" w14:textId="4F657170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7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 L 306, 23.11.2011., str. </w:t>
      </w:r>
      <w:r w:rsidRPr="006244F5">
        <w:rPr>
          <w:sz w:val="24"/>
          <w:lang w:val="hr-HR"/>
        </w:rPr>
        <w:t xml:space="preserve">25., ELI: </w:t>
      </w:r>
      <w:hyperlink r:id="rId7" w:tgtFrame="http://data.europa.eu/eli/reg/2011/1176/oj" w:history="1">
        <w:r w:rsidRPr="006244F5">
          <w:rPr>
            <w:rStyle w:val="Hyperlink"/>
            <w:sz w:val="24"/>
            <w:lang w:val="hr-HR"/>
          </w:rPr>
          <w:t>http://data.europa.eu/eli/reg/2011/1176/oj</w:t>
        </w:r>
      </w:hyperlink>
      <w:r w:rsidRPr="006244F5">
        <w:rPr>
          <w:sz w:val="24"/>
          <w:lang w:val="hr-HR"/>
        </w:rPr>
        <w:t>.</w:t>
      </w:r>
    </w:p>
  </w:footnote>
  <w:footnote w:id="8">
    <w:p w14:paraId="47D01CD2" w14:textId="650C3F53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8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 L 140, 27.5.2013., str. </w:t>
      </w:r>
      <w:r w:rsidRPr="006244F5">
        <w:rPr>
          <w:sz w:val="24"/>
          <w:lang w:val="hr-HR"/>
        </w:rPr>
        <w:t xml:space="preserve">1., ELI: </w:t>
      </w:r>
      <w:hyperlink r:id="rId8" w:tgtFrame="http://data.europa.eu/eli/reg/2013/472/oj" w:history="1">
        <w:r w:rsidRPr="006244F5">
          <w:rPr>
            <w:rStyle w:val="Hyperlink"/>
            <w:sz w:val="24"/>
            <w:lang w:val="hr-HR"/>
          </w:rPr>
          <w:t>http://data.europa.eu/eli/reg/2013/472/oj</w:t>
        </w:r>
      </w:hyperlink>
      <w:r w:rsidRPr="006244F5">
        <w:rPr>
          <w:sz w:val="24"/>
          <w:lang w:val="hr-HR"/>
        </w:rPr>
        <w:t>.</w:t>
      </w:r>
    </w:p>
  </w:footnote>
  <w:footnote w:id="9">
    <w:p w14:paraId="15EE71FE" w14:textId="1A2D28DA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9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 xml:space="preserve">SL L 140, 27.5.2013., str. </w:t>
      </w:r>
      <w:r w:rsidRPr="006244F5">
        <w:rPr>
          <w:sz w:val="24"/>
          <w:lang w:val="hr-HR"/>
        </w:rPr>
        <w:t xml:space="preserve">11., ELI: </w:t>
      </w:r>
      <w:hyperlink r:id="rId9" w:tgtFrame="http://data.europa.eu/eli/reg/2013/473/oj" w:history="1">
        <w:r w:rsidRPr="006244F5">
          <w:rPr>
            <w:rStyle w:val="Hyperlink"/>
            <w:sz w:val="24"/>
            <w:lang w:val="hr-HR"/>
          </w:rPr>
          <w:t>http://data.europa.eu/eli/reg/2013/473/oj</w:t>
        </w:r>
      </w:hyperlink>
      <w:r w:rsidRPr="006244F5">
        <w:rPr>
          <w:sz w:val="24"/>
          <w:lang w:val="hr-HR"/>
        </w:rPr>
        <w:t>.</w:t>
      </w:r>
    </w:p>
  </w:footnote>
  <w:footnote w:id="10">
    <w:p w14:paraId="7797DE9C" w14:textId="73445E23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10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>Komunikacija Komisije od 19. ožujka 2025. naslovljena „Unija za štednju i ulaganja – Strategija za povećanje bogatstva građana i gospodarske konkurentnosti EU-a” (COM(2025)0124).</w:t>
      </w:r>
    </w:p>
  </w:footnote>
  <w:footnote w:id="11">
    <w:p w14:paraId="1843EF80" w14:textId="3E3B899B" w:rsidR="00432B22" w:rsidRPr="006244F5" w:rsidRDefault="00432B22" w:rsidP="006244F5">
      <w:pPr>
        <w:pStyle w:val="FootnoteText"/>
        <w:ind w:left="567" w:hanging="567"/>
        <w:rPr>
          <w:sz w:val="24"/>
          <w:lang w:val="hr-HR"/>
        </w:rPr>
      </w:pPr>
      <w:r w:rsidRPr="006244F5">
        <w:rPr>
          <w:sz w:val="24"/>
          <w:vertAlign w:val="superscript"/>
          <w:lang w:val="hr-HR"/>
        </w:rPr>
        <w:t>11</w:t>
      </w:r>
      <w:r w:rsidR="006244F5" w:rsidRPr="006244F5">
        <w:rPr>
          <w:sz w:val="24"/>
          <w:vertAlign w:val="superscript"/>
          <w:lang w:val="hr-HR"/>
        </w:rPr>
        <w:t xml:space="preserve"> </w:t>
      </w:r>
      <w:r w:rsidR="006244F5" w:rsidRPr="006244F5">
        <w:rPr>
          <w:sz w:val="24"/>
          <w:vertAlign w:val="superscript"/>
          <w:lang w:val="hr-HR"/>
        </w:rPr>
        <w:tab/>
      </w:r>
      <w:r w:rsidRPr="006244F5">
        <w:rPr>
          <w:sz w:val="24"/>
          <w:lang w:val="hr-HR"/>
        </w:rPr>
        <w:t>Uredba (EU) 2024/1263 Europskog parlamenta i Vijeća od 29. travnja 2024. o djelotvornoj koordinaciji ekonomskih politika i multilateralnom proračunskom nadzoru te stavljanju izvan snage Uredbe Vijeća (EZ) br. </w:t>
      </w:r>
      <w:r w:rsidRPr="006244F5">
        <w:rPr>
          <w:sz w:val="24"/>
          <w:lang w:val="hr-HR"/>
        </w:rPr>
        <w:t xml:space="preserve">1466/97 (SL L, 2024/1263, 30.4.2024., ELI: </w:t>
      </w:r>
      <w:hyperlink r:id="rId10" w:tgtFrame="http://data.europa.eu/eli/reg/2024/1263/oj" w:history="1">
        <w:r w:rsidRPr="006244F5">
          <w:rPr>
            <w:rStyle w:val="Hyperlink"/>
            <w:sz w:val="24"/>
            <w:lang w:val="hr-HR"/>
          </w:rPr>
          <w:t>http://data.europa.eu/eli/reg/2024/1263/oj</w:t>
        </w:r>
      </w:hyperlink>
      <w:r w:rsidRPr="006244F5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70864" w14:textId="77777777" w:rsidR="00064002" w:rsidRPr="006244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66566" w14:textId="77777777" w:rsidR="00064002" w:rsidRPr="006244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64F9D" w14:textId="77777777" w:rsidR="00064002" w:rsidRPr="006244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9711398">
    <w:abstractNumId w:val="9"/>
  </w:num>
  <w:num w:numId="2" w16cid:durableId="1843200115">
    <w:abstractNumId w:val="9"/>
  </w:num>
  <w:num w:numId="3" w16cid:durableId="2083794166">
    <w:abstractNumId w:val="7"/>
  </w:num>
  <w:num w:numId="4" w16cid:durableId="1410467580">
    <w:abstractNumId w:val="7"/>
  </w:num>
  <w:num w:numId="5" w16cid:durableId="383985111">
    <w:abstractNumId w:val="6"/>
  </w:num>
  <w:num w:numId="6" w16cid:durableId="834688193">
    <w:abstractNumId w:val="6"/>
  </w:num>
  <w:num w:numId="7" w16cid:durableId="1739134419">
    <w:abstractNumId w:val="5"/>
  </w:num>
  <w:num w:numId="8" w16cid:durableId="320278657">
    <w:abstractNumId w:val="5"/>
  </w:num>
  <w:num w:numId="9" w16cid:durableId="1653439484">
    <w:abstractNumId w:val="4"/>
  </w:num>
  <w:num w:numId="10" w16cid:durableId="472991939">
    <w:abstractNumId w:val="4"/>
  </w:num>
  <w:num w:numId="11" w16cid:durableId="174540300">
    <w:abstractNumId w:val="8"/>
  </w:num>
  <w:num w:numId="12" w16cid:durableId="440730008">
    <w:abstractNumId w:val="8"/>
  </w:num>
  <w:num w:numId="13" w16cid:durableId="210263243">
    <w:abstractNumId w:val="3"/>
  </w:num>
  <w:num w:numId="14" w16cid:durableId="746457449">
    <w:abstractNumId w:val="3"/>
  </w:num>
  <w:num w:numId="15" w16cid:durableId="1254167803">
    <w:abstractNumId w:val="2"/>
  </w:num>
  <w:num w:numId="16" w16cid:durableId="1303534661">
    <w:abstractNumId w:val="2"/>
  </w:num>
  <w:num w:numId="17" w16cid:durableId="109470175">
    <w:abstractNumId w:val="1"/>
  </w:num>
  <w:num w:numId="18" w16cid:durableId="772943426">
    <w:abstractNumId w:val="1"/>
  </w:num>
  <w:num w:numId="19" w16cid:durableId="1744569857">
    <w:abstractNumId w:val="0"/>
  </w:num>
  <w:num w:numId="20" w16cid:durableId="1395734633">
    <w:abstractNumId w:val="0"/>
  </w:num>
  <w:num w:numId="21" w16cid:durableId="1313945892">
    <w:abstractNumId w:val="9"/>
  </w:num>
  <w:num w:numId="22" w16cid:durableId="102238495">
    <w:abstractNumId w:val="7"/>
  </w:num>
  <w:num w:numId="23" w16cid:durableId="179316808">
    <w:abstractNumId w:val="6"/>
  </w:num>
  <w:num w:numId="24" w16cid:durableId="312148000">
    <w:abstractNumId w:val="5"/>
  </w:num>
  <w:num w:numId="25" w16cid:durableId="980696718">
    <w:abstractNumId w:val="4"/>
  </w:num>
  <w:num w:numId="26" w16cid:durableId="1102727044">
    <w:abstractNumId w:val="8"/>
  </w:num>
  <w:num w:numId="27" w16cid:durableId="240262771">
    <w:abstractNumId w:val="3"/>
  </w:num>
  <w:num w:numId="28" w16cid:durableId="535853083">
    <w:abstractNumId w:val="2"/>
  </w:num>
  <w:num w:numId="29" w16cid:durableId="834413543">
    <w:abstractNumId w:val="1"/>
  </w:num>
  <w:num w:numId="30" w16cid:durableId="1201164853">
    <w:abstractNumId w:val="0"/>
  </w:num>
  <w:num w:numId="31" w16cid:durableId="1717777420">
    <w:abstractNumId w:val="9"/>
  </w:num>
  <w:num w:numId="32" w16cid:durableId="1978753529">
    <w:abstractNumId w:val="7"/>
  </w:num>
  <w:num w:numId="33" w16cid:durableId="899824214">
    <w:abstractNumId w:val="6"/>
  </w:num>
  <w:num w:numId="34" w16cid:durableId="329606082">
    <w:abstractNumId w:val="5"/>
  </w:num>
  <w:num w:numId="35" w16cid:durableId="1289239164">
    <w:abstractNumId w:val="4"/>
  </w:num>
  <w:num w:numId="36" w16cid:durableId="1473250862">
    <w:abstractNumId w:val="8"/>
  </w:num>
  <w:num w:numId="37" w16cid:durableId="804272137">
    <w:abstractNumId w:val="3"/>
  </w:num>
  <w:num w:numId="38" w16cid:durableId="89083342">
    <w:abstractNumId w:val="2"/>
  </w:num>
  <w:num w:numId="39" w16cid:durableId="750589889">
    <w:abstractNumId w:val="1"/>
  </w:num>
  <w:num w:numId="40" w16cid:durableId="2120565821">
    <w:abstractNumId w:val="0"/>
  </w:num>
  <w:num w:numId="41" w16cid:durableId="1388918296">
    <w:abstractNumId w:val="10"/>
  </w:num>
  <w:num w:numId="42" w16cid:durableId="1233545269">
    <w:abstractNumId w:val="10"/>
  </w:num>
  <w:num w:numId="43" w16cid:durableId="1706520412">
    <w:abstractNumId w:val="10"/>
  </w:num>
  <w:num w:numId="44" w16cid:durableId="21055707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6/2026"/>
    <w:docVar w:name="dvlangue" w:val="HR"/>
    <w:docVar w:name="dvnumam" w:val="47"/>
    <w:docVar w:name="dvpe" w:val="779.614"/>
    <w:docVar w:name="dvrapporteur" w:val="Izvjestiteljica: "/>
    <w:docVar w:name="dvtitre" w:val="Rezolucija Europskog parlamenta od .... 2026. o Europskom semestru za koordinaciju ekonomskih politika 2026.(2025/2214(INI))"/>
  </w:docVars>
  <w:rsids>
    <w:rsidRoot w:val="009D4D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F61"/>
    <w:rsid w:val="00395FA1"/>
    <w:rsid w:val="003E15D4"/>
    <w:rsid w:val="00411CCE"/>
    <w:rsid w:val="0041666E"/>
    <w:rsid w:val="00421060"/>
    <w:rsid w:val="00432B2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44F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DEB"/>
    <w:rsid w:val="00A1687D"/>
    <w:rsid w:val="00A43E52"/>
    <w:rsid w:val="00A4678D"/>
    <w:rsid w:val="00A778C7"/>
    <w:rsid w:val="00A9050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CFE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36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20B1C"/>
  <w15:chartTrackingRefBased/>
  <w15:docId w15:val="{D0033705-B33A-47AF-83B9-2B314E3F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432B22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432B2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432B22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432B2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432B22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432B22"/>
    <w:rPr>
      <w:color w:val="0000FF"/>
      <w:u w:val="single"/>
    </w:rPr>
  </w:style>
  <w:style w:type="character" w:styleId="FollowedHyperlink">
    <w:name w:val="FollowedHyperlink"/>
    <w:basedOn w:val="DefaultParagraphFont"/>
    <w:rsid w:val="00377F6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9050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2/oj" TargetMode="External"/><Relationship Id="rId3" Type="http://schemas.openxmlformats.org/officeDocument/2006/relationships/hyperlink" Target="http://data.europa.eu/eli/reg/2024/1264/oj" TargetMode="External"/><Relationship Id="rId7" Type="http://schemas.openxmlformats.org/officeDocument/2006/relationships/hyperlink" Target="http://data.europa.eu/eli/reg/2011/1176/oj" TargetMode="External"/><Relationship Id="rId2" Type="http://schemas.openxmlformats.org/officeDocument/2006/relationships/hyperlink" Target="http://data.europa.eu/eli/reg/2024/1263/oj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reg/2011/1174/oj" TargetMode="External"/><Relationship Id="rId5" Type="http://schemas.openxmlformats.org/officeDocument/2006/relationships/hyperlink" Target="http://data.europa.eu/eli/reg/2011/1173/oj" TargetMode="External"/><Relationship Id="rId10" Type="http://schemas.openxmlformats.org/officeDocument/2006/relationships/hyperlink" Target="http://data.europa.eu/eli/reg/2024/1263/oj" TargetMode="External"/><Relationship Id="rId4" Type="http://schemas.openxmlformats.org/officeDocument/2006/relationships/hyperlink" Target="http://data.europa.eu/eli/dir/2024/1265/oj" TargetMode="External"/><Relationship Id="rId9" Type="http://schemas.openxmlformats.org/officeDocument/2006/relationships/hyperlink" Target="http://data.europa.eu/eli/reg/2013/4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3862</Words>
  <Characters>23385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2026-03-11T13:47:00Z</dcterms:created>
  <dcterms:modified xsi:type="dcterms:W3CDTF">2026-03-11T13:47:00Z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A10-0036/2026</vt:lpwstr>
  </property>
  <property fmtid="{D5CDD505-2E9C-101B-9397-08002B2CF9AE}" pid="4" name="&lt;Type&gt;">
    <vt:lpwstr>RR</vt:lpwstr>
  </property>
</Properties>
</file>