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35F3" w14:paraId="2F93A4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5564DD" w14:textId="77777777" w:rsidR="00751A4A" w:rsidRPr="00DF35F3" w:rsidRDefault="00D7402B" w:rsidP="0010095E">
            <w:pPr>
              <w:pStyle w:val="EPName"/>
            </w:pPr>
            <w:r w:rsidRPr="00DF35F3">
              <w:t>Parlament Ewropew</w:t>
            </w:r>
          </w:p>
          <w:p w14:paraId="4F0B2862" w14:textId="77777777" w:rsidR="00751A4A" w:rsidRPr="00DF35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35F3">
              <w:t>2024</w:t>
            </w:r>
            <w:r w:rsidR="00817416" w:rsidRPr="00DF35F3">
              <w:t>-202</w:t>
            </w:r>
            <w:r w:rsidRPr="00DF35F3">
              <w:t>9</w:t>
            </w:r>
          </w:p>
        </w:tc>
        <w:tc>
          <w:tcPr>
            <w:tcW w:w="2268" w:type="dxa"/>
            <w:shd w:val="clear" w:color="auto" w:fill="auto"/>
          </w:tcPr>
          <w:p w14:paraId="7A1916FB" w14:textId="77777777" w:rsidR="00751A4A" w:rsidRPr="00DF35F3" w:rsidRDefault="00187494" w:rsidP="0010095E">
            <w:pPr>
              <w:pStyle w:val="EPLogo"/>
            </w:pPr>
            <w:r w:rsidRPr="00DF35F3">
              <w:rPr>
                <w:noProof/>
                <w:lang w:eastAsia="ja-JP"/>
              </w:rPr>
              <w:drawing>
                <wp:inline distT="0" distB="0" distL="0" distR="0" wp14:anchorId="7EF80C8E" wp14:editId="0D06AF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0D4781" w14:textId="77777777" w:rsidR="00D058B8" w:rsidRPr="00DF35F3" w:rsidRDefault="00D058B8" w:rsidP="004C5D52">
      <w:pPr>
        <w:pStyle w:val="LineTop"/>
      </w:pPr>
    </w:p>
    <w:p w14:paraId="6E7D09CF" w14:textId="77777777" w:rsidR="00680577" w:rsidRPr="00DF35F3" w:rsidRDefault="00D7402B" w:rsidP="00680577">
      <w:pPr>
        <w:pStyle w:val="EPBodyTA1"/>
      </w:pPr>
      <w:r w:rsidRPr="00DF35F3">
        <w:t>TESTI ADOTTATI</w:t>
      </w:r>
    </w:p>
    <w:p w14:paraId="4DEE4442" w14:textId="77777777" w:rsidR="00D058B8" w:rsidRPr="00DF35F3" w:rsidRDefault="00D058B8" w:rsidP="00D058B8">
      <w:pPr>
        <w:pStyle w:val="LineBottom"/>
      </w:pPr>
    </w:p>
    <w:p w14:paraId="48BD6DC5" w14:textId="52A1425D" w:rsidR="00D7402B" w:rsidRPr="00DF35F3" w:rsidRDefault="00D7402B" w:rsidP="00D7402B">
      <w:pPr>
        <w:pStyle w:val="ATHeading1"/>
      </w:pPr>
      <w:bookmarkStart w:id="0" w:name="TANumber"/>
      <w:r w:rsidRPr="00DF35F3">
        <w:t>P10_TA(2026)00</w:t>
      </w:r>
      <w:bookmarkEnd w:id="0"/>
      <w:r w:rsidR="00393731">
        <w:t>75</w:t>
      </w:r>
    </w:p>
    <w:p w14:paraId="2628F795" w14:textId="5B90899D" w:rsidR="00D7402B" w:rsidRPr="00DF1CFB" w:rsidRDefault="00DF1CFB" w:rsidP="00D7402B">
      <w:pPr>
        <w:pStyle w:val="ATHeading2"/>
      </w:pPr>
      <w:r w:rsidRPr="00DF1CFB">
        <w:rPr>
          <w:bCs/>
        </w:rPr>
        <w:t>Is-Semestru Ewropew g</w:t>
      </w:r>
      <w:r w:rsidRPr="00DF1CFB">
        <w:rPr>
          <w:rFonts w:hint="eastAsia"/>
          <w:bCs/>
        </w:rPr>
        <w:t>ħ</w:t>
      </w:r>
      <w:r w:rsidRPr="00DF1CFB">
        <w:rPr>
          <w:bCs/>
        </w:rPr>
        <w:t>all-koordinazzjoni tal-politika ekonomika 2026</w:t>
      </w:r>
    </w:p>
    <w:p w14:paraId="0CAEE0E1" w14:textId="77777777" w:rsidR="00D7402B" w:rsidRPr="00DF35F3" w:rsidRDefault="00D7402B" w:rsidP="00D7402B">
      <w:pPr>
        <w:rPr>
          <w:i/>
          <w:vanish/>
        </w:rPr>
      </w:pPr>
      <w:r w:rsidRPr="00DF35F3">
        <w:rPr>
          <w:i/>
        </w:rPr>
        <w:fldChar w:fldCharType="begin"/>
      </w:r>
      <w:r w:rsidRPr="00DF35F3">
        <w:rPr>
          <w:i/>
        </w:rPr>
        <w:instrText xml:space="preserve"> TC"(</w:instrText>
      </w:r>
      <w:bookmarkStart w:id="1" w:name="DocNumber"/>
      <w:r w:rsidRPr="00DF35F3">
        <w:rPr>
          <w:i/>
        </w:rPr>
        <w:instrText>A10-0036/2026</w:instrText>
      </w:r>
      <w:bookmarkEnd w:id="1"/>
      <w:r w:rsidRPr="00DF35F3">
        <w:rPr>
          <w:i/>
        </w:rPr>
        <w:instrText xml:space="preserve"> - Rapporteur: Kira Marie Peter-Hansen)"\l3 \n&gt; \* MERGEFORMAT </w:instrText>
      </w:r>
      <w:r w:rsidRPr="00DF35F3">
        <w:rPr>
          <w:i/>
        </w:rPr>
        <w:fldChar w:fldCharType="end"/>
      </w:r>
    </w:p>
    <w:p w14:paraId="2BF5D1BC" w14:textId="77777777" w:rsidR="00D7402B" w:rsidRPr="00DF35F3" w:rsidRDefault="00D7402B" w:rsidP="00D7402B">
      <w:pPr>
        <w:rPr>
          <w:vanish/>
        </w:rPr>
      </w:pPr>
      <w:bookmarkStart w:id="2" w:name="Commission"/>
      <w:r w:rsidRPr="00DF35F3">
        <w:rPr>
          <w:vanish/>
        </w:rPr>
        <w:t>Kumitat għall-Affarijiet Ekonomiċi u Monetarji</w:t>
      </w:r>
      <w:bookmarkEnd w:id="2"/>
    </w:p>
    <w:p w14:paraId="107BE367" w14:textId="77777777" w:rsidR="00D7402B" w:rsidRPr="00DF35F3" w:rsidRDefault="00D7402B" w:rsidP="00D7402B">
      <w:pPr>
        <w:rPr>
          <w:vanish/>
        </w:rPr>
      </w:pPr>
      <w:bookmarkStart w:id="3" w:name="PE"/>
      <w:r w:rsidRPr="00DF35F3">
        <w:rPr>
          <w:vanish/>
        </w:rPr>
        <w:t>PE779.614</w:t>
      </w:r>
      <w:bookmarkEnd w:id="3"/>
    </w:p>
    <w:p w14:paraId="7BCFB28B" w14:textId="5B8613BE" w:rsidR="00D7402B" w:rsidRPr="00DF35F3" w:rsidRDefault="00D7402B" w:rsidP="00D7402B">
      <w:pPr>
        <w:pStyle w:val="ATHeading3"/>
      </w:pPr>
      <w:bookmarkStart w:id="4" w:name="Sujet"/>
      <w:r w:rsidRPr="00DF35F3">
        <w:t xml:space="preserve">Riżoluzzjoni tal-Parlament Ewropew </w:t>
      </w:r>
      <w:r w:rsidR="00DF1CFB">
        <w:t>tal-11 ta’ Marzu</w:t>
      </w:r>
      <w:r w:rsidRPr="00DF35F3">
        <w:t xml:space="preserve"> 2026 dwar is-Semestru Ewropew għall-koordinazzjoni tal-politika ekonomika 2026</w:t>
      </w:r>
      <w:bookmarkEnd w:id="4"/>
      <w:r w:rsidRPr="00DF35F3">
        <w:t xml:space="preserve"> </w:t>
      </w:r>
      <w:bookmarkStart w:id="5" w:name="References"/>
      <w:r w:rsidRPr="00DF35F3">
        <w:t>(2025/2214(INI))</w:t>
      </w:r>
      <w:bookmarkEnd w:id="5"/>
    </w:p>
    <w:p w14:paraId="39A52E8C" w14:textId="77777777" w:rsidR="00D231A8" w:rsidRPr="00DF35F3" w:rsidRDefault="00D231A8" w:rsidP="00D231A8">
      <w:pPr>
        <w:pStyle w:val="EPComma"/>
      </w:pPr>
      <w:r w:rsidRPr="00DF35F3">
        <w:rPr>
          <w:i/>
        </w:rPr>
        <w:t>Il-Parlament Ewropew</w:t>
      </w:r>
      <w:r w:rsidRPr="00DF35F3">
        <w:t>,</w:t>
      </w:r>
    </w:p>
    <w:p w14:paraId="10F789BA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t-Trattat dwar il-Funzjonament tal-Unjoni Ewropea (TFUE), u b’mod partikolari l-Artikoli 121, 126 u 136 tiegħu,</w:t>
      </w:r>
    </w:p>
    <w:p w14:paraId="036B6862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l-Protokoll Nru 1 tat-Trattat dwar l-Unjoni Ewropea (TUE) u t-TFUE dwar ir-rwol tal-parlamenti nazzjonali fl-Unjoni Ewropea,</w:t>
      </w:r>
    </w:p>
    <w:p w14:paraId="4A9039D6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l-Protokoll Nru 2 tat-TUE u t-TFUE dwar l-applikazzjoni tal-prinċipji tas-sussidjarjetà u tal-proporzjonalità,</w:t>
      </w:r>
    </w:p>
    <w:p w14:paraId="1A07B677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l-Ftehim ta’ Pariġi fil-kuntest tal-Konvenzjoni Qafas tan-NU dwar it-Tibdil fil-Klima tat-12 ta’ Diċembru 2015 u l-Għanijiet ta’ Żvilupp Sostenibbli tan-NU,</w:t>
      </w:r>
    </w:p>
    <w:p w14:paraId="34EFA00A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r-Regolament (UE) 2021/1119 tal-Parlament Ewropew u tal-Kunsill tat-30 ta’ Ġunju 2021 li jistabbilixxi l-qafas biex tinkiseb in-newtralità klimatika u li jemenda r-Regolamenti (KE) Nru 401/2009 u (UE) 2018/1999 (“il-Liġi Ewropea dwar il-Klima”)</w:t>
      </w:r>
      <w:r w:rsidRPr="00DF35F3">
        <w:rPr>
          <w:rStyle w:val="FootnoteReference"/>
        </w:rPr>
        <w:footnoteReference w:customMarkFollows="1" w:id="1"/>
        <w:t>1</w:t>
      </w:r>
      <w:r w:rsidRPr="00DF35F3">
        <w:t>,</w:t>
      </w:r>
    </w:p>
    <w:p w14:paraId="67DB6AEF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l-Protokoll Nru 12 tat-TUE u t-TFUE dwar il-proċedura ta’ defiċit eċċessiv,</w:t>
      </w:r>
    </w:p>
    <w:p w14:paraId="67A241B7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t-Trattat dwar l-Istabbiltà, il-Koordinazzjoni u l-Governanza fl-Unjoni Ekonomika u Monetarja,</w:t>
      </w:r>
    </w:p>
    <w:p w14:paraId="56C00317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r-Regolament (UE) 2024/1263 tal-Parlament Ewropew u tal-Kunsill tad-29 ta’ April 2024 dwar il-koordinazzjoni effettiva tal-politiki ekonomiċi u dwar is-</w:t>
      </w:r>
      <w:r w:rsidRPr="00DF35F3">
        <w:lastRenderedPageBreak/>
        <w:t>sorveljanza baġitarja multilaterali u li jħassar ir-Regolament tal-Kunsill (KE) Nru 1466/97</w:t>
      </w:r>
      <w:r w:rsidRPr="00DF35F3">
        <w:rPr>
          <w:rStyle w:val="FootnoteReference"/>
        </w:rPr>
        <w:footnoteReference w:customMarkFollows="1" w:id="2"/>
        <w:t>2</w:t>
      </w:r>
      <w:r w:rsidRPr="00DF35F3">
        <w:t>,</w:t>
      </w:r>
    </w:p>
    <w:p w14:paraId="1F435BA1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r-Regolament tal-Kunsill (UE) 2024/1264 tad-29 ta’ April 2024 li jemenda r-Regolament (KE) Nru 1467/97 dwar li titħaffef u li tiġi ċċarata l-implimentazzjoni tal-proċedura ta’ defiċit eċċessiv</w:t>
      </w:r>
      <w:r w:rsidRPr="00DF35F3">
        <w:rPr>
          <w:rStyle w:val="FootnoteReference"/>
        </w:rPr>
        <w:footnoteReference w:customMarkFollows="1" w:id="3"/>
        <w:t>3</w:t>
      </w:r>
      <w:r w:rsidRPr="00DF35F3">
        <w:t>,</w:t>
      </w:r>
    </w:p>
    <w:p w14:paraId="761EF3E5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d-Direttiva tal-Kunsill (UE) 2024/1265 tad-29 ta’ April 2024 li temenda d-Direttiva 2011/85/UE dwar ir-rekwiżiti għal oqfsa baġitarji tal-Istati Membri</w:t>
      </w:r>
      <w:r w:rsidRPr="00DF35F3">
        <w:rPr>
          <w:rStyle w:val="FootnoteReference"/>
        </w:rPr>
        <w:footnoteReference w:customMarkFollows="1" w:id="4"/>
        <w:t>4</w:t>
      </w:r>
      <w:r w:rsidRPr="00DF35F3">
        <w:t>,</w:t>
      </w:r>
    </w:p>
    <w:p w14:paraId="1C7F922D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r-Regolament (UE) Nru 1173/2011 tal-Parlament Ewropew u tal-Kunsill tas-16 ta’ Novembru 2011 dwar l-infurzar effettiv tas-sorveljanza baġitarja fiż-żona tal-euro</w:t>
      </w:r>
      <w:r w:rsidRPr="00DF35F3">
        <w:rPr>
          <w:rStyle w:val="FootnoteReference"/>
        </w:rPr>
        <w:footnoteReference w:customMarkFollows="1" w:id="5"/>
        <w:t>5</w:t>
      </w:r>
      <w:r w:rsidRPr="00DF35F3">
        <w:t>,</w:t>
      </w:r>
    </w:p>
    <w:p w14:paraId="65179718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r-Regolament (UE) Nru 1174/2011 tal-Parlament Ewropew u tal-Kunsill tas-16 ta’ Novembru 2011 dwar miżuri ta’ infurzar biex jikkoreġu żbilanċi makroekonomiċi eċċessivi fiż-żona tal-euro</w:t>
      </w:r>
      <w:r w:rsidRPr="00DF35F3">
        <w:rPr>
          <w:rStyle w:val="FootnoteReference"/>
        </w:rPr>
        <w:footnoteReference w:customMarkFollows="1" w:id="6"/>
        <w:t>6</w:t>
      </w:r>
      <w:r w:rsidRPr="00DF35F3">
        <w:t>,</w:t>
      </w:r>
    </w:p>
    <w:p w14:paraId="550C7040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r-Regolament (UE) Nru 1176/2011 tal-Parlament Ewropew u tal-Kunsill tas-16 ta’ Novembru 2011 dwar il-prevenzjoni u l-korrezzjoni tal-iżbilanċi makroekonomiċi</w:t>
      </w:r>
      <w:r w:rsidRPr="00DF35F3">
        <w:rPr>
          <w:rStyle w:val="FootnoteReference"/>
        </w:rPr>
        <w:footnoteReference w:customMarkFollows="1" w:id="7"/>
        <w:t>7</w:t>
      </w:r>
      <w:r w:rsidRPr="00DF35F3">
        <w:t>,</w:t>
      </w:r>
    </w:p>
    <w:p w14:paraId="593B1CBE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r-Regolament (UE) Nru 472/2013 tal-Parlament Ewropew u tal-Kunsill tal-21 ta’ Mejju 2013 dwar it-tisħiħ tas-sorveljanza ekonomika u baġitarja tal-Istati Membri fiż-żona tal-euro li jesperjenzaw jew ikunu mhedda b’diffikultajiet gravi fir-rigward tal-istabbiltà finanzjarja tagħhom</w:t>
      </w:r>
      <w:r w:rsidRPr="00DF35F3">
        <w:rPr>
          <w:rStyle w:val="FootnoteReference"/>
        </w:rPr>
        <w:footnoteReference w:customMarkFollows="1" w:id="8"/>
        <w:t>8</w:t>
      </w:r>
      <w:r w:rsidRPr="00DF35F3">
        <w:t>,</w:t>
      </w:r>
    </w:p>
    <w:p w14:paraId="4BCA8887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r-Regolament (UE) Nru 473/2013 tal-Parlament Ewropew u tal-Kunsill tal-21 ta’ Mejju 2013 dwar dispożizzjonijiet komuni għall-monitoraġġ u l-valutazzjoni tal-abbozzi tal-pjani baġitarji u l-iżgurar tal-korrezzjoni tad-defiċit eċċessiv tal-Istati Membri fiż-żona tal-euro</w:t>
      </w:r>
      <w:r w:rsidRPr="00DF35F3">
        <w:rPr>
          <w:rStyle w:val="FootnoteReference"/>
        </w:rPr>
        <w:footnoteReference w:customMarkFollows="1" w:id="9"/>
        <w:t>9</w:t>
      </w:r>
      <w:r w:rsidRPr="00DF35F3">
        <w:t>,</w:t>
      </w:r>
    </w:p>
    <w:p w14:paraId="33E48546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t-Tbassir Ekonomiku tar-Rebbiegħa 2025, maħruġ mill-Kummissjoni fid-19 ta’ Mejju 2025,</w:t>
      </w:r>
    </w:p>
    <w:p w14:paraId="60D9AD4A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t-Tbassir Ekonomiku tal-Ħarifa 2025, maħruġ mill-Kummissjoni fis-17 ta’ Novembru 2025,</w:t>
      </w:r>
    </w:p>
    <w:p w14:paraId="19D9C813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l-pakkett tas-Semestru Ewropew għall-Ħarifa għall-2026, maħruġ mill-Kummissjoni fil-25 ta’ Novembru 2025,</w:t>
      </w:r>
    </w:p>
    <w:p w14:paraId="52DD52B9" w14:textId="77777777" w:rsidR="00D231A8" w:rsidRPr="00DF35F3" w:rsidRDefault="00D231A8" w:rsidP="00D231A8">
      <w:pPr>
        <w:pStyle w:val="NormalHanging"/>
      </w:pPr>
      <w:r w:rsidRPr="00DF35F3">
        <w:lastRenderedPageBreak/>
        <w:t>–</w:t>
      </w:r>
      <w:r w:rsidRPr="00DF35F3">
        <w:tab/>
        <w:t>wara li kkunsidra l-Monitoraġġ tas-Sostenibbiltà tad-Dejn tal-2024, maħruġ mill-Kummissjoni fis-17 ta’ Marzu 2025,</w:t>
      </w:r>
    </w:p>
    <w:p w14:paraId="0FBB6A89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l-komunikazzjoni tal-Kummissjoni tad-19 ta’ Marzu 2025 bit-titolu “</w:t>
      </w:r>
      <w:proofErr w:type="spellStart"/>
      <w:r w:rsidRPr="00DF35F3">
        <w:t>Accommodating</w:t>
      </w:r>
      <w:proofErr w:type="spellEnd"/>
      <w:r w:rsidRPr="00DF35F3">
        <w:t xml:space="preserve"> </w:t>
      </w:r>
      <w:proofErr w:type="spellStart"/>
      <w:r w:rsidRPr="00DF35F3">
        <w:t>increased</w:t>
      </w:r>
      <w:proofErr w:type="spellEnd"/>
      <w:r w:rsidRPr="00DF35F3">
        <w:t xml:space="preserve"> </w:t>
      </w:r>
      <w:proofErr w:type="spellStart"/>
      <w:r w:rsidRPr="00DF35F3">
        <w:t>defence</w:t>
      </w:r>
      <w:proofErr w:type="spellEnd"/>
      <w:r w:rsidRPr="00DF35F3">
        <w:t xml:space="preserve"> </w:t>
      </w:r>
      <w:proofErr w:type="spellStart"/>
      <w:r w:rsidRPr="00DF35F3">
        <w:t>expenditure</w:t>
      </w:r>
      <w:proofErr w:type="spellEnd"/>
      <w:r w:rsidRPr="00DF35F3">
        <w:t xml:space="preserve"> </w:t>
      </w:r>
      <w:proofErr w:type="spellStart"/>
      <w:r w:rsidRPr="00DF35F3">
        <w:t>within</w:t>
      </w:r>
      <w:proofErr w:type="spellEnd"/>
      <w:r w:rsidRPr="00DF35F3">
        <w:t xml:space="preserve"> </w:t>
      </w:r>
      <w:proofErr w:type="spellStart"/>
      <w:r w:rsidRPr="00DF35F3">
        <w:t>the</w:t>
      </w:r>
      <w:proofErr w:type="spellEnd"/>
      <w:r w:rsidRPr="00DF35F3">
        <w:t xml:space="preserve"> </w:t>
      </w:r>
      <w:proofErr w:type="spellStart"/>
      <w:r w:rsidRPr="00DF35F3">
        <w:t>Stability</w:t>
      </w:r>
      <w:proofErr w:type="spellEnd"/>
      <w:r w:rsidRPr="00DF35F3">
        <w:t xml:space="preserve"> </w:t>
      </w:r>
      <w:proofErr w:type="spellStart"/>
      <w:r w:rsidRPr="00DF35F3">
        <w:t>and</w:t>
      </w:r>
      <w:proofErr w:type="spellEnd"/>
      <w:r w:rsidRPr="00DF35F3">
        <w:t xml:space="preserve"> </w:t>
      </w:r>
      <w:proofErr w:type="spellStart"/>
      <w:r w:rsidRPr="00DF35F3">
        <w:t>Growth</w:t>
      </w:r>
      <w:proofErr w:type="spellEnd"/>
      <w:r w:rsidRPr="00DF35F3">
        <w:t xml:space="preserve"> </w:t>
      </w:r>
      <w:proofErr w:type="spellStart"/>
      <w:r w:rsidRPr="00DF35F3">
        <w:t>Pact</w:t>
      </w:r>
      <w:proofErr w:type="spellEnd"/>
      <w:r w:rsidRPr="00DF35F3">
        <w:t>” (L-akkomodazzjoni ta’ żieda tan-nefqa fid-difiża fil-Patt tal-Istabbiltà u t-Tkabbir) (C(2025)2000),</w:t>
      </w:r>
    </w:p>
    <w:p w14:paraId="23F2CFC1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r-rapport annwali tal-Bord Fiskali Ewropew għall-2025, ippubblikat fit-22 ta’ Ottubru 2025,</w:t>
      </w:r>
    </w:p>
    <w:p w14:paraId="3518EB9E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 xml:space="preserve">wara li kkunsidra r-rapport tad-9 ta’ Settembru 2024 ta’ Mario </w:t>
      </w:r>
      <w:proofErr w:type="spellStart"/>
      <w:r w:rsidRPr="00DF35F3">
        <w:t>Draghi</w:t>
      </w:r>
      <w:proofErr w:type="spellEnd"/>
      <w:r w:rsidRPr="00DF35F3">
        <w:t xml:space="preserve"> bit-titolu “</w:t>
      </w:r>
      <w:proofErr w:type="spellStart"/>
      <w:r w:rsidRPr="00DF35F3">
        <w:t>The</w:t>
      </w:r>
      <w:proofErr w:type="spellEnd"/>
      <w:r w:rsidRPr="00DF35F3">
        <w:t xml:space="preserve"> </w:t>
      </w:r>
      <w:proofErr w:type="spellStart"/>
      <w:r w:rsidRPr="00DF35F3">
        <w:t>future</w:t>
      </w:r>
      <w:proofErr w:type="spellEnd"/>
      <w:r w:rsidRPr="00DF35F3">
        <w:t xml:space="preserve"> of </w:t>
      </w:r>
      <w:proofErr w:type="spellStart"/>
      <w:r w:rsidRPr="00DF35F3">
        <w:t>European</w:t>
      </w:r>
      <w:proofErr w:type="spellEnd"/>
      <w:r w:rsidRPr="00DF35F3">
        <w:t xml:space="preserve"> </w:t>
      </w:r>
      <w:proofErr w:type="spellStart"/>
      <w:r w:rsidRPr="00DF35F3">
        <w:t>competitiveness</w:t>
      </w:r>
      <w:proofErr w:type="spellEnd"/>
      <w:r w:rsidRPr="00DF35F3">
        <w:t xml:space="preserve">” (Il-futur tal-kompetittività Ewropea) (ir-rapport </w:t>
      </w:r>
      <w:proofErr w:type="spellStart"/>
      <w:r w:rsidRPr="00DF35F3">
        <w:t>Draghi</w:t>
      </w:r>
      <w:proofErr w:type="spellEnd"/>
      <w:r w:rsidRPr="00DF35F3">
        <w:t>),</w:t>
      </w:r>
    </w:p>
    <w:p w14:paraId="1813D156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l-komunikazzjoni konġunta tal-Kummissjoni u tar-Rappreżentant Għoli tal-Unjoni għall-Affarijiet Barranin u l-Politika ta’ Sigurtà tad-19 ta’ Marzu 2025 intitolata “White Paper Konġunta għall-Prontezza tad-Difiża Ewropea 2030” (JOIN(2025)0120),</w:t>
      </w:r>
    </w:p>
    <w:p w14:paraId="4B5287EA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r-rapport taċ-Ċentru Konġunt tar-Riċerka bit-titolu “</w:t>
      </w:r>
      <w:proofErr w:type="spellStart"/>
      <w:r w:rsidRPr="00DF35F3">
        <w:t>Measuring</w:t>
      </w:r>
      <w:proofErr w:type="spellEnd"/>
      <w:r w:rsidRPr="00DF35F3">
        <w:t xml:space="preserve"> </w:t>
      </w:r>
      <w:proofErr w:type="spellStart"/>
      <w:r w:rsidRPr="00DF35F3">
        <w:t>sustainable</w:t>
      </w:r>
      <w:proofErr w:type="spellEnd"/>
      <w:r w:rsidRPr="00DF35F3">
        <w:t xml:space="preserve"> </w:t>
      </w:r>
      <w:proofErr w:type="spellStart"/>
      <w:r w:rsidRPr="00DF35F3">
        <w:t>and</w:t>
      </w:r>
      <w:proofErr w:type="spellEnd"/>
      <w:r w:rsidRPr="00DF35F3">
        <w:t xml:space="preserve"> </w:t>
      </w:r>
      <w:proofErr w:type="spellStart"/>
      <w:r w:rsidRPr="00DF35F3">
        <w:t>inclusive</w:t>
      </w:r>
      <w:proofErr w:type="spellEnd"/>
      <w:r w:rsidRPr="00DF35F3">
        <w:t xml:space="preserve"> </w:t>
      </w:r>
      <w:proofErr w:type="spellStart"/>
      <w:r w:rsidRPr="00DF35F3">
        <w:t>wellbeing</w:t>
      </w:r>
      <w:proofErr w:type="spellEnd"/>
      <w:r w:rsidRPr="00DF35F3">
        <w:t xml:space="preserve">: a </w:t>
      </w:r>
      <w:proofErr w:type="spellStart"/>
      <w:r w:rsidRPr="00DF35F3">
        <w:t>multidimensional</w:t>
      </w:r>
      <w:proofErr w:type="spellEnd"/>
      <w:r w:rsidRPr="00DF35F3">
        <w:t xml:space="preserve"> </w:t>
      </w:r>
      <w:proofErr w:type="spellStart"/>
      <w:r w:rsidRPr="00DF35F3">
        <w:t>dashboard</w:t>
      </w:r>
      <w:proofErr w:type="spellEnd"/>
      <w:r w:rsidRPr="00DF35F3">
        <w:t xml:space="preserve"> </w:t>
      </w:r>
      <w:proofErr w:type="spellStart"/>
      <w:r w:rsidRPr="00DF35F3">
        <w:t>approach</w:t>
      </w:r>
      <w:proofErr w:type="spellEnd"/>
      <w:r w:rsidRPr="00DF35F3">
        <w:t>” (</w:t>
      </w:r>
      <w:proofErr w:type="spellStart"/>
      <w:r w:rsidRPr="00DF35F3">
        <w:t>Inkejlu</w:t>
      </w:r>
      <w:proofErr w:type="spellEnd"/>
      <w:r w:rsidRPr="00DF35F3">
        <w:t xml:space="preserve"> l-benessri sostenibbli u inklużiv: approċċ ta’ </w:t>
      </w:r>
      <w:proofErr w:type="spellStart"/>
      <w:r w:rsidRPr="00DF35F3">
        <w:t>dashboard</w:t>
      </w:r>
      <w:proofErr w:type="spellEnd"/>
      <w:r w:rsidRPr="00DF35F3">
        <w:t xml:space="preserve"> multidimensjonali) ippubblikat fit-28 ta’ Jannar 2025,</w:t>
      </w:r>
    </w:p>
    <w:p w14:paraId="3834F446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l-Proklamazzjoni Interistituzzjonali dwar il-Pilastru Ewropew tad-Drittijiet Soċjali tat-13 ta’ Diċembru 2017,</w:t>
      </w:r>
    </w:p>
    <w:p w14:paraId="628BFA38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 xml:space="preserve">wara li kkunsidra d-Dikjarazzjoni ta’ La </w:t>
      </w:r>
      <w:proofErr w:type="spellStart"/>
      <w:r w:rsidRPr="00DF35F3">
        <w:t>Hulpe</w:t>
      </w:r>
      <w:proofErr w:type="spellEnd"/>
      <w:r w:rsidRPr="00DF35F3">
        <w:t xml:space="preserve"> dwar il-Futur tal-Pilastru Ewropew tad-Drittijiet Soċjali tas-16 ta’ April 2024,</w:t>
      </w:r>
    </w:p>
    <w:p w14:paraId="2F0B198D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l-Impenn Soċjali ta’ Porto tas-7 ta’ Mejju 2021 tal-Kunsill, il-Kummissjoni, il-Parlament u s-sħab soċjali,</w:t>
      </w:r>
    </w:p>
    <w:p w14:paraId="57DFFC94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l-Artikolu 55 tar-Regoli ta’ Proċedura tiegħu,</w:t>
      </w:r>
    </w:p>
    <w:p w14:paraId="46E9A91C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l-opinjoni tal-Kumitat għall-Baġits,</w:t>
      </w:r>
    </w:p>
    <w:p w14:paraId="0D096DDE" w14:textId="77777777" w:rsidR="00D231A8" w:rsidRPr="00DF35F3" w:rsidRDefault="00D231A8" w:rsidP="00D231A8">
      <w:pPr>
        <w:pStyle w:val="NormalHanging"/>
      </w:pPr>
      <w:r w:rsidRPr="00DF35F3">
        <w:t>–</w:t>
      </w:r>
      <w:r w:rsidRPr="00DF35F3">
        <w:tab/>
        <w:t>wara li kkunsidra r-rapport tal-Kumitat għall-Affarijiet Ekonomiċi u Monetarji (A10-0036/2026),</w:t>
      </w:r>
    </w:p>
    <w:p w14:paraId="3DC89732" w14:textId="77777777" w:rsidR="00D231A8" w:rsidRPr="00DF35F3" w:rsidRDefault="00D231A8" w:rsidP="00D231A8">
      <w:pPr>
        <w:pStyle w:val="NormalHanging"/>
      </w:pPr>
      <w:r w:rsidRPr="00DF35F3">
        <w:t>A.</w:t>
      </w:r>
      <w:r w:rsidRPr="00DF35F3">
        <w:tab/>
        <w:t>billi s-Semestru Ewropew għandu rwol essenzjali fil-koordinament u fl-allinjament tal-politiki ekonomiċi u baġitarji fl-Istati Membri, bil-ħsieb li tiġi ssalvagwardjata l-istabbiltà makroekonomika tal-Unjoni Ekonomika u Monetarja u li tinkiseb tranżizzjoni soċjalment ġusta lejn ekonomija sostenibbli;</w:t>
      </w:r>
    </w:p>
    <w:p w14:paraId="535D1FD2" w14:textId="77777777" w:rsidR="00D231A8" w:rsidRPr="00DF35F3" w:rsidRDefault="00D231A8" w:rsidP="00D231A8">
      <w:pPr>
        <w:pStyle w:val="NormalHanging"/>
      </w:pPr>
      <w:r w:rsidRPr="00DF35F3">
        <w:t>B.</w:t>
      </w:r>
      <w:r w:rsidRPr="00DF35F3">
        <w:tab/>
        <w:t>billi r-rakkomandazzjonijiet tas-Semestru Ewropew fl-2026 se jkollhom rwol essenzjali fit-tfassil tal-pjanijiet ta’ sħubija nazzjonali u reġjonali li se jitħejjew mill-Istati Membri;</w:t>
      </w:r>
    </w:p>
    <w:p w14:paraId="369AA025" w14:textId="77777777" w:rsidR="00D231A8" w:rsidRPr="00DF35F3" w:rsidRDefault="00D231A8" w:rsidP="00D231A8">
      <w:pPr>
        <w:pStyle w:val="NormalHanging"/>
      </w:pPr>
      <w:r w:rsidRPr="00DF35F3">
        <w:t>C.</w:t>
      </w:r>
      <w:r w:rsidRPr="00DF35F3">
        <w:tab/>
        <w:t>billi r-rakkomandazzjonijiet speċifiċi għall-pajjiż (CSRs) fil-qafas tas-Semestru Ewropew jinkludu regolarment tnaqqis fl-infiq soċjali, filwaqt li bilkemm jindirizzaw iż-żidiet fid-dħul;</w:t>
      </w:r>
    </w:p>
    <w:p w14:paraId="64FE71A6" w14:textId="77777777" w:rsidR="00D231A8" w:rsidRPr="00DF35F3" w:rsidRDefault="00D231A8" w:rsidP="00D231A8">
      <w:pPr>
        <w:pStyle w:val="NormalHanging"/>
      </w:pPr>
      <w:r w:rsidRPr="00DF35F3">
        <w:lastRenderedPageBreak/>
        <w:t>D.</w:t>
      </w:r>
      <w:r w:rsidRPr="00DF35F3">
        <w:tab/>
        <w:t>billi għad hemm inċertezza dwar il-perspettivi ekonomiċi, l-aktar minħabba l-invażjoni Russa tal-Ukrajna u l-inċertezza ġġenerata minn politiki protezzjonisti, tariffi u tensjonijiet kummerċjali, li kollha għandhom effett negattiv fuq l-ekonomija;</w:t>
      </w:r>
    </w:p>
    <w:p w14:paraId="105ACEB7" w14:textId="77777777" w:rsidR="00D231A8" w:rsidRPr="00DF35F3" w:rsidRDefault="00D231A8" w:rsidP="00D231A8">
      <w:pPr>
        <w:pStyle w:val="NormalHanging"/>
      </w:pPr>
      <w:r w:rsidRPr="00DF35F3">
        <w:t>E.</w:t>
      </w:r>
      <w:r w:rsidRPr="00DF35F3">
        <w:tab/>
        <w:t>billi skont it-tbassir ekonomiku tal-ħarifa 2025 tal-Kummissjoni, it-tkabbir tal-PDG fl-UE huwa mistenni li jkun qrib it-tkabbir potenzjali, b’livell massimu ta’ impjiegi u inflazzjoni qrib il-livell fil-mira, għalkemm l-inflazzjoni għadha għolja f’xi Stati Membri;</w:t>
      </w:r>
    </w:p>
    <w:p w14:paraId="06B8FB0E" w14:textId="77777777" w:rsidR="00D231A8" w:rsidRPr="00DF35F3" w:rsidRDefault="00D231A8" w:rsidP="00D231A8">
      <w:pPr>
        <w:pStyle w:val="NormalHanging"/>
      </w:pPr>
      <w:r w:rsidRPr="00DF35F3">
        <w:t>F.</w:t>
      </w:r>
      <w:r w:rsidRPr="00DF35F3">
        <w:tab/>
        <w:t>billi għall-UE kollha kemm hi, il-Kummissjoni tbassar tkabbir ta’ bejn 1,4 % u 1,5 % bejn l-2025 u l-2027, filwaqt li fiż-żona tal-euro d-dinamika hija mistennija li tkun aktar baxxa (bejn 1,2 % u 1,4 %); billi t-tkabbir potenzjali fl-UE huwa mistenni li jonqos minn madwar 1,5 % fl-2024 għal 1,3 % fl-2027 (fiż-żona tal-euro minn 1,4 % għal 1,2 %), l-aktar minħabba xejriet demografiċi mhux favorevoli;</w:t>
      </w:r>
    </w:p>
    <w:p w14:paraId="018400E3" w14:textId="77777777" w:rsidR="00D231A8" w:rsidRPr="00DF35F3" w:rsidRDefault="00D231A8" w:rsidP="00D231A8">
      <w:pPr>
        <w:pStyle w:val="NormalHanging"/>
      </w:pPr>
      <w:r w:rsidRPr="00DF35F3">
        <w:t>G.</w:t>
      </w:r>
      <w:r w:rsidRPr="00DF35F3">
        <w:tab/>
        <w:t xml:space="preserve">billi l-UE għandha ħtiġijiet ta’ investiment enormi, inklużi investimenti annwali addizzjonali ta’ EUR 800 biljun li r-rapport ta’ </w:t>
      </w:r>
      <w:proofErr w:type="spellStart"/>
      <w:r w:rsidRPr="00DF35F3">
        <w:t>Draghi</w:t>
      </w:r>
      <w:proofErr w:type="spellEnd"/>
      <w:r w:rsidRPr="00DF35F3">
        <w:t xml:space="preserve"> jqis meħtieġa biex tingħata spinta lill-kompetittività u l-produttività tal-Ewropa, inklużi EUR 450 biljun għat-tranżizzjoni tal-enerġija biss, li minnhom, skont l-Istitut </w:t>
      </w:r>
      <w:proofErr w:type="spellStart"/>
      <w:r w:rsidRPr="00DF35F3">
        <w:t>Rousseau</w:t>
      </w:r>
      <w:proofErr w:type="spellEnd"/>
      <w:r w:rsidRPr="00DF35F3">
        <w:t xml:space="preserve">, EUR 260 biljun għandhom jiġu mis-settur pubbliku; billi EUR 800 biljun oħra f’investimenti addizzjonali huma mbassra għal infiq għad-difiża fl-ambitu tal-Pjan </w:t>
      </w:r>
      <w:proofErr w:type="spellStart"/>
      <w:r w:rsidRPr="00DF35F3">
        <w:t>ReArm</w:t>
      </w:r>
      <w:proofErr w:type="spellEnd"/>
      <w:r w:rsidRPr="00DF35F3">
        <w:t xml:space="preserve"> Europe/Prontezza 2030; billi dawn il-miri ta’ investiment ma għandhomx riżorsi proprji ġodda korrispondenti, u dan iħalli lill-Unjoni mingħajr il-kapaċità fiskali meħtieġa biex tilħaq l-objettivi ddikjarati tagħha; billi dawn il-ħtiġijiet ma jistgħux jiġu ssodisfati mill-finanzjament pubbliku biss;</w:t>
      </w:r>
    </w:p>
    <w:p w14:paraId="4022ABCD" w14:textId="77777777" w:rsidR="00D231A8" w:rsidRPr="00DF35F3" w:rsidRDefault="00D231A8" w:rsidP="00D231A8">
      <w:pPr>
        <w:pStyle w:val="NormalHanging"/>
      </w:pPr>
      <w:r w:rsidRPr="00DF35F3">
        <w:t>H.</w:t>
      </w:r>
      <w:r w:rsidRPr="00DF35F3">
        <w:tab/>
        <w:t xml:space="preserve">billi l-UE qed tiffaċċja sfidi kbar, li jvarjaw minn theddidiet persistenti fil-fruntieri tal-Lvant tagħha marbuta mal-gwerra ta’ aggressjoni tar-Russja kontra l-Ukrajna sa instabbiltà ġeopolitika u inċertezza kummerċjali, filwaqt li għad fadal sfidi fit-tul </w:t>
      </w:r>
      <w:proofErr w:type="spellStart"/>
      <w:r w:rsidRPr="00DF35F3">
        <w:t>bħat</w:t>
      </w:r>
      <w:proofErr w:type="spellEnd"/>
      <w:r w:rsidRPr="00DF35F3">
        <w:t>-tranżizzjonijiet ekoloġiċi u diġitali;</w:t>
      </w:r>
    </w:p>
    <w:p w14:paraId="0D25BF2E" w14:textId="77777777" w:rsidR="00D231A8" w:rsidRPr="00DF35F3" w:rsidRDefault="00D231A8" w:rsidP="00D231A8">
      <w:pPr>
        <w:pStyle w:val="NormalHanging"/>
      </w:pPr>
      <w:r w:rsidRPr="00DF35F3">
        <w:t>I.</w:t>
      </w:r>
      <w:r w:rsidRPr="00DF35F3">
        <w:tab/>
        <w:t>billi t-TFUE jistabbilixxi valuri ta’ referenza sa 3 % għad-defiċit tal-gvern u 60 % għall-proporzjon tad-dejn għall-PDG; billi l-proporzjon tad-dejn għall-PDG u d-defiċit nominali tal-UE għadhom ogħla mill-valuri referenzjarji; billi kemm id-defiċit nominali kif ukoll il-proporzjon tad-dejn għall-PDG ivarjaw fl-UE, b’sitwazzjonijiet diverġenti b’mod sinifikanti fost l-Istati Membri;</w:t>
      </w:r>
    </w:p>
    <w:p w14:paraId="7C23EF45" w14:textId="77777777" w:rsidR="00D231A8" w:rsidRPr="00DF35F3" w:rsidRDefault="00D231A8" w:rsidP="00D231A8">
      <w:pPr>
        <w:pStyle w:val="NormalHanging"/>
      </w:pPr>
      <w:r w:rsidRPr="00DF35F3">
        <w:t>J.</w:t>
      </w:r>
      <w:r w:rsidRPr="00DF35F3">
        <w:tab/>
        <w:t>billi, minn meta ġiet stabbilita din il-proċedura fl-2011, il-Kunsill ma nieda l-ebda proċedura dwar żbilanċi makroekonomiċi eċċessivi;</w:t>
      </w:r>
    </w:p>
    <w:p w14:paraId="099F26AD" w14:textId="77777777" w:rsidR="00D231A8" w:rsidRPr="00DF35F3" w:rsidRDefault="00D231A8" w:rsidP="00D231A8">
      <w:pPr>
        <w:pStyle w:val="NormalHanging"/>
      </w:pPr>
      <w:r w:rsidRPr="00DF35F3">
        <w:t>K.</w:t>
      </w:r>
      <w:r w:rsidRPr="00DF35F3">
        <w:tab/>
        <w:t>billi l-Kummissjoni attwali hija impenjata li tkun “Kummissjoni ta’ investiment” u tiddependi fuq l-appoġġ tal-Parlament, bħala koleġiżlatur, biex tieħu azzjoni sinifikanti ħalli tagħti spinta lill-investiment tal-UE sa livell proporzjonat mal-ħtiġijiet tat-tranżizzjonijiet ekoloġiċi u diġitali; billi l-Kummissjoni għad trid tressaq rispons adegwat għar-rekwiżiti ta’ investiment massivi tal-Unjoni, b’mod partikolari minħabba li l-Faċilità għall-Irkupru u r-Reżiljenza (RRF) se tiġi mitmuma fl-aħħar tal-2026;</w:t>
      </w:r>
    </w:p>
    <w:p w14:paraId="399B7106" w14:textId="77777777" w:rsidR="00D231A8" w:rsidRPr="00DF35F3" w:rsidRDefault="00D231A8" w:rsidP="00D231A8">
      <w:pPr>
        <w:pStyle w:val="NormalHanging"/>
      </w:pPr>
      <w:r w:rsidRPr="00DF35F3">
        <w:t>L.</w:t>
      </w:r>
      <w:r w:rsidRPr="00DF35F3">
        <w:tab/>
        <w:t xml:space="preserve">billi l-kriżijiet tal-imgħoddi, inkluża l-pandemija tal-COVID-19, urew li rispons Ewropew komuni u koordinat isaħħaħ l-Unjoni; billi, f’ambjent </w:t>
      </w:r>
      <w:proofErr w:type="spellStart"/>
      <w:r w:rsidRPr="00DF35F3">
        <w:t>ġeoekonomiku</w:t>
      </w:r>
      <w:proofErr w:type="spellEnd"/>
      <w:r w:rsidRPr="00DF35F3">
        <w:t xml:space="preserve"> kompetittiv, l-Ewropa tista’ tissalvagwardja l-interessi u l-valuri tagħha biss permezz tal-unità, filwaqt li tenfasizza l-ħtieġa ta’ qafas ta’ politika makroekonomiku robust u </w:t>
      </w:r>
      <w:r w:rsidRPr="00DF35F3">
        <w:lastRenderedPageBreak/>
        <w:t>anke koordinazzjoni aktar mill-qrib ta’ politiki ekonomiċi u soċjali permezz tas-Semestru Ewropew;</w:t>
      </w:r>
    </w:p>
    <w:p w14:paraId="1B4BB32C" w14:textId="77777777" w:rsidR="00D231A8" w:rsidRPr="00DF35F3" w:rsidRDefault="00D231A8" w:rsidP="00D231A8">
      <w:pPr>
        <w:pStyle w:val="Normal12a"/>
      </w:pPr>
      <w:r w:rsidRPr="00DF35F3">
        <w:rPr>
          <w:b/>
          <w:i/>
        </w:rPr>
        <w:t>Il-prospetti ekonomiċi għall-UE</w:t>
      </w:r>
    </w:p>
    <w:p w14:paraId="4225571B" w14:textId="77777777" w:rsidR="00D231A8" w:rsidRPr="00DF35F3" w:rsidRDefault="00D231A8" w:rsidP="00D231A8">
      <w:pPr>
        <w:pStyle w:val="NormalHanging12a"/>
      </w:pPr>
      <w:r w:rsidRPr="00DF35F3">
        <w:t>1.</w:t>
      </w:r>
      <w:r w:rsidRPr="00DF35F3">
        <w:tab/>
        <w:t>Jinnota li matul dawn l-aħħar ħames snin, l-UE ffaċċjat sfidi kbar, inklużi t-tifqigħa tal-pandemija tal-COVID-19 u l-gwerra illegali u mhux iġġustifikata tar-Russja fl-Ukrajna, u dawn kellhom impatti ekonomiċi kbar; jieħu nota tal-ħeffa u tal-impatt tal-inizjattivi u tal-istrumenti madwar l-UE kollha biex jiġu indirizzati l-konsegwenzi ekonomiċi u soċjali tax-xokkijiet esterni, b’mod partikolari l-RRF u l-Istrument Ewropew għal Appoġġ Temporanju biex Jittaffew ir-Riskji ta’ Qgħad f’Emerġenza (SURE);</w:t>
      </w:r>
    </w:p>
    <w:p w14:paraId="2D8B8286" w14:textId="31E96F36" w:rsidR="00D231A8" w:rsidRPr="00DF35F3" w:rsidRDefault="00D231A8" w:rsidP="00D231A8">
      <w:pPr>
        <w:pStyle w:val="NormalHanging12a"/>
      </w:pPr>
      <w:r w:rsidRPr="00DF35F3">
        <w:t>2.</w:t>
      </w:r>
      <w:r w:rsidRPr="00DF35F3">
        <w:tab/>
        <w:t>Jinnota li, skont it-tbassir ekonomiku tal-ħarifa 2025 tal-Kummissjoni, ippubblikat fis-17 ta’ Novemb</w:t>
      </w:r>
      <w:r w:rsidR="001D402A">
        <w:t>ru</w:t>
      </w:r>
      <w:r w:rsidRPr="00DF35F3">
        <w:t xml:space="preserve"> 2025, il-PDG tal-UE huwa mistenni li jiżdied b’1,4 % fl-2025 meta mqabbel mal-2024, u b’1,4 % fl-2026; josserva li, abbażi ta’ dan it-tbassir, l-UE għadha lura meta mqabbla mal-Istati Uniti u ċ-Ċina f’termini tal-aspettattivi tat-tkabbir; jenfasizza li, minkejja sfidi sinifikanti, iż-żona tal-euro u l-UE wrew reżiljenza;</w:t>
      </w:r>
    </w:p>
    <w:p w14:paraId="5C1B0EBE" w14:textId="77777777" w:rsidR="00D231A8" w:rsidRPr="00DF35F3" w:rsidRDefault="00D231A8" w:rsidP="00D231A8">
      <w:pPr>
        <w:pStyle w:val="NormalHanging12a"/>
      </w:pPr>
      <w:r w:rsidRPr="00DF35F3">
        <w:t>3.</w:t>
      </w:r>
      <w:r w:rsidRPr="00DF35F3">
        <w:tab/>
        <w:t>Jinnota li t-tkabbir potenzjali, li jimmarka r-rata tat-tkabbir li ekonomija tista’ tiflaħ għaliha mingħajr inflazzjoni eċċessiva, huwa mistenni li jonqos minn 1,5 % fl-2024 għal 1,3 % fl-2027 fl-UE, u minn 1,4 % għal 1,2 %, fiż-żona tal-euro, minħabba li t-tkabbir fil-popolazzjoni fl-età tax-xogħol ikun aktar bil-mod; iqis li dawn il-livelli tat-tkabbir potenzjali huma baxxi wisq sabiex jiġu indirizzati l-isfidi li l-ekonomija Ewropea se tiffaċċja fis-snin li ġejjin;</w:t>
      </w:r>
    </w:p>
    <w:p w14:paraId="1511747B" w14:textId="77777777" w:rsidR="00D231A8" w:rsidRPr="00DF35F3" w:rsidRDefault="00D231A8" w:rsidP="00D231A8">
      <w:pPr>
        <w:pStyle w:val="NormalHanging12a"/>
      </w:pPr>
      <w:r w:rsidRPr="00DF35F3">
        <w:t>4.</w:t>
      </w:r>
      <w:r w:rsidRPr="00DF35F3">
        <w:tab/>
        <w:t>Jinnota li skont it-Tbassir Ekonomiku tal-Ħarifa 2025 tal-Kummissjoni, id-defiċit aggregat taż-żona tal-euro huwa proġettat li jiżdied minn 3,1 % tal-PDG fl-2024 għal 3,2 % tal-PDG fl-2025; jinnota li abbażi tal-politiki attwali, id-defiċit huwa mistenni li jiżdied għal 3,3 % tal-PDG fl-2026;</w:t>
      </w:r>
    </w:p>
    <w:p w14:paraId="59AE43E9" w14:textId="77777777" w:rsidR="00D231A8" w:rsidRPr="00DF35F3" w:rsidRDefault="00D231A8" w:rsidP="00D231A8">
      <w:pPr>
        <w:pStyle w:val="NormalHanging12a"/>
      </w:pPr>
      <w:r w:rsidRPr="00DF35F3">
        <w:t>5.</w:t>
      </w:r>
      <w:r w:rsidRPr="00DF35F3">
        <w:tab/>
        <w:t>Jinnota li 12-il Stat Membru huma mistennija li jkollhom defiċits li jaqbżu t-3 % tal-PDG fl-2027 u li 10 Stati Membri jinsabu taħt proċeduri ta’ defiċit eċċessiv;</w:t>
      </w:r>
    </w:p>
    <w:p w14:paraId="0D702873" w14:textId="77777777" w:rsidR="00D231A8" w:rsidRPr="00DF35F3" w:rsidRDefault="00D231A8" w:rsidP="00D231A8">
      <w:pPr>
        <w:pStyle w:val="NormalHanging12a"/>
      </w:pPr>
      <w:r w:rsidRPr="00DF35F3">
        <w:t>6.</w:t>
      </w:r>
      <w:r w:rsidRPr="00DF35F3">
        <w:tab/>
        <w:t>Jinnota li l-proporzjon tad-dejn gross tal-gvern ġenerali mal-PDG fl-UE huwa mistenni li jilħaq 82,8 % fl-2025 u huwa mbassar li jiżdied għal 83,8 % fl-2026 u għal 84,5 % fl-2027, li huwa ogħla mill-valur ta’ referenza ta’ 60 % minqux fit-Trattati għall-Istati Membri individwali; jinnota li d-dejn tal-gvern ġenerali fiż-żona tal-euro huwa proġettat li jiżdied għal 89,8 % fl-2026 u għal 90,4 % fl-2027; jinnota li l-livelli tad-dejn ivarjaw b’mod sinifikanti fost l-Istati Membri;</w:t>
      </w:r>
    </w:p>
    <w:p w14:paraId="22CC7F59" w14:textId="77777777" w:rsidR="00D231A8" w:rsidRPr="00DF35F3" w:rsidRDefault="00D231A8" w:rsidP="00D231A8">
      <w:pPr>
        <w:pStyle w:val="NormalHanging12a"/>
      </w:pPr>
      <w:r w:rsidRPr="00DF35F3">
        <w:t>7.</w:t>
      </w:r>
      <w:r w:rsidRPr="00DF35F3">
        <w:tab/>
        <w:t>Jistieden lill-Istati Membri jsegwu politiki fiskali prudenti bil-għan li jissalvagwardjaw is-sostenibbiltà tad-dejn pubbliku;</w:t>
      </w:r>
    </w:p>
    <w:p w14:paraId="1A3E3C52" w14:textId="77777777" w:rsidR="00D231A8" w:rsidRPr="00DF35F3" w:rsidRDefault="00D231A8" w:rsidP="00D231A8">
      <w:pPr>
        <w:pStyle w:val="NormalHanging12a"/>
      </w:pPr>
      <w:r w:rsidRPr="00DF35F3">
        <w:t>8.</w:t>
      </w:r>
      <w:r w:rsidRPr="00DF35F3">
        <w:tab/>
        <w:t>Ifakkar li l-avvenimenti ta’ temp estrem għandhom impatt materjali fuq il-finanzi pubbliċi; huwa konxju li l-impatt u l-frekwenza ta’ avvenimenti ta’ temp estrem se jibqgħu jiżdiedu fis-snin li ġejjin;</w:t>
      </w:r>
    </w:p>
    <w:p w14:paraId="609CD819" w14:textId="77777777" w:rsidR="00D231A8" w:rsidRPr="00DF35F3" w:rsidRDefault="00D231A8" w:rsidP="00D231A8">
      <w:pPr>
        <w:pStyle w:val="NormalHanging12a"/>
      </w:pPr>
      <w:r w:rsidRPr="00DF35F3">
        <w:t>9.</w:t>
      </w:r>
      <w:r w:rsidRPr="00DF35F3">
        <w:tab/>
        <w:t xml:space="preserve">Jilqa’ l-fatt li l-inflazzjoni fiż-żona tal-euro tnaqqset għal-livell fil-mira tal-Bank Ċentrali Ewropew wara li laħqet l-ogħla livell tagħha ta’ 10,6 % f’Ottubru 2022; jinnota, madankollu, li l-inflazzjoni għadha f’livelli differenti madwar l-Istati Membri, u xi uħud, inklużi dawk b’industriji intensivi fl-użu tal-enerġija, għandhom livelli ogħla; jinnota li kemm l-inflazzjoni bażi kif ukoll l-aspettattivi tal-inflazzjoni għadhom ogħla </w:t>
      </w:r>
      <w:r w:rsidRPr="00DF35F3">
        <w:lastRenderedPageBreak/>
        <w:t>mil-livell fil-mira; jissottolinja l-impatt kontinwu tal-inflazzjoni tal-ikel u tal-enerġija fuq l-unitajiet domestiċi Ewropej; jinnota li l-inflazzjoni taffettwa l-gruppi b’introjtu differenti b’mod mhux uniformi, u l-unitajiet domestiċi b’introjtu baxx huma l-aktar milquta;</w:t>
      </w:r>
    </w:p>
    <w:p w14:paraId="7C1B2DC4" w14:textId="77777777" w:rsidR="00D231A8" w:rsidRPr="00DF35F3" w:rsidRDefault="00D231A8" w:rsidP="00D231A8">
      <w:pPr>
        <w:pStyle w:val="NormalHanging12a"/>
      </w:pPr>
      <w:r w:rsidRPr="00DF35F3">
        <w:t>10.</w:t>
      </w:r>
      <w:r w:rsidRPr="00DF35F3">
        <w:tab/>
        <w:t>Jesprimi tħassib li investiment privat u pubbliku insuffiċjenti x’aktarx li jfixkel it-tkabbir sostenibbli u l-kompetittività fl-Ewropa u ma jħallix lill-UE tissodisfa l-prijoritajiet komuni stabbiliti fl-aġenda strateġika tal-UE 2024-2029; jisħaq li l-Istati Membri jeħtiġilhom iżidu l-isforzi biex ineħħu l-ostakli u jimmobilizzaw investiment privat akbar f’konformità mal-istrateġija tal-unjoni dwar it-tfaddil u l-investimenti tal-Kummissjoni; jirrikonoxxi l-objettiv politiku tal-Kummissjoni li tissimplifika l-qafas regolatorju u tnaqqas b’mod sinifikanti l-piżijiet amministrattivi biex trawwem l-investiment privat; jenfasizza li l-investimenti f’oqsma bħar-riċerka u l-iżvilupp, l-infrastruttura u l-innovazzjoni huma meħtieġa b’mod urġenti biex jiżdied it-tkabbir potenzjali tal-UE; jinsisti fuq ir-rwol kruċjali tal-qafas finanzjarju pluriennali li jmiss mhux biss biex jipprovdi investiment pubbliku iżda wkoll biex jgħin jimmobilizza l-investiment privat u jissottolinja f’dan il-kuntest li l-istrumenti finanzjarji u l-garanziji baġitarji huma għodod b’saħħithom u effettivi biex jintlaħqu l-għanijiet kritiċi tal-politika tal-UE, kif ukoll l-istrumenti finanzjarji lesti biex jintużaw fl-UE kollha;</w:t>
      </w:r>
    </w:p>
    <w:p w14:paraId="39B7AD9E" w14:textId="77777777" w:rsidR="00D231A8" w:rsidRPr="00DF35F3" w:rsidRDefault="00D231A8" w:rsidP="00D231A8">
      <w:pPr>
        <w:pStyle w:val="NormalHanging12a"/>
      </w:pPr>
      <w:r w:rsidRPr="00DF35F3">
        <w:t>11.</w:t>
      </w:r>
      <w:r w:rsidRPr="00DF35F3">
        <w:tab/>
        <w:t>Jinnota li r-rapport makroekonomiku Ewropew tal-Kummissjoni jirrikonoxxi li l-affordabbiltà tal-akkomodazzjoni hija kwistjoni makroekonomika u soċjali, b’mod partikolari billi timponi restrizzjonijiet potenzjali fuq il-mobbiltà tal-forza tax-xogħol u ddgħajjef it-tkabbir tal-produttività fit-tul;</w:t>
      </w:r>
    </w:p>
    <w:p w14:paraId="568C5226" w14:textId="1D539F2D" w:rsidR="00D231A8" w:rsidRPr="00DF35F3" w:rsidRDefault="00D231A8" w:rsidP="00D231A8">
      <w:pPr>
        <w:pStyle w:val="NormalHanging12a"/>
      </w:pPr>
      <w:r w:rsidRPr="00DF35F3">
        <w:t>12.</w:t>
      </w:r>
      <w:r w:rsidRPr="00DF35F3">
        <w:tab/>
        <w:t xml:space="preserve">Jenfasizza li politika industrijali konsistenti u </w:t>
      </w:r>
      <w:r w:rsidR="00393731" w:rsidRPr="00393731">
        <w:t>mmirata</w:t>
      </w:r>
      <w:r w:rsidRPr="00DF35F3">
        <w:t xml:space="preserve"> hija element essenzjali biex tappoġġja t-trasformazzjoni teknoloġika tal-UE u ktajjen tal-provvista sikuri u reżiljenti, filwaqt li żżomm swieq kompetittivi u ħielsa mid-distorsjoni;</w:t>
      </w:r>
    </w:p>
    <w:p w14:paraId="60386E25" w14:textId="77777777" w:rsidR="00D231A8" w:rsidRPr="00DF35F3" w:rsidRDefault="00D231A8" w:rsidP="00D231A8">
      <w:pPr>
        <w:pStyle w:val="NormalHanging12a"/>
      </w:pPr>
      <w:r w:rsidRPr="00DF35F3">
        <w:t>13.</w:t>
      </w:r>
      <w:r w:rsidRPr="00DF35F3">
        <w:tab/>
        <w:t xml:space="preserve">Jinnota li bħala medja r-rata ta’ impjieg fl-UE laħqet livell rekord għoli, li jirrifletti suq tax-xogħol dinamiku fil-maġġoranza tal-Istati Membri; jenfasizza l-integrazzjoni tal-qafas ta’ konverġenza soċjali fis-Semestru Ewropew; jenfasizza li l-mudell ta’ edukazzjoni u taħriġ vokazzjonali kien ta’ suċċess fl-Istati Membri li għażlu li </w:t>
      </w:r>
      <w:proofErr w:type="spellStart"/>
      <w:r w:rsidRPr="00DF35F3">
        <w:t>japplikawh</w:t>
      </w:r>
      <w:proofErr w:type="spellEnd"/>
      <w:r w:rsidRPr="00DF35F3">
        <w:t>; jiddispjaċih li jeżistu differenzi kbar fost l-Istati Membri f’termini tar-rati tal-qgħad, b’mod partikolari fir-rigward taż-żgħażagħ;</w:t>
      </w:r>
    </w:p>
    <w:p w14:paraId="6FE66252" w14:textId="77777777" w:rsidR="00D231A8" w:rsidRPr="00DF35F3" w:rsidRDefault="00D231A8" w:rsidP="00D231A8">
      <w:pPr>
        <w:pStyle w:val="NormalHanging12a"/>
      </w:pPr>
      <w:r w:rsidRPr="00DF35F3">
        <w:t>14.</w:t>
      </w:r>
      <w:r w:rsidRPr="00DF35F3">
        <w:tab/>
        <w:t>Itenni l-importanza li jiġu salvagwardjati l-kundizzjonijiet ekwi fis-suq uniku u jistieden lill-Istati Membri jieħdu azzjoni biex japprofondixxu s-suq uniku billi jeliminaw l-ostakli interni;</w:t>
      </w:r>
    </w:p>
    <w:p w14:paraId="7456DEAB" w14:textId="77777777" w:rsidR="00D231A8" w:rsidRPr="00DF35F3" w:rsidRDefault="00D231A8" w:rsidP="00D231A8">
      <w:pPr>
        <w:pStyle w:val="Normal12a"/>
      </w:pPr>
      <w:r w:rsidRPr="00DF35F3">
        <w:t>Applikazzjoni tal-qafas rivedut ta’ governanza ekonomika tal-UE</w:t>
      </w:r>
    </w:p>
    <w:p w14:paraId="43A94221" w14:textId="77777777" w:rsidR="00D231A8" w:rsidRPr="00DF35F3" w:rsidRDefault="00D231A8" w:rsidP="00D231A8">
      <w:pPr>
        <w:pStyle w:val="NormalHanging12a"/>
      </w:pPr>
      <w:r w:rsidRPr="00DF35F3">
        <w:t>15.</w:t>
      </w:r>
      <w:r w:rsidRPr="00DF35F3">
        <w:tab/>
        <w:t xml:space="preserve">Ifakkar li l-għan tar-riforma tal-qafas ta’ governanza ekonomika huwa li tagħmlu aktar sempliċi, aktar trasparenti u aktar effettiv bi sjieda nazzjonali akbar u infurzar aħjar, u li ttejjeb il-kapaċità tiegħu li jakkomoda l-eteroġeneità tal-pożizzjonijiet fiskali, id-dejn pubbliku u l-isfidi ekonomiċi, u li tgħin biex jiġu indirizzati l-isfidi li qed jiffaċċjaw l-UE u l-Istati Membri tagħha fuq terminu medju u twil, inkluż billi tippromwovi politiki fiskali </w:t>
      </w:r>
      <w:proofErr w:type="spellStart"/>
      <w:r w:rsidRPr="00DF35F3">
        <w:t>kontraċikliċi</w:t>
      </w:r>
      <w:proofErr w:type="spellEnd"/>
      <w:r w:rsidRPr="00DF35F3">
        <w:t>;</w:t>
      </w:r>
    </w:p>
    <w:p w14:paraId="4F5AB724" w14:textId="77777777" w:rsidR="00D231A8" w:rsidRPr="00DF35F3" w:rsidRDefault="00D231A8" w:rsidP="00D231A8">
      <w:pPr>
        <w:pStyle w:val="NormalHanging12a"/>
      </w:pPr>
      <w:r w:rsidRPr="00DF35F3">
        <w:t>16.</w:t>
      </w:r>
      <w:r w:rsidRPr="00DF35F3">
        <w:tab/>
        <w:t xml:space="preserve">Jenfasizza li, skont il-qafas ta’ governanza ekonomika riformat, it-tkabbir tan-nefqa netta huwa l-indikatur operazzjonali uniku għall-monitoraġġ tal-konformità tal-Istati </w:t>
      </w:r>
      <w:r w:rsidRPr="00DF35F3">
        <w:lastRenderedPageBreak/>
        <w:t>Membri mar-rakkomandazzjonijiet rispettivi tal-Kunsill; jenfasizza li ħafna Stati Membri xorta se jiffaċċjaw kapaċità fiskali insuffiċjenti biex jissodisfaw il-ħtiġijiet ta’ investiment sostanzjali; jinnota li l-klawżola liberatorja nazzjonali diġà ġiet attivata għan-nefqa fid-difiża sena biss wara d-dħul fis-seħħ tar-regoli riveduti bħala rispons fuq terminu qasir għal avvenimenti straordinarji lil hinn mill-kontroll ta’ pajjiż; jissottolinja li l-klawżola liberatorja nazzjonali hija maħsuba għal emerġenzi temporanji u speċifiċi għall-pajjiżi u mhijiex adattata għall-indirizzar tal-ħtiġijiet strutturali fuq terminu twil;</w:t>
      </w:r>
    </w:p>
    <w:p w14:paraId="6630C109" w14:textId="77777777" w:rsidR="00D231A8" w:rsidRPr="00DF35F3" w:rsidRDefault="00D231A8" w:rsidP="00D231A8">
      <w:pPr>
        <w:pStyle w:val="NormalHanging12a"/>
      </w:pPr>
      <w:r w:rsidRPr="00DF35F3">
        <w:t>17.</w:t>
      </w:r>
      <w:r w:rsidRPr="00DF35F3">
        <w:tab/>
        <w:t>Jisħaq li l-Kummissjoni espandiet is-setgħat diskrezzjonali tagħha skont il-qafas ta’ governanza ekonomika riformat, b’mod partikolari permezz tal-proċess li jirfed il-pjanijiet fiskali-strutturali fuq terminu medju; jinnota s-sejba tal-Bord Fiskali Ewropew li l-Kummissjoni użat xi diskrezzjoni meta ttardjat li tiftaħ proċeduri ta’ defiċit eċċessiv jew meta ddeċidiet li ma tiftaħx dawn il-proċeduri; jisħaq li huwa ta’ importanza kbira li jkun hemm applikazzjoni uniformi tar-regoli fiskali tal-UE, sabiex tinżamm il-kredibbiltà tal-qafas ta’ governanza ekonomika, jiġi żgurat trattament ugwali tal-Istati Membri u jinżamm approċċ koerenti u ġenwinament Ewropew;</w:t>
      </w:r>
    </w:p>
    <w:p w14:paraId="776A51C1" w14:textId="77777777" w:rsidR="00D231A8" w:rsidRPr="00DF35F3" w:rsidRDefault="00D231A8" w:rsidP="00D231A8">
      <w:pPr>
        <w:pStyle w:val="NormalHanging12a"/>
      </w:pPr>
      <w:r w:rsidRPr="00DF35F3">
        <w:t>18.</w:t>
      </w:r>
      <w:r w:rsidRPr="00DF35F3">
        <w:tab/>
        <w:t>Jinnota l-emendi mmirati għall-qafas ta’ governanza ekonomika tal-UE ppubblikati mill-Kummissjoni fit-2 ta’ Ottubru 2025, bil-għan li tiġi stabbilita l-konsistenza wara l-aktar aġġornament reċenti tal-qafas ta’ governanza ekonomika;</w:t>
      </w:r>
    </w:p>
    <w:p w14:paraId="44CF5100" w14:textId="77777777" w:rsidR="00D231A8" w:rsidRPr="00DF35F3" w:rsidRDefault="00D231A8" w:rsidP="00D231A8">
      <w:pPr>
        <w:pStyle w:val="NormalHanging12a"/>
      </w:pPr>
      <w:r w:rsidRPr="00DF35F3">
        <w:t>19.</w:t>
      </w:r>
      <w:r w:rsidRPr="00DF35F3">
        <w:tab/>
        <w:t>Jinnota bi tħassib is-sejbiet tal-Bord Fiskali Ewropew li bejn wieħed u ieħor nofs l-istituzzjonijiet fiskali indipendenti ma pparteċipawx formalment fit-tħejjija tal-pjanijiet fiskali-strutturali fuq terminu medju; huwa tal-fehma li parteċipazzjoni akbar ta’ istituzzjonijiet fiskali indipendenti żżid it-trasparenza u s-sorveljanza esterna f’mument ewlieni ta’ tranżizzjoni;</w:t>
      </w:r>
    </w:p>
    <w:p w14:paraId="60633873" w14:textId="77777777" w:rsidR="00D231A8" w:rsidRPr="00DF35F3" w:rsidRDefault="00D231A8" w:rsidP="00D231A8">
      <w:pPr>
        <w:pStyle w:val="Normal12a"/>
      </w:pPr>
      <w:r w:rsidRPr="00DF35F3">
        <w:rPr>
          <w:b/>
          <w:i/>
        </w:rPr>
        <w:t>Il-pożizzjoni fiskali</w:t>
      </w:r>
    </w:p>
    <w:p w14:paraId="5979909B" w14:textId="77777777" w:rsidR="00D231A8" w:rsidRPr="00DF35F3" w:rsidRDefault="00D231A8" w:rsidP="00D231A8">
      <w:pPr>
        <w:pStyle w:val="NormalHanging12a"/>
      </w:pPr>
      <w:r w:rsidRPr="00DF35F3">
        <w:t>20.</w:t>
      </w:r>
      <w:r w:rsidRPr="00DF35F3">
        <w:tab/>
        <w:t>Jenfasizza li l-investiment pubbliku żdied b’mod notevoli f’dawn l-aħħar snin, u li madwar nofs iż-żieda bejn l-2019 u l-2025 kienet iffinanzjata mill-UE, primarjament permezz tal-RRF; jinnota li dawn il-benefiċċji huma mistennija li jkomplu lil hinn mill-2026, b’effetti kollaterali importanti bejn l-Istati Membri u li l-impatt fuq terminu twil tar-riformi strutturali jista’ jżid il-produzzjoni potenzjali taż-żona tal-euro b’massimu ta’ 1,3 % tal-PDG matul il-perjodu mill-2020 sal-2033 meta mqabbla ma’ xenarju mingħajr l-RRF; Jesprimi tħassib dwar il-fatt li l-RRF se tasal fi tmiemha fl-2026 u dwar l-impatt li dan jista’ jkollu fuq il-pożizzjoni fiskali ġenerali tal-UE; iħeġġeġ lill-Istati Membri jlestu l-implimentazzjoni tal-pjanijiet għall-irkupru u r-reżiljenza tagħhom sa Awwissu 2026; ifakkar li d-dejn maħruġ biex jiffinanzja l-RRF għandu jitħallas lura sal-2058 b’mod li jiżgura t-tnaqqis kostanti u prevedibbli tal-obbligazzjonijiet;</w:t>
      </w:r>
    </w:p>
    <w:p w14:paraId="27AD7BAD" w14:textId="77777777" w:rsidR="00D231A8" w:rsidRPr="00DF35F3" w:rsidRDefault="00D231A8" w:rsidP="00D231A8">
      <w:pPr>
        <w:pStyle w:val="NormalHanging12a"/>
      </w:pPr>
      <w:r w:rsidRPr="00DF35F3">
        <w:t>21.</w:t>
      </w:r>
      <w:r w:rsidRPr="00DF35F3">
        <w:tab/>
        <w:t>Jinnota r-rakkomandazzjoni tal-Kummissjoni li l-pożizzjoni fiskali ġenerali tal-Istati Membri għandha tibqa’ ġeneralment newtrali fl-2026, minkejja disparitajiet sinifikanti bejn l-Istati Membri;</w:t>
      </w:r>
    </w:p>
    <w:p w14:paraId="456E6EDE" w14:textId="77777777" w:rsidR="00D231A8" w:rsidRPr="00DF35F3" w:rsidRDefault="00D231A8" w:rsidP="00D231A8">
      <w:pPr>
        <w:pStyle w:val="NormalHanging12a"/>
      </w:pPr>
      <w:r w:rsidRPr="00DF35F3">
        <w:t>22.</w:t>
      </w:r>
      <w:r w:rsidRPr="00DF35F3">
        <w:tab/>
        <w:t>Jisħaq li d-dħul pubbliku u n-nefqa pubblika huma essenzjali biex tiġi żgurata s-sostenibbiltà tal-baġits nazzjonali; ifakkar fir-rakkomandazzjoni tal-Kunsill dwar il-politika ekonomika taż-żona tal-euro tas-17 ta’ Frar 2026, li tappella li d-distakki fiskali jitnaqqsu billi tittejjeb il-konformità mar-regoli tat-taxxa, inkluż billi jiġu indirizzati l-evitar u evażjoni tat-taxxa u tiġi miġġielda l-pjanifikazzjoni fiskali aggressiva; jisħaq li l-infurzar dgħajjef fl-amministrazzjoni fiskali u fil-ġlieda kontra l-evażjoni u l-evitar tat-</w:t>
      </w:r>
      <w:r w:rsidRPr="00DF35F3">
        <w:lastRenderedPageBreak/>
        <w:t>taxxa jimmina s-sostenibbiltà fiskali u jikkontribwixxi għal żbilanċi makroekonomiċi;</w:t>
      </w:r>
    </w:p>
    <w:p w14:paraId="38A01E61" w14:textId="77777777" w:rsidR="00D231A8" w:rsidRPr="00DF35F3" w:rsidRDefault="00D231A8" w:rsidP="00D231A8">
      <w:pPr>
        <w:pStyle w:val="NormalHanging12a"/>
      </w:pPr>
      <w:r w:rsidRPr="00DF35F3">
        <w:t>23.</w:t>
      </w:r>
      <w:r w:rsidRPr="00DF35F3">
        <w:tab/>
        <w:t xml:space="preserve">Jieħu nota tal-bidla </w:t>
      </w:r>
      <w:proofErr w:type="spellStart"/>
      <w:r w:rsidRPr="00DF35F3">
        <w:t>programmatika</w:t>
      </w:r>
      <w:proofErr w:type="spellEnd"/>
      <w:r w:rsidRPr="00DF35F3">
        <w:t xml:space="preserve"> fil-politika tal-Kummissjoni fiċ-ċiklu attwali tas-Semestru Ewropew, fejn il-Boxxla għall-Kompetittività tipprovdi gwida għall-pakkett tas-Semestru minflok l-Istħarriġ Annwali dwar it-Tkabbir Sostenibbli; jenfasizza li din il-bidla ssaħħaħ l-enfasi tal-qafas tas-Semestru; jenfasizza l-importanza tal-kontinwità fir-rigward tar-rakkomandazzjonijiet speċifiċi għall-pajjiż imfassla bħala impenji ta’ riforma pluriennali u fit-tul u tal-isforzi tal-Istati Membri biex jilħqu l-objettivi fit-tul; jistieden lill-Kummissjoni tiżgura viżjoni olistika tal-kompetittività Ewropea u tiżgura li l-prijoritajiet ta’ tranżizzjoni fit-tul ikomplu jiġu riflessi b’mod konsistenti u koerenti fir-rakkomandazzjonijiet speċifiċi għall-pajjiż fiċ-ċikli suċċessivi tas-Semestru;</w:t>
      </w:r>
    </w:p>
    <w:p w14:paraId="71BA4002" w14:textId="77777777" w:rsidR="00D231A8" w:rsidRPr="00DF35F3" w:rsidRDefault="00D231A8" w:rsidP="00D231A8">
      <w:pPr>
        <w:pStyle w:val="Normal12a"/>
      </w:pPr>
      <w:r w:rsidRPr="00DF35F3">
        <w:rPr>
          <w:b/>
          <w:i/>
        </w:rPr>
        <w:t>Rakkomandazzjonijiet speċifiċi għall-pajjiż</w:t>
      </w:r>
    </w:p>
    <w:p w14:paraId="11368597" w14:textId="77777777" w:rsidR="00D231A8" w:rsidRPr="00DF35F3" w:rsidRDefault="00D231A8" w:rsidP="00D231A8">
      <w:pPr>
        <w:pStyle w:val="NormalHanging12a"/>
      </w:pPr>
      <w:r w:rsidRPr="00DF35F3">
        <w:t>24.</w:t>
      </w:r>
      <w:r w:rsidRPr="00DF35F3">
        <w:tab/>
        <w:t>Jinnota li r-rakkomandazzjonijiet speċifiċi għall-pajjiż għal kull Stat Membru fihom rakkomandazzjoni dwar il-politika fiskali, inklużi riformi fiskali-strutturali, meta rilevanti; jinnota l-impenn tal-Kummissjoni li tuża s-Semestru Ewropew biex tippromwovi l-kompetittività, l-istabbiltà, it-tkabbir ekonomiku, is-sostenibbiltà u l-ekwità soċjali, u li tintegra l-Għanijiet ta’ Żvilupp Sostenibbli tan-NU u l-Pilastru Ewropew tad-Drittijiet Soċjali fis-Semestru Ewropew; jenfasizza li s-Semestru huwa l-għodda ewlenija fil-koordinazzjoni ta’ politiki makroekonomiċi u baġitarji sodi fl-Istati Membri, u b’hekk jissalvagwardja l-istabbiltà makroekonomika tal-Unjoni Ekonomika u Monetarja; jenfasizza l-importanza tar-rakkomandazzjonijiet speċifiċi għall-pajjiż bħala l-element fundamentali tal-koordinazzjoni tal-politika ekonomika Ewropea; ifakkar li r-r-rakkomandazzjonijiet speċifiċi għall-pajjiż huma azzjonijiet politiċi li huma wkoll parti integrali mill-pjanijiet fiskali-strutturali fuq terminu medju, tal-pjanijiet nazzjonali għall-irkupru u r-reżiljenza, u tal-proposta mħabbra ta’ pjanijiet ta’ sħubija nazzjonali u reġjonali;</w:t>
      </w:r>
    </w:p>
    <w:p w14:paraId="73AFA4E1" w14:textId="77777777" w:rsidR="00D231A8" w:rsidRPr="00DF35F3" w:rsidRDefault="00D231A8" w:rsidP="00D231A8">
      <w:pPr>
        <w:pStyle w:val="NormalHanging12a"/>
      </w:pPr>
      <w:r w:rsidRPr="00DF35F3">
        <w:t>25.</w:t>
      </w:r>
      <w:r w:rsidRPr="00DF35F3">
        <w:tab/>
        <w:t>Ifakkar fir-rwol tar-rakkomandazzjonijiet speċifiċi għall-pajjiż fil-koordinazzjoni tal-prijoritajiet tal-UE; jinnota n-nuqqas ta’ progress fl-implimentazzjoni effettiva tar-rakkomandazzjonijiet speċifiċi għall-pajjiż; jinnota li bejn l-2019 u l-2023, 25,1 % tar-rakkomandazzjonijiet speċifiċi għall-pajjiż ma wrew l-ebda progress jew urew progress limitat; jistieden lill-Kummissjoni tikkunsidra mill-ġdid il-mod li bih ir-rakkomandazzjonijiet speċifiċi għall-pajjiż jiġu żviluppati u segwiti, b’mod partikolari fir-rigward tar-rwol futur tagħhom fl-aċċess għall-fondi tal-UE; ifakkar fit-talba tiegħu li r-rakkomandazzjonijiet speċifiċi għall-pajjiż jkunu inqas numerużi u aktar immirati;</w:t>
      </w:r>
    </w:p>
    <w:p w14:paraId="34554054" w14:textId="77777777" w:rsidR="00D231A8" w:rsidRPr="00DF35F3" w:rsidRDefault="00D231A8" w:rsidP="00D231A8">
      <w:pPr>
        <w:pStyle w:val="NormalHanging12a"/>
      </w:pPr>
      <w:r w:rsidRPr="00DF35F3">
        <w:t>26.</w:t>
      </w:r>
      <w:r w:rsidRPr="00DF35F3">
        <w:tab/>
        <w:t>Jieħu nota tal-intenzjoni tal-Kummissjoni li tkompli tirrifletti l-azzjonijiet li huma strumentali għall-unjoni tat-tfaddil u tal-investimenti fir-rakkomandazzjonijiet speċifiċi għall-pajjiż, kif imħabbar fil-komunikazzjoni tagħha tad-19 ta’ Marzu 2025</w:t>
      </w:r>
      <w:r w:rsidRPr="00DF35F3">
        <w:rPr>
          <w:rStyle w:val="FootnoteReference"/>
        </w:rPr>
        <w:footnoteReference w:customMarkFollows="1" w:id="10"/>
        <w:t>10</w:t>
      </w:r>
      <w:r w:rsidRPr="00DF35F3">
        <w:t>;</w:t>
      </w:r>
    </w:p>
    <w:p w14:paraId="4591A245" w14:textId="77777777" w:rsidR="00D231A8" w:rsidRPr="00DF35F3" w:rsidRDefault="00D231A8" w:rsidP="00D231A8">
      <w:pPr>
        <w:pStyle w:val="NormalHanging12a"/>
      </w:pPr>
      <w:r w:rsidRPr="00DF35F3">
        <w:t>27.</w:t>
      </w:r>
      <w:r w:rsidRPr="00DF35F3">
        <w:tab/>
        <w:t xml:space="preserve">Jinnota li r-rakkomandazzjonijiet speċifiċi għall-pajjiż huma mistennija li jkollhom rwol akbar fil-qafas finanzjarju pluriennali li jmiss biex jiggwidaw l-investiment u r-riforma fil-livelli nazzjonali u reġjonali; huwa tal-fehma li l-għażla tar-riformi u l-investimenti għandha tkun iggwidata mill-effettività tagħhom meta jiġu indirizzati r-rakkomandazzjonijiet speċifiċi għall-pajjiż rilevanti sabiex tinkiseb tranżizzjoni ġusta </w:t>
      </w:r>
      <w:r w:rsidRPr="00DF35F3">
        <w:lastRenderedPageBreak/>
        <w:t>lejn ekonomija ekoloġika u kompetittiva Ewropea; jissottolinja li dan il-proċess irid ikun akkumpanjat minn skrutinju demokratiku aktar b’saħħtu u sjieda akbar min-naħa tal-Istati Membri;</w:t>
      </w:r>
    </w:p>
    <w:p w14:paraId="7F0AFD0A" w14:textId="77777777" w:rsidR="00D231A8" w:rsidRPr="00DF35F3" w:rsidRDefault="00D231A8" w:rsidP="00D231A8">
      <w:pPr>
        <w:pStyle w:val="NormalHanging12a"/>
      </w:pPr>
      <w:r w:rsidRPr="00DF35F3">
        <w:t>28.</w:t>
      </w:r>
      <w:r w:rsidRPr="00DF35F3">
        <w:tab/>
        <w:t xml:space="preserve">Jenfasizza l-importanza dejjem tikber tar-rakkomandazzjonijiet speċifiċi għall-pajjiż marbuta mal-pjanijiet ta’ sħubija nazzjonali u reġjonali; jiġbed l-attenzjoni għall-fatt li attwalment ma hemm l-ebda metodoloġija trasparenti jew traċċabbli għall-iżvilupp jew l-għażla tar-rakkomandazzjonijiet speċifiċi għall-pajjiż, u lanqas ċarezza dwar għaliex xi wħud huma proposti u oħrajn le, li jqajjem tħassib rigward l-obbligu ta’ rendikont u t-trattament ugwali tal-Istati Membri; jistieden lill-Kummissjoni tiċċara l-proċeduri sottostanti u l-kriterji tal-għażla; jissottolinja li kwalunkwe żieda ġenerali fis-setgħa diskrezzjonali tal-Kummissjoni trid tkun akkumpanjata minn mekkaniżmi korrispondenti ta’ obbligu ta’ rendikont </w:t>
      </w:r>
      <w:r w:rsidRPr="00DF35F3">
        <w:rPr>
          <w:i/>
          <w:iCs/>
        </w:rPr>
        <w:t>ex post</w:t>
      </w:r>
      <w:r w:rsidRPr="00DF35F3">
        <w:t xml:space="preserve"> u titjib sinifikanti fil-fluss tal-informazzjoni lejn il-Parlament;</w:t>
      </w:r>
    </w:p>
    <w:p w14:paraId="639A6FE0" w14:textId="77777777" w:rsidR="00D231A8" w:rsidRPr="00DF35F3" w:rsidRDefault="00D231A8" w:rsidP="00D231A8">
      <w:pPr>
        <w:pStyle w:val="NormalHanging12a"/>
      </w:pPr>
      <w:r w:rsidRPr="00DF35F3">
        <w:t>29.</w:t>
      </w:r>
      <w:r w:rsidRPr="00DF35F3">
        <w:tab/>
        <w:t>Jinnota li r-rakkomandazzjonijiet speċifiċi għall-pajjiż tal-2025 iffukaw aktar fuq il-kompetittività u s-simplifikazzjoni, f’konformità mal-prijoritajiet identifikati fil-Boxxla għall-</w:t>
      </w:r>
      <w:proofErr w:type="spellStart"/>
      <w:r w:rsidRPr="00DF35F3">
        <w:t>Kompetittiità</w:t>
      </w:r>
      <w:proofErr w:type="spellEnd"/>
      <w:r w:rsidRPr="00DF35F3">
        <w:t>, filwaqt li enfasizzaw ukoll il-ħtieġa li tingħata spinta lill-eċċellenza xjentifika, lir-riċerka u l-innovazzjoni, u lill-iżvilupp tat-teknoloġija bħala muturi ewlenin tal-produttività u r-reżiljenza fit-tul; jissottolinja li qed ikun hemm anqas rakkomandazzjonijiet speċifiċi għall-pajjiż ddedikati għall-politiki soċjali u klimatiċi; jinnota li għal xi Stati Membri, ir-rakkomandazzjonijiet speċifiċi għall-pajjiż jinkludu rakkomandazzjoni biex jiġu eliminati progressivament is-sussidji għall-fjuwils fossili;</w:t>
      </w:r>
    </w:p>
    <w:p w14:paraId="36C2DF55" w14:textId="77777777" w:rsidR="00D231A8" w:rsidRPr="00DF35F3" w:rsidRDefault="00D231A8" w:rsidP="00D231A8">
      <w:pPr>
        <w:pStyle w:val="NormalHanging12a"/>
      </w:pPr>
      <w:r w:rsidRPr="00DF35F3">
        <w:t>30.</w:t>
      </w:r>
      <w:r w:rsidRPr="00DF35F3">
        <w:tab/>
        <w:t xml:space="preserve">Jinnota li l-Kummissjoni tqis li r-rakkomandazzjoni għaż-żona tal-euro hija l-ewwel u qabel kollox għodda ta’ tmexxija għad-diskussjonijiet tal-Grupp tal-Euro; jistieden, madankollu, lill-Kummissjoni ssegwi r-rakkomandazzjonijiet għaż-żona tal-euro, inkluż billi </w:t>
      </w:r>
      <w:proofErr w:type="spellStart"/>
      <w:r w:rsidRPr="00DF35F3">
        <w:t>tikkunsidrahom</w:t>
      </w:r>
      <w:proofErr w:type="spellEnd"/>
      <w:r w:rsidRPr="00DF35F3">
        <w:t xml:space="preserve"> meta tfassal ir-rakkomandazzjonijiet speċifiċi għall-pajjiż; jiddispjaċih li fl-2025 il-Kummissjoni ma ppubblikatx ħarsa ġenerali tal-implimentazzjoni tar-rakkomandazzjonijiet għaż-żona tal-euro, kif kienet tagħmel bħala parti mir-rapporti dwar iż-żona tal-euro; jinnota li fl-2025, ir-rakkomandazzjonijiet speċifiċi ma inkludew direttament l-ebda rakkomandazzjoni relatata mat-tibdil fil-klima;</w:t>
      </w:r>
    </w:p>
    <w:p w14:paraId="6CFE9C7D" w14:textId="77777777" w:rsidR="00D231A8" w:rsidRPr="00DF35F3" w:rsidRDefault="00D231A8" w:rsidP="00D231A8">
      <w:pPr>
        <w:pStyle w:val="Normal12a"/>
      </w:pPr>
      <w:r w:rsidRPr="00DF35F3">
        <w:rPr>
          <w:b/>
          <w:i/>
        </w:rPr>
        <w:t>Nagħlqu d-diskrepanza fl-investiment:</w:t>
      </w:r>
    </w:p>
    <w:p w14:paraId="7EC654BA" w14:textId="77777777" w:rsidR="00D231A8" w:rsidRPr="00DF35F3" w:rsidRDefault="00D231A8" w:rsidP="00D231A8">
      <w:pPr>
        <w:pStyle w:val="NormalHanging12a"/>
      </w:pPr>
      <w:r w:rsidRPr="00DF35F3">
        <w:t>31.</w:t>
      </w:r>
      <w:r w:rsidRPr="00DF35F3">
        <w:tab/>
        <w:t xml:space="preserve">Ifakkar li r-rapport ta’ </w:t>
      </w:r>
      <w:proofErr w:type="spellStart"/>
      <w:r w:rsidRPr="00DF35F3">
        <w:t>Draghi</w:t>
      </w:r>
      <w:proofErr w:type="spellEnd"/>
      <w:r w:rsidRPr="00DF35F3">
        <w:t xml:space="preserve"> wera bil-qawwa l-ħtieġa li jiżdied l-investiment pubbliku u privat u li jitwettqu riformi ambizzjużi biex tingħata spinta lill-kompetittività tal-UE; jistieden lill-Kummissjoni u lill-Istati Membri jippreżentaw strateġija biex jissodisfaw il-ħtiġijiet ta’ investiment lil hinn mill-2026;</w:t>
      </w:r>
    </w:p>
    <w:p w14:paraId="19AD6460" w14:textId="77777777" w:rsidR="00D231A8" w:rsidRPr="00DF35F3" w:rsidRDefault="00D231A8" w:rsidP="00D231A8">
      <w:pPr>
        <w:pStyle w:val="NormalHanging12a"/>
      </w:pPr>
      <w:r w:rsidRPr="00DF35F3">
        <w:t>32.</w:t>
      </w:r>
      <w:r w:rsidRPr="00DF35F3">
        <w:tab/>
        <w:t xml:space="preserve">Jemmen li l-qafas ta’ governanza ekonomika tal-UE għandu jiġi kkomplementat minn strumenti u għodod fil-livell tal-UE, fejn xieraq, sabiex jiġu minimizzati l-ispejjeż għall-kontribwenti tal-UE u tiġi massimizzata l-effiċjenza fil-forniment ta’ beni pubbliċi Ewropej u biex ikun hemm rispons għall-kriżijiet fl-Unjoni kollha, bħall-kriżi li għaddejja fil-qasam tas-sigurtà u d-difiża; jinnota li t-titoli ta’ dejn tal-UE jistgħu jservu bħala punt ta’ riferiment, u b’hekk isaħħu l-integrazzjoni tas-swieq finanzjarji tal-UE; jappella għall-introduzzjoni ta’ riżorsi proprji ġodda biex jiffinanzjaw il-politiki tal-Unjoni; jappoġġja l-ħolqien tal-Fond Ewropew għall-Kompetittività u l-Fond </w:t>
      </w:r>
      <w:proofErr w:type="spellStart"/>
      <w:r w:rsidRPr="00DF35F3">
        <w:t>Scale-up</w:t>
      </w:r>
      <w:proofErr w:type="spellEnd"/>
      <w:r w:rsidRPr="00DF35F3">
        <w:t xml:space="preserve"> Europe;</w:t>
      </w:r>
    </w:p>
    <w:p w14:paraId="2BF073A5" w14:textId="77777777" w:rsidR="00D231A8" w:rsidRPr="00DF35F3" w:rsidRDefault="00D231A8" w:rsidP="00D231A8">
      <w:pPr>
        <w:pStyle w:val="NormalHanging12a"/>
      </w:pPr>
      <w:r w:rsidRPr="00DF35F3">
        <w:lastRenderedPageBreak/>
        <w:t>33.</w:t>
      </w:r>
      <w:r w:rsidRPr="00DF35F3">
        <w:tab/>
        <w:t>Jissottolinja l-ftehim tal-Kunsill Ewropew li jipprovdi self ta’ EUR 90 biljun lill-Ukrajna għall-2026 u l-2027, abbażi tas-self tal-UE fuq is-swieq tal-kapital kopert mill-marġni ta’ manuvra baġitarja tal-UE.</w:t>
      </w:r>
    </w:p>
    <w:p w14:paraId="42914055" w14:textId="77777777" w:rsidR="00D231A8" w:rsidRPr="00DF35F3" w:rsidRDefault="00D231A8" w:rsidP="00D231A8">
      <w:pPr>
        <w:pStyle w:val="NormalHanging12a"/>
      </w:pPr>
      <w:r w:rsidRPr="00DF35F3">
        <w:t>34.</w:t>
      </w:r>
      <w:r w:rsidRPr="00DF35F3">
        <w:tab/>
        <w:t>Jinnota li l-ambjent ġeopolitiku li qed jevolvi jirrikjedi saħansitra aktar unità u solidarjetà fost l-Istati Membri b’mod speċjali meta jitqies it-tħassib dwar is-sigurtà tal-UE u tal-Istati Membri tagħha; iqis li t-tisħiħ tas-sigurtà tal-Ewropa bit-tnaqqis tad-dipendenzi strateġiċi jibqa’ essenzjali għas-salvagwardja tar-reżiljenza fit-tul tal-Unjoni; jappoġġja l-isforzi tal-Kummissjoni biex timxi lejn approċċ aktar ikkoordinat għad-difiża; jinnota li l-istrument ta’ Azzjoni għas-Sigurtà tal-Ewropa (SAFE) jistabbilixxi faċilità ta’ self ta’ EUR 150 biljun biex jappoġġja l-investimenti tal-Istati Membri fid-difiża; jiddispjaċih, madankollu, għall-fatt li l-istrument SAFE kien ibbażat fuq l-Artikolu 122 tat-TFUE, u dan jillimita s-sorveljanza parlamentari; jilqa’ l-fatt li l-indikatur tan-nefqa netta jeskludi l-kofinanzjament nazzjonali kollu fil-programmi ffinanzjati mill-UE, filwaqt li jipprovdi aktar spazju fiskali biex l-Istati Membri jinvestu fil-prijoritajiet komuni tal-UE, kif stabbilit fir-Regolament (UE) 2024/1263</w:t>
      </w:r>
      <w:r w:rsidRPr="00DF35F3">
        <w:rPr>
          <w:rStyle w:val="FootnoteReference"/>
        </w:rPr>
        <w:footnoteReference w:customMarkFollows="1" w:id="11"/>
        <w:t>11</w:t>
      </w:r>
      <w:r w:rsidRPr="00DF35F3">
        <w:t>, u b’hekk jgħin biex jissaħħu s-sinerġiji bejn il-baġit tal-UE u l-baġits nazzjonali, u b’hekk titnaqqas il-frammentazzjoni u tiżdied l-effiċjenza ġenerali tal-infiq pubbliku f’xi oqsma, bħal fid-difiża; jisħaq li l-impenn tal-Istati Membri biex iżidu l-infiq fid-difiża ma għandux ikun għad-detriment ta’ prijoritajiet komuni oħra tal-UE;</w:t>
      </w:r>
    </w:p>
    <w:p w14:paraId="595DC9FB" w14:textId="77777777" w:rsidR="00D231A8" w:rsidRPr="00DF35F3" w:rsidRDefault="00D231A8" w:rsidP="00D231A8">
      <w:pPr>
        <w:pStyle w:val="NormalHanging12a"/>
      </w:pPr>
      <w:r w:rsidRPr="00DF35F3">
        <w:t>35.</w:t>
      </w:r>
      <w:r w:rsidRPr="00DF35F3">
        <w:tab/>
        <w:t>Jinnota li 16-il Stat Membru attivaw il-klawżola liberatorja nazzjonali għall-infiq fid-difiża; jissottolinja li din tipprovdi lill-Istati Membri flessibbiltà biex iżidu n-nefqa fid-difiża, mingħajr il-ħtieġa immedjata li jiffinanzjaw tali żidiet permezz ta’ tnaqqis fl-infiq jew b’miżuri li jżidu d-dħul; jinnota li din il-flessibbiltà għalhekk tagħti lill-Istati Membri ż-żmien meħtieġ biex jakkomodaw nefqa ogħla fid-difiża fil-baġits nazzjonali; jenfasizza li l-parteċipazzjoni parzjali tnaqqas b’mod sinifikanti n-nefqa addizzjonali proġettata fid-difiża minn EUR 650 biljun għal madwar EUR 297-337 biljun;</w:t>
      </w:r>
    </w:p>
    <w:p w14:paraId="7E1A787F" w14:textId="77777777" w:rsidR="00D231A8" w:rsidRPr="00DF35F3" w:rsidRDefault="00D231A8" w:rsidP="00D231A8">
      <w:pPr>
        <w:pStyle w:val="NormalHanging12a"/>
      </w:pPr>
      <w:r w:rsidRPr="00DF35F3">
        <w:t>36.</w:t>
      </w:r>
      <w:r w:rsidRPr="00DF35F3">
        <w:tab/>
        <w:t>Iwissi li l-infiq fid-difiża huwa fin-natura tiegħu investiment ta’ konsum u fih innifsu ma jżidx il-produzzjoni potenzjali ta’ ekonomija; iqis, għalhekk, li l-infiq fid-difiża ma għandux ikun iffinanzjat permezz ta’ żieda fil-ħruġ ta’ dejn fuq terminu twil;</w:t>
      </w:r>
    </w:p>
    <w:p w14:paraId="588DA9EE" w14:textId="77777777" w:rsidR="00D231A8" w:rsidRPr="00DF35F3" w:rsidRDefault="00D231A8" w:rsidP="00D231A8">
      <w:pPr>
        <w:pStyle w:val="NormalHanging12a"/>
      </w:pPr>
      <w:r w:rsidRPr="00DF35F3">
        <w:t>37.</w:t>
      </w:r>
      <w:r w:rsidRPr="00DF35F3">
        <w:tab/>
        <w:t>Jisħaq fuq l-importanza li jiżdiedu l-koerenza u l-kooperazzjoni fl-investiment fid-difiża bejn l-Istati Membri, b’mod partikolari fir-rigward ta’ faċilitaturi strateġiċi jew sistemi ta’ armi strateġiċi li huma għaljin wisq għall-Istati Membri individwali, fid-dawl tal-ħtieġa urġenti li jissaħħaħ is-settur Ewropew tad-difiża u jiġu żgurati s-sigurtà u l-awtonomija strateġika fit-tul;</w:t>
      </w:r>
    </w:p>
    <w:p w14:paraId="4DBCEACC" w14:textId="77777777" w:rsidR="00D231A8" w:rsidRPr="00DF35F3" w:rsidRDefault="00D231A8" w:rsidP="00D231A8">
      <w:pPr>
        <w:pStyle w:val="NormalHanging12a"/>
      </w:pPr>
      <w:r w:rsidRPr="00DF35F3">
        <w:t>38.</w:t>
      </w:r>
      <w:r w:rsidRPr="00DF35F3">
        <w:tab/>
        <w:t>Ifakkar li l-Kummissjoni qatt ma nediet proċedura ta’ żbilanċ eċċessiv, minkejja l-fatt li xi Stati Membri għandhom żbilanċi rikorrenti fil-kontijiet kurrenti tagħhom; jinnota li l-Kummissjoni se tivvaluta l-eżistenza ta’ żbilanċi makroekonomiċi għas-seba’ Stati Membri li ntgħażlu biex isirulhom analiżijiet fil-fond fir-rapport tagħha dwar il-Mekkaniżmu ta’ Twissija tal-2026;</w:t>
      </w:r>
    </w:p>
    <w:p w14:paraId="63887E0E" w14:textId="77777777" w:rsidR="00D231A8" w:rsidRPr="00DF35F3" w:rsidRDefault="00D231A8" w:rsidP="00D231A8">
      <w:pPr>
        <w:pStyle w:val="NormalCenter12a"/>
      </w:pPr>
      <w:r w:rsidRPr="00DF35F3">
        <w:lastRenderedPageBreak/>
        <w:t>°</w:t>
      </w:r>
    </w:p>
    <w:p w14:paraId="0658D926" w14:textId="77777777" w:rsidR="00D231A8" w:rsidRPr="00DF35F3" w:rsidRDefault="00D231A8" w:rsidP="00D231A8">
      <w:pPr>
        <w:pStyle w:val="NormalCenter12a"/>
      </w:pPr>
      <w:r w:rsidRPr="00DF35F3">
        <w:t>°</w:t>
      </w:r>
      <w:r w:rsidRPr="00DF35F3">
        <w:tab/>
        <w:t>°</w:t>
      </w:r>
    </w:p>
    <w:p w14:paraId="424B17A7" w14:textId="3C3F7E46" w:rsidR="00E365E1" w:rsidRPr="00DF35F3" w:rsidRDefault="00D231A8" w:rsidP="004521DF">
      <w:pPr>
        <w:pStyle w:val="NormalHanging12a"/>
      </w:pPr>
      <w:r w:rsidRPr="00DF35F3">
        <w:t>39.</w:t>
      </w:r>
      <w:r w:rsidRPr="00DF35F3">
        <w:tab/>
        <w:t>Jagħti istruzzjonijiet lill-President tiegħu biex tgħaddi din ir-riżoluzzjoni lill-Kunsill u lill-Kummissjoni.</w:t>
      </w:r>
    </w:p>
    <w:sectPr w:rsidR="00E365E1" w:rsidRPr="00DF35F3" w:rsidSect="00DF35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D8298" w14:textId="77777777" w:rsidR="00D7402B" w:rsidRPr="00DF35F3" w:rsidRDefault="00D7402B">
      <w:r w:rsidRPr="00DF35F3">
        <w:separator/>
      </w:r>
    </w:p>
  </w:endnote>
  <w:endnote w:type="continuationSeparator" w:id="0">
    <w:p w14:paraId="25C3830A" w14:textId="77777777" w:rsidR="00D7402B" w:rsidRPr="00DF35F3" w:rsidRDefault="00D7402B">
      <w:r w:rsidRPr="00DF35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66565" w14:textId="77777777" w:rsidR="00064002" w:rsidRPr="00DF35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88AB7" w14:textId="77777777" w:rsidR="00064002" w:rsidRPr="00DF35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991F0" w14:textId="77777777" w:rsidR="00064002" w:rsidRPr="00DF35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256DB" w14:textId="77777777" w:rsidR="00D7402B" w:rsidRPr="00DF35F3" w:rsidRDefault="00D7402B">
      <w:r w:rsidRPr="00DF35F3">
        <w:separator/>
      </w:r>
    </w:p>
  </w:footnote>
  <w:footnote w:type="continuationSeparator" w:id="0">
    <w:p w14:paraId="64B937DA" w14:textId="77777777" w:rsidR="00D7402B" w:rsidRPr="00DF35F3" w:rsidRDefault="00D7402B">
      <w:r w:rsidRPr="00DF35F3">
        <w:continuationSeparator/>
      </w:r>
    </w:p>
  </w:footnote>
  <w:footnote w:id="1">
    <w:p w14:paraId="57E7B76B" w14:textId="79C1120E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1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 243, 9.7.2021, ELI: </w:t>
      </w:r>
      <w:hyperlink r:id="rId1" w:tgtFrame="http://data.europa.eu/eli/reg/2021/1119/oj" w:history="1">
        <w:r w:rsidRPr="00DF35F3">
          <w:rPr>
            <w:rStyle w:val="Hyperlink"/>
            <w:sz w:val="24"/>
            <w:lang w:val="mt-MT"/>
          </w:rPr>
          <w:t>http://data.europa.eu/eli/reg/2021/1119/oj</w:t>
        </w:r>
      </w:hyperlink>
      <w:r w:rsidRPr="00DF35F3">
        <w:rPr>
          <w:sz w:val="24"/>
          <w:lang w:val="mt-MT"/>
        </w:rPr>
        <w:t>.</w:t>
      </w:r>
    </w:p>
  </w:footnote>
  <w:footnote w:id="2">
    <w:p w14:paraId="6F7463DA" w14:textId="3F72D0E3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2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L, 2024/1263, 30.4.2024, ELI: </w:t>
      </w:r>
      <w:hyperlink r:id="rId2" w:tgtFrame="http://data.europa.eu/eli/reg/2024/1263/oj" w:history="1">
        <w:r w:rsidRPr="00DF35F3">
          <w:rPr>
            <w:rStyle w:val="Hyperlink"/>
            <w:sz w:val="24"/>
            <w:lang w:val="mt-MT"/>
          </w:rPr>
          <w:t>http://data.europa.eu/eli/reg/2024/1263/oj</w:t>
        </w:r>
      </w:hyperlink>
      <w:r w:rsidRPr="00DF35F3">
        <w:rPr>
          <w:sz w:val="24"/>
          <w:lang w:val="mt-MT"/>
        </w:rPr>
        <w:t>.</w:t>
      </w:r>
    </w:p>
  </w:footnote>
  <w:footnote w:id="3">
    <w:p w14:paraId="5F27962F" w14:textId="345B3CEC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3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L, 2024/1264, 30.4.2024, ELI: </w:t>
      </w:r>
      <w:hyperlink r:id="rId3" w:tgtFrame="http://data.europa.eu/eli/reg/2024/1264/oj" w:history="1">
        <w:r w:rsidRPr="00DF35F3">
          <w:rPr>
            <w:rStyle w:val="Hyperlink"/>
            <w:sz w:val="24"/>
            <w:lang w:val="mt-MT"/>
          </w:rPr>
          <w:t>http://data.europa.eu/eli/reg/2024/1264/oj</w:t>
        </w:r>
      </w:hyperlink>
      <w:r w:rsidRPr="00DF35F3">
        <w:rPr>
          <w:sz w:val="24"/>
          <w:lang w:val="mt-MT"/>
        </w:rPr>
        <w:t>.</w:t>
      </w:r>
    </w:p>
  </w:footnote>
  <w:footnote w:id="4">
    <w:p w14:paraId="0CB969CF" w14:textId="5F266B6B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4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L, 2024/1265, 30.4.2024, ELI: </w:t>
      </w:r>
      <w:hyperlink r:id="rId4" w:tgtFrame="http://data.europa.eu/eli/dir/2024/1265/oj" w:history="1">
        <w:r w:rsidRPr="00DF35F3">
          <w:rPr>
            <w:rStyle w:val="Hyperlink"/>
            <w:sz w:val="24"/>
            <w:lang w:val="mt-MT"/>
          </w:rPr>
          <w:t>http://data.europa.eu/eli/dir/2024/1265/oj</w:t>
        </w:r>
      </w:hyperlink>
      <w:r w:rsidRPr="00DF35F3">
        <w:rPr>
          <w:sz w:val="24"/>
          <w:lang w:val="mt-MT"/>
        </w:rPr>
        <w:t>.</w:t>
      </w:r>
    </w:p>
  </w:footnote>
  <w:footnote w:id="5">
    <w:p w14:paraId="401CF0C8" w14:textId="260D6CC6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5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 306, 23.11.2011, p. 1, ELI: </w:t>
      </w:r>
      <w:hyperlink r:id="rId5" w:tgtFrame="http://data.europa.eu/eli/reg/2011/1173/oj" w:history="1">
        <w:r w:rsidRPr="00DF35F3">
          <w:rPr>
            <w:rStyle w:val="Hyperlink"/>
            <w:sz w:val="24"/>
            <w:lang w:val="mt-MT"/>
          </w:rPr>
          <w:t>http://data.europa.eu/eli/reg/2011/1173/oj</w:t>
        </w:r>
      </w:hyperlink>
      <w:r w:rsidRPr="00DF35F3">
        <w:rPr>
          <w:sz w:val="24"/>
          <w:lang w:val="mt-MT"/>
        </w:rPr>
        <w:t>.</w:t>
      </w:r>
    </w:p>
  </w:footnote>
  <w:footnote w:id="6">
    <w:p w14:paraId="314E068B" w14:textId="22C3A0BA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6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 306, 23.11.2011, p. 8, ELI: </w:t>
      </w:r>
      <w:hyperlink r:id="rId6" w:tgtFrame="http://data.europa.eu/eli/reg/2011/1174/oj" w:history="1">
        <w:r w:rsidRPr="00DF35F3">
          <w:rPr>
            <w:rStyle w:val="Hyperlink"/>
            <w:sz w:val="24"/>
            <w:lang w:val="mt-MT"/>
          </w:rPr>
          <w:t>http://data.europa.eu/eli/reg/2011/1174/oj</w:t>
        </w:r>
      </w:hyperlink>
      <w:r w:rsidRPr="00DF35F3">
        <w:rPr>
          <w:sz w:val="24"/>
          <w:lang w:val="mt-MT"/>
        </w:rPr>
        <w:t>.</w:t>
      </w:r>
    </w:p>
  </w:footnote>
  <w:footnote w:id="7">
    <w:p w14:paraId="195DCCD4" w14:textId="1CC5E671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7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 306, 23.11.2011, p. 25, ELI: </w:t>
      </w:r>
      <w:hyperlink r:id="rId7" w:tgtFrame="http://data.europa.eu/eli/reg/2011/1176/oj" w:history="1">
        <w:r w:rsidRPr="00DF35F3">
          <w:rPr>
            <w:rStyle w:val="Hyperlink"/>
            <w:sz w:val="24"/>
            <w:lang w:val="mt-MT"/>
          </w:rPr>
          <w:t>http://data.europa.eu/eli/reg/2011/1176/oj</w:t>
        </w:r>
      </w:hyperlink>
      <w:r w:rsidRPr="00DF35F3">
        <w:rPr>
          <w:sz w:val="24"/>
          <w:lang w:val="mt-MT"/>
        </w:rPr>
        <w:t>.</w:t>
      </w:r>
    </w:p>
  </w:footnote>
  <w:footnote w:id="8">
    <w:p w14:paraId="3E879BAF" w14:textId="271ABCFA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8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 140, 27.5.2013, p. 1, ELI: </w:t>
      </w:r>
      <w:hyperlink r:id="rId8" w:tgtFrame="http://data.europa.eu/eli/reg/2013/472/oj" w:history="1">
        <w:r w:rsidRPr="00DF35F3">
          <w:rPr>
            <w:rStyle w:val="Hyperlink"/>
            <w:sz w:val="24"/>
            <w:lang w:val="mt-MT"/>
          </w:rPr>
          <w:t>http://data.europa.eu/eli/reg/2013/472/oj</w:t>
        </w:r>
      </w:hyperlink>
      <w:r w:rsidRPr="00DF35F3">
        <w:rPr>
          <w:sz w:val="24"/>
          <w:lang w:val="mt-MT"/>
        </w:rPr>
        <w:t>.</w:t>
      </w:r>
    </w:p>
  </w:footnote>
  <w:footnote w:id="9">
    <w:p w14:paraId="736C6B07" w14:textId="248205D5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9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ĠU L 140, 27.5.2013, p. 11, ELI: </w:t>
      </w:r>
      <w:hyperlink r:id="rId9" w:tgtFrame="http://data.europa.eu/eli/reg/2013/473/oj" w:history="1">
        <w:r w:rsidRPr="00DF35F3">
          <w:rPr>
            <w:rStyle w:val="Hyperlink"/>
            <w:sz w:val="24"/>
            <w:lang w:val="mt-MT"/>
          </w:rPr>
          <w:t>http://data.europa.eu/eli/reg/2013/473/oj</w:t>
        </w:r>
      </w:hyperlink>
      <w:r w:rsidRPr="00DF35F3">
        <w:rPr>
          <w:sz w:val="24"/>
          <w:lang w:val="mt-MT"/>
        </w:rPr>
        <w:t>.</w:t>
      </w:r>
    </w:p>
  </w:footnote>
  <w:footnote w:id="10">
    <w:p w14:paraId="2152DF4F" w14:textId="014F802D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10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>Komunikazzjoni tal-Kummissjoni tad-19 ta’ Marzu 2025 bit-titolu “Unjoni tat-Tfaddil u tal-Investimenti - Strateġija biex Jissaħħu l-Ġid taċ-Ċittadini u l-Kompetittività Ekonomika fl-UE” (COM(2025)0124).</w:t>
      </w:r>
    </w:p>
  </w:footnote>
  <w:footnote w:id="11">
    <w:p w14:paraId="034DA59B" w14:textId="4DFE4FCD" w:rsidR="00D231A8" w:rsidRPr="00DF35F3" w:rsidRDefault="00D231A8" w:rsidP="00DF35F3">
      <w:pPr>
        <w:pStyle w:val="FootnoteText"/>
        <w:ind w:left="567" w:hanging="567"/>
        <w:rPr>
          <w:sz w:val="24"/>
          <w:lang w:val="mt-MT"/>
        </w:rPr>
      </w:pPr>
      <w:r w:rsidRPr="00DF35F3">
        <w:rPr>
          <w:sz w:val="24"/>
          <w:vertAlign w:val="superscript"/>
          <w:lang w:val="mt-MT"/>
        </w:rPr>
        <w:t>11</w:t>
      </w:r>
      <w:r w:rsidR="00DF35F3" w:rsidRPr="00DF35F3">
        <w:rPr>
          <w:sz w:val="24"/>
          <w:vertAlign w:val="superscript"/>
          <w:lang w:val="mt-MT"/>
        </w:rPr>
        <w:t xml:space="preserve"> </w:t>
      </w:r>
      <w:r w:rsidR="00DF35F3" w:rsidRPr="00DF35F3">
        <w:rPr>
          <w:sz w:val="24"/>
          <w:vertAlign w:val="superscript"/>
          <w:lang w:val="mt-MT"/>
        </w:rPr>
        <w:tab/>
      </w:r>
      <w:r w:rsidRPr="00DF35F3">
        <w:rPr>
          <w:sz w:val="24"/>
          <w:lang w:val="mt-MT"/>
        </w:rPr>
        <w:t xml:space="preserve">Ir-Regolament (UE) 2024/1263 tal-Parlament Ewropew u tal-Kunsill tad-29 ta’ April 2024 dwar il-koordinazzjoni effettiva tal-politiki ekonomiċi u dwar is-sorveljanza baġitarja multilaterali u li jħassar ir-Regolament tal-Kunsill (KE) Nru 1466/97 (ĠU </w:t>
      </w:r>
      <w:r w:rsidRPr="00DF35F3">
        <w:rPr>
          <w:sz w:val="24"/>
          <w:lang w:val="mt-MT"/>
        </w:rPr>
        <w:t>L</w:t>
      </w:r>
      <w:r w:rsidR="001D402A">
        <w:rPr>
          <w:sz w:val="24"/>
          <w:lang w:val="mt-MT"/>
        </w:rPr>
        <w:t>,</w:t>
      </w:r>
      <w:r w:rsidRPr="00DF35F3">
        <w:rPr>
          <w:sz w:val="24"/>
          <w:lang w:val="mt-MT"/>
        </w:rPr>
        <w:t xml:space="preserve"> 2024/1263, 30.4.2024, ELI: </w:t>
      </w:r>
      <w:hyperlink r:id="rId10" w:tgtFrame="http://data.europa.eu/eli/reg/2024/1263/oj" w:history="1">
        <w:r w:rsidRPr="00DF35F3">
          <w:rPr>
            <w:rStyle w:val="Hyperlink"/>
            <w:sz w:val="24"/>
            <w:lang w:val="mt-MT"/>
          </w:rPr>
          <w:t>http://data.europa.eu/eli/reg/2024/1263/oj</w:t>
        </w:r>
      </w:hyperlink>
      <w:r w:rsidRPr="00DF35F3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8A425" w14:textId="77777777" w:rsidR="00064002" w:rsidRPr="00DF35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83527" w14:textId="77777777" w:rsidR="00064002" w:rsidRPr="00DF35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CFC0" w14:textId="77777777" w:rsidR="00064002" w:rsidRPr="00DF35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3515413">
    <w:abstractNumId w:val="9"/>
  </w:num>
  <w:num w:numId="2" w16cid:durableId="164171346">
    <w:abstractNumId w:val="9"/>
  </w:num>
  <w:num w:numId="3" w16cid:durableId="1468935505">
    <w:abstractNumId w:val="7"/>
  </w:num>
  <w:num w:numId="4" w16cid:durableId="503324841">
    <w:abstractNumId w:val="7"/>
  </w:num>
  <w:num w:numId="5" w16cid:durableId="15540776">
    <w:abstractNumId w:val="6"/>
  </w:num>
  <w:num w:numId="6" w16cid:durableId="755173852">
    <w:abstractNumId w:val="6"/>
  </w:num>
  <w:num w:numId="7" w16cid:durableId="1335186356">
    <w:abstractNumId w:val="5"/>
  </w:num>
  <w:num w:numId="8" w16cid:durableId="945581370">
    <w:abstractNumId w:val="5"/>
  </w:num>
  <w:num w:numId="9" w16cid:durableId="1242131761">
    <w:abstractNumId w:val="4"/>
  </w:num>
  <w:num w:numId="10" w16cid:durableId="1874615620">
    <w:abstractNumId w:val="4"/>
  </w:num>
  <w:num w:numId="11" w16cid:durableId="1215966929">
    <w:abstractNumId w:val="8"/>
  </w:num>
  <w:num w:numId="12" w16cid:durableId="1745378089">
    <w:abstractNumId w:val="8"/>
  </w:num>
  <w:num w:numId="13" w16cid:durableId="1624457084">
    <w:abstractNumId w:val="3"/>
  </w:num>
  <w:num w:numId="14" w16cid:durableId="284892410">
    <w:abstractNumId w:val="3"/>
  </w:num>
  <w:num w:numId="15" w16cid:durableId="1244488732">
    <w:abstractNumId w:val="2"/>
  </w:num>
  <w:num w:numId="16" w16cid:durableId="1764253777">
    <w:abstractNumId w:val="2"/>
  </w:num>
  <w:num w:numId="17" w16cid:durableId="2080441335">
    <w:abstractNumId w:val="1"/>
  </w:num>
  <w:num w:numId="18" w16cid:durableId="600795894">
    <w:abstractNumId w:val="1"/>
  </w:num>
  <w:num w:numId="19" w16cid:durableId="2116049778">
    <w:abstractNumId w:val="0"/>
  </w:num>
  <w:num w:numId="20" w16cid:durableId="1041132859">
    <w:abstractNumId w:val="0"/>
  </w:num>
  <w:num w:numId="21" w16cid:durableId="1953315632">
    <w:abstractNumId w:val="9"/>
  </w:num>
  <w:num w:numId="22" w16cid:durableId="1211963603">
    <w:abstractNumId w:val="7"/>
  </w:num>
  <w:num w:numId="23" w16cid:durableId="1357080267">
    <w:abstractNumId w:val="6"/>
  </w:num>
  <w:num w:numId="24" w16cid:durableId="1688217329">
    <w:abstractNumId w:val="5"/>
  </w:num>
  <w:num w:numId="25" w16cid:durableId="1983728259">
    <w:abstractNumId w:val="4"/>
  </w:num>
  <w:num w:numId="26" w16cid:durableId="698896105">
    <w:abstractNumId w:val="8"/>
  </w:num>
  <w:num w:numId="27" w16cid:durableId="1094128263">
    <w:abstractNumId w:val="3"/>
  </w:num>
  <w:num w:numId="28" w16cid:durableId="879319943">
    <w:abstractNumId w:val="2"/>
  </w:num>
  <w:num w:numId="29" w16cid:durableId="1073355115">
    <w:abstractNumId w:val="1"/>
  </w:num>
  <w:num w:numId="30" w16cid:durableId="1569416164">
    <w:abstractNumId w:val="0"/>
  </w:num>
  <w:num w:numId="31" w16cid:durableId="543055675">
    <w:abstractNumId w:val="9"/>
  </w:num>
  <w:num w:numId="32" w16cid:durableId="970944446">
    <w:abstractNumId w:val="7"/>
  </w:num>
  <w:num w:numId="33" w16cid:durableId="1210218224">
    <w:abstractNumId w:val="6"/>
  </w:num>
  <w:num w:numId="34" w16cid:durableId="403915549">
    <w:abstractNumId w:val="5"/>
  </w:num>
  <w:num w:numId="35" w16cid:durableId="562837641">
    <w:abstractNumId w:val="4"/>
  </w:num>
  <w:num w:numId="36" w16cid:durableId="1271352281">
    <w:abstractNumId w:val="8"/>
  </w:num>
  <w:num w:numId="37" w16cid:durableId="2039621598">
    <w:abstractNumId w:val="3"/>
  </w:num>
  <w:num w:numId="38" w16cid:durableId="467089175">
    <w:abstractNumId w:val="2"/>
  </w:num>
  <w:num w:numId="39" w16cid:durableId="1473908776">
    <w:abstractNumId w:val="1"/>
  </w:num>
  <w:num w:numId="40" w16cid:durableId="1223370072">
    <w:abstractNumId w:val="0"/>
  </w:num>
  <w:num w:numId="41" w16cid:durableId="51122468">
    <w:abstractNumId w:val="10"/>
  </w:num>
  <w:num w:numId="42" w16cid:durableId="1719740254">
    <w:abstractNumId w:val="10"/>
  </w:num>
  <w:num w:numId="43" w16cid:durableId="1649242542">
    <w:abstractNumId w:val="10"/>
  </w:num>
  <w:num w:numId="44" w16cid:durableId="898611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6/2026"/>
    <w:docVar w:name="dvlangue" w:val="MT"/>
    <w:docVar w:name="dvnumam" w:val="47"/>
    <w:docVar w:name="dvpe" w:val="779.614"/>
    <w:docVar w:name="dvrapporteur" w:val="Rapporteur: "/>
    <w:docVar w:name="dvtitre" w:val="Riżoluzzjoni tal-Parlament Ewropew xx xx xxxx 2026 dwar is-Semestru Ewropew għall-koordinazzjoni tal-politika ekonomika 2026(2025/2214(INI))"/>
  </w:docVars>
  <w:rsids>
    <w:rsidRoot w:val="00D7402B"/>
    <w:rsid w:val="00002272"/>
    <w:rsid w:val="00064002"/>
    <w:rsid w:val="000677B9"/>
    <w:rsid w:val="000831BA"/>
    <w:rsid w:val="000A42CC"/>
    <w:rsid w:val="000E7DD9"/>
    <w:rsid w:val="0010095E"/>
    <w:rsid w:val="00125B37"/>
    <w:rsid w:val="00141969"/>
    <w:rsid w:val="00187494"/>
    <w:rsid w:val="001D402A"/>
    <w:rsid w:val="001F32AE"/>
    <w:rsid w:val="002767FF"/>
    <w:rsid w:val="002B18FE"/>
    <w:rsid w:val="002B5493"/>
    <w:rsid w:val="00343214"/>
    <w:rsid w:val="00361C00"/>
    <w:rsid w:val="00393731"/>
    <w:rsid w:val="00395FA1"/>
    <w:rsid w:val="003E15D4"/>
    <w:rsid w:val="00411CCE"/>
    <w:rsid w:val="0041666E"/>
    <w:rsid w:val="00421060"/>
    <w:rsid w:val="004521D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AF4"/>
    <w:rsid w:val="009509D8"/>
    <w:rsid w:val="00950B64"/>
    <w:rsid w:val="00981893"/>
    <w:rsid w:val="009F23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84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31A8"/>
    <w:rsid w:val="00D56C11"/>
    <w:rsid w:val="00D7402B"/>
    <w:rsid w:val="00D834A0"/>
    <w:rsid w:val="00D872DF"/>
    <w:rsid w:val="00D91E21"/>
    <w:rsid w:val="00DA7FCD"/>
    <w:rsid w:val="00DF1CFB"/>
    <w:rsid w:val="00DF35F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92091"/>
  <w15:chartTrackingRefBased/>
  <w15:docId w15:val="{0BE2FC0F-8BED-4107-9AEF-DC28D544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231A8"/>
    <w:pPr>
      <w:spacing w:after="240"/>
      <w:ind w:left="567" w:hanging="567"/>
    </w:pPr>
  </w:style>
  <w:style w:type="paragraph" w:customStyle="1" w:styleId="EPComma">
    <w:name w:val="EPComma"/>
    <w:basedOn w:val="Normal"/>
    <w:rsid w:val="00D231A8"/>
    <w:pPr>
      <w:spacing w:before="480" w:after="240"/>
    </w:pPr>
  </w:style>
  <w:style w:type="paragraph" w:customStyle="1" w:styleId="Normal12a">
    <w:name w:val="Normal12a"/>
    <w:basedOn w:val="Normal"/>
    <w:rsid w:val="00D231A8"/>
    <w:pPr>
      <w:spacing w:after="240"/>
    </w:pPr>
  </w:style>
  <w:style w:type="paragraph" w:customStyle="1" w:styleId="NormalHanging">
    <w:name w:val="NormalHanging"/>
    <w:basedOn w:val="Normal"/>
    <w:rsid w:val="00D231A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231A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231A8"/>
    <w:rPr>
      <w:color w:val="0000FF"/>
      <w:u w:val="single"/>
    </w:rPr>
  </w:style>
  <w:style w:type="paragraph" w:styleId="Revision">
    <w:name w:val="Revision"/>
    <w:hidden/>
    <w:uiPriority w:val="99"/>
    <w:semiHidden/>
    <w:rsid w:val="0039373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2/oj" TargetMode="External"/><Relationship Id="rId3" Type="http://schemas.openxmlformats.org/officeDocument/2006/relationships/hyperlink" Target="http://data.europa.eu/eli/reg/2024/1264/oj" TargetMode="External"/><Relationship Id="rId7" Type="http://schemas.openxmlformats.org/officeDocument/2006/relationships/hyperlink" Target="http://data.europa.eu/eli/reg/2011/1176/oj" TargetMode="External"/><Relationship Id="rId2" Type="http://schemas.openxmlformats.org/officeDocument/2006/relationships/hyperlink" Target="http://data.europa.eu/eli/reg/2024/1263/oj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reg/2011/1174/oj" TargetMode="External"/><Relationship Id="rId5" Type="http://schemas.openxmlformats.org/officeDocument/2006/relationships/hyperlink" Target="http://data.europa.eu/eli/reg/2011/1173/oj" TargetMode="External"/><Relationship Id="rId10" Type="http://schemas.openxmlformats.org/officeDocument/2006/relationships/hyperlink" Target="http://data.europa.eu/eli/reg/2024/1263/oj" TargetMode="External"/><Relationship Id="rId4" Type="http://schemas.openxmlformats.org/officeDocument/2006/relationships/hyperlink" Target="http://data.europa.eu/eli/dir/2024/1265/oj" TargetMode="External"/><Relationship Id="rId9" Type="http://schemas.openxmlformats.org/officeDocument/2006/relationships/hyperlink" Target="http://data.europa.eu/eli/reg/2013/4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3636</Words>
  <Characters>26619</Characters>
  <Application>Microsoft Office Word</Application>
  <DocSecurity>0</DocSecurity>
  <Lines>502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2026-04-20T08:17:00Z</dcterms:created>
  <dcterms:modified xsi:type="dcterms:W3CDTF">2026-04-20T08:17:00Z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A10-0036/2026</vt:lpwstr>
  </property>
  <property fmtid="{D5CDD505-2E9C-101B-9397-08002B2CF9AE}" pid="4" name="&lt;Type&gt;">
    <vt:lpwstr>RR</vt:lpwstr>
  </property>
</Properties>
</file>