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3169" w14:paraId="15F83AD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D8BBA1" w14:textId="77777777" w:rsidR="00751A4A" w:rsidRPr="00483169" w:rsidRDefault="00253718" w:rsidP="0010095E">
            <w:pPr>
              <w:pStyle w:val="EPName"/>
            </w:pPr>
            <w:r w:rsidRPr="00483169">
              <w:t>Parlament Europejski</w:t>
            </w:r>
          </w:p>
          <w:p w14:paraId="67A31888" w14:textId="77777777" w:rsidR="00751A4A" w:rsidRPr="0048316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3169">
              <w:t>2024</w:t>
            </w:r>
            <w:r w:rsidR="00817416" w:rsidRPr="00483169">
              <w:t>-202</w:t>
            </w:r>
            <w:r w:rsidRPr="00483169">
              <w:t>9</w:t>
            </w:r>
          </w:p>
        </w:tc>
        <w:tc>
          <w:tcPr>
            <w:tcW w:w="2268" w:type="dxa"/>
            <w:shd w:val="clear" w:color="auto" w:fill="auto"/>
          </w:tcPr>
          <w:p w14:paraId="76F0FBC9" w14:textId="77777777" w:rsidR="00751A4A" w:rsidRPr="00483169" w:rsidRDefault="00187494" w:rsidP="0010095E">
            <w:pPr>
              <w:pStyle w:val="EPLogo"/>
            </w:pPr>
            <w:r w:rsidRPr="00483169">
              <w:rPr>
                <w:noProof/>
                <w:lang w:eastAsia="ja-JP"/>
              </w:rPr>
              <w:drawing>
                <wp:inline distT="0" distB="0" distL="0" distR="0" wp14:anchorId="529C7516" wp14:editId="5744B6F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F533DF" w14:textId="77777777" w:rsidR="00D058B8" w:rsidRPr="00483169" w:rsidRDefault="00D058B8" w:rsidP="004C5D52">
      <w:pPr>
        <w:pStyle w:val="LineTop"/>
      </w:pPr>
    </w:p>
    <w:p w14:paraId="4FD3EAF2" w14:textId="77777777" w:rsidR="00680577" w:rsidRPr="00483169" w:rsidRDefault="00253718" w:rsidP="00680577">
      <w:pPr>
        <w:pStyle w:val="EPBodyTA1"/>
      </w:pPr>
      <w:r w:rsidRPr="00483169">
        <w:t>TEKSTY PRZYJĘTE</w:t>
      </w:r>
    </w:p>
    <w:p w14:paraId="0FE9265A" w14:textId="77777777" w:rsidR="00D058B8" w:rsidRPr="00483169" w:rsidRDefault="00D058B8" w:rsidP="00D058B8">
      <w:pPr>
        <w:pStyle w:val="LineBottom"/>
      </w:pPr>
    </w:p>
    <w:p w14:paraId="7E70F567" w14:textId="2FFB2F5C" w:rsidR="00253718" w:rsidRPr="00483169" w:rsidRDefault="00253718" w:rsidP="00253718">
      <w:pPr>
        <w:pStyle w:val="ATHeading1"/>
      </w:pPr>
      <w:bookmarkStart w:id="0" w:name="TANumber"/>
      <w:r w:rsidRPr="00483169">
        <w:t>P10_TA(2026)00</w:t>
      </w:r>
      <w:bookmarkEnd w:id="0"/>
      <w:r w:rsidR="007F2A00">
        <w:t>75</w:t>
      </w:r>
    </w:p>
    <w:p w14:paraId="4E835EC9" w14:textId="77777777" w:rsidR="00253718" w:rsidRPr="00483169" w:rsidRDefault="00253718" w:rsidP="00253718">
      <w:pPr>
        <w:pStyle w:val="ATHeading2"/>
      </w:pPr>
      <w:bookmarkStart w:id="1" w:name="title"/>
      <w:r w:rsidRPr="00483169">
        <w:t>Europejski semestr na rzecz koordynacji polityki gospodarczej 2026</w:t>
      </w:r>
      <w:bookmarkEnd w:id="1"/>
    </w:p>
    <w:p w14:paraId="20D8344A" w14:textId="77777777" w:rsidR="00253718" w:rsidRPr="00483169" w:rsidRDefault="00253718" w:rsidP="00253718">
      <w:pPr>
        <w:rPr>
          <w:i/>
          <w:vanish/>
        </w:rPr>
      </w:pPr>
      <w:r w:rsidRPr="00483169">
        <w:rPr>
          <w:i/>
        </w:rPr>
        <w:fldChar w:fldCharType="begin"/>
      </w:r>
      <w:r w:rsidRPr="00483169">
        <w:rPr>
          <w:i/>
        </w:rPr>
        <w:instrText xml:space="preserve"> TC"(</w:instrText>
      </w:r>
      <w:bookmarkStart w:id="2" w:name="DocNumber"/>
      <w:r w:rsidRPr="00483169">
        <w:rPr>
          <w:i/>
        </w:rPr>
        <w:instrText>A10-0036/2026</w:instrText>
      </w:r>
      <w:bookmarkEnd w:id="2"/>
      <w:r w:rsidRPr="00483169">
        <w:rPr>
          <w:i/>
        </w:rPr>
        <w:instrText xml:space="preserve"> - Sprawozdawca: Kira Marie Peter-Hansen)"\l3 \n&gt; \* MERGEFORMAT </w:instrText>
      </w:r>
      <w:r w:rsidRPr="00483169">
        <w:rPr>
          <w:i/>
        </w:rPr>
        <w:fldChar w:fldCharType="end"/>
      </w:r>
    </w:p>
    <w:p w14:paraId="215ACA9C" w14:textId="77777777" w:rsidR="00253718" w:rsidRPr="00483169" w:rsidRDefault="00253718" w:rsidP="00253718">
      <w:pPr>
        <w:rPr>
          <w:vanish/>
        </w:rPr>
      </w:pPr>
      <w:bookmarkStart w:id="3" w:name="Commission"/>
      <w:r w:rsidRPr="00483169">
        <w:rPr>
          <w:vanish/>
        </w:rPr>
        <w:t>Komisja Gospodarcza i Monetarna</w:t>
      </w:r>
      <w:bookmarkEnd w:id="3"/>
    </w:p>
    <w:p w14:paraId="331B8057" w14:textId="77777777" w:rsidR="00253718" w:rsidRPr="00483169" w:rsidRDefault="00253718" w:rsidP="00253718">
      <w:pPr>
        <w:rPr>
          <w:vanish/>
        </w:rPr>
      </w:pPr>
      <w:bookmarkStart w:id="4" w:name="PE"/>
      <w:r w:rsidRPr="00483169">
        <w:rPr>
          <w:vanish/>
        </w:rPr>
        <w:t>PE779.614</w:t>
      </w:r>
      <w:bookmarkEnd w:id="4"/>
    </w:p>
    <w:p w14:paraId="41174FE3" w14:textId="6FC0E0DE" w:rsidR="00253718" w:rsidRPr="00483169" w:rsidRDefault="00253718" w:rsidP="00253718">
      <w:pPr>
        <w:pStyle w:val="ATHeading3"/>
      </w:pPr>
      <w:bookmarkStart w:id="5" w:name="Sujet"/>
      <w:r w:rsidRPr="00483169">
        <w:t xml:space="preserve">Rezolucja Parlamentu Europejskiego z dnia </w:t>
      </w:r>
      <w:r w:rsidR="007F2A00">
        <w:t xml:space="preserve">11 </w:t>
      </w:r>
      <w:r w:rsidR="0093379E">
        <w:t>marca</w:t>
      </w:r>
      <w:r w:rsidRPr="00483169">
        <w:t xml:space="preserve"> 2026 r. w sprawie europejskiego semestru na rzecz koordynacji polityki gospodarczej – 2026 r.</w:t>
      </w:r>
      <w:bookmarkEnd w:id="5"/>
      <w:r w:rsidRPr="00483169">
        <w:t xml:space="preserve"> </w:t>
      </w:r>
      <w:bookmarkStart w:id="6" w:name="References"/>
      <w:r w:rsidRPr="00483169">
        <w:t>(2025/2214(INI))</w:t>
      </w:r>
      <w:bookmarkEnd w:id="6"/>
    </w:p>
    <w:p w14:paraId="64FD578A" w14:textId="77777777" w:rsidR="00B86A79" w:rsidRPr="00483169" w:rsidRDefault="00B86A79" w:rsidP="00B86A79">
      <w:pPr>
        <w:pStyle w:val="Normal12"/>
      </w:pPr>
      <w:r w:rsidRPr="00483169">
        <w:rPr>
          <w:i/>
        </w:rPr>
        <w:t>Parlament Europejski</w:t>
      </w:r>
      <w:r w:rsidRPr="00483169">
        <w:t>,</w:t>
      </w:r>
    </w:p>
    <w:p w14:paraId="6614381A" w14:textId="77777777" w:rsidR="00B86A79" w:rsidRPr="00483169" w:rsidRDefault="00B86A79" w:rsidP="00B86A79">
      <w:pPr>
        <w:pStyle w:val="NormalHanging"/>
      </w:pPr>
      <w:r w:rsidRPr="00483169">
        <w:t>–</w:t>
      </w:r>
      <w:r w:rsidRPr="00483169">
        <w:tab/>
        <w:t>uwzględniając Traktat o funkcjonowaniu Unii Europejskiej (TFUE), w szczególności jego art. 121, 126 i 136,</w:t>
      </w:r>
    </w:p>
    <w:p w14:paraId="30B917A9" w14:textId="77777777" w:rsidR="00B86A79" w:rsidRPr="00483169" w:rsidRDefault="00B86A79" w:rsidP="00B86A79">
      <w:pPr>
        <w:pStyle w:val="NormalHanging"/>
      </w:pPr>
      <w:r w:rsidRPr="00483169">
        <w:t>–</w:t>
      </w:r>
      <w:r w:rsidRPr="00483169">
        <w:tab/>
        <w:t>uwzględniając Protokół nr 1 do Traktatu o Unii Europejskiej (TUE) i TFUE w sprawie roli parlamentów narodowych w Unii Europejskiej,</w:t>
      </w:r>
    </w:p>
    <w:p w14:paraId="47CD7C8B" w14:textId="77777777" w:rsidR="00B86A79" w:rsidRPr="00483169" w:rsidRDefault="00B86A79" w:rsidP="00B86A79">
      <w:pPr>
        <w:pStyle w:val="NormalHanging"/>
      </w:pPr>
      <w:r w:rsidRPr="00483169">
        <w:t>–</w:t>
      </w:r>
      <w:r w:rsidRPr="00483169">
        <w:tab/>
        <w:t>uwzględniając Protokół nr 2 do TUE i TFUE w sprawie stosowania zasad pomocniczości i proporcjonalności,</w:t>
      </w:r>
    </w:p>
    <w:p w14:paraId="312FCBA5" w14:textId="77777777" w:rsidR="00B86A79" w:rsidRPr="00483169" w:rsidRDefault="00B86A79" w:rsidP="00B86A79">
      <w:pPr>
        <w:pStyle w:val="NormalHanging"/>
      </w:pPr>
      <w:r w:rsidRPr="00483169">
        <w:t>–</w:t>
      </w:r>
      <w:r w:rsidRPr="00483169">
        <w:tab/>
        <w:t>uwzględniając porozumienie paryskie przyjęte 12 grudnia 2015 r. podczas Konferencji Stron Ramowej konwencji Narodów Zjednoczonych w sprawie Zmian Klimatu oraz cele zrównoważonego rozwoju ONZ,</w:t>
      </w:r>
    </w:p>
    <w:p w14:paraId="11A4490B" w14:textId="77777777" w:rsidR="00B86A79" w:rsidRPr="00483169" w:rsidRDefault="00B86A79" w:rsidP="00B86A79">
      <w:pPr>
        <w:pStyle w:val="NormalHanging"/>
      </w:pPr>
      <w:r w:rsidRPr="00483169">
        <w:t>–</w:t>
      </w:r>
      <w:r w:rsidRPr="00483169">
        <w:tab/>
        <w:t>uwzględniając rozporządzenie Parlamentu Europejskiego i Rady (UE) 2021/1119 z dnia 30 czerwca 2021 r. w sprawie ustanowienia ram na potrzeby osiągnięcia neutralności klimatycznej i zmiany rozporządzeń (WE) nr 401/2009 i (UE) 2018/1999 („Europejskie prawo o klimacie”)</w:t>
      </w:r>
      <w:r w:rsidRPr="00483169">
        <w:rPr>
          <w:rStyle w:val="FootnoteReference"/>
        </w:rPr>
        <w:footnoteReference w:customMarkFollows="1" w:id="1"/>
        <w:t>1</w:t>
      </w:r>
      <w:r w:rsidRPr="00483169">
        <w:t>,</w:t>
      </w:r>
    </w:p>
    <w:p w14:paraId="6692E523" w14:textId="77777777" w:rsidR="00B86A79" w:rsidRPr="00483169" w:rsidRDefault="00B86A79" w:rsidP="00B86A79">
      <w:pPr>
        <w:pStyle w:val="NormalHanging"/>
      </w:pPr>
      <w:r w:rsidRPr="00483169">
        <w:t>–</w:t>
      </w:r>
      <w:r w:rsidRPr="00483169">
        <w:tab/>
        <w:t>uwzględniając Protokół nr 12 do TUE i TFUE w sprawie procedury dotyczącej nadmiernego deficytu,</w:t>
      </w:r>
    </w:p>
    <w:p w14:paraId="2C6D6E1F" w14:textId="77777777" w:rsidR="00B86A79" w:rsidRPr="00483169" w:rsidRDefault="00B86A79" w:rsidP="00B86A79">
      <w:pPr>
        <w:pStyle w:val="NormalHanging"/>
      </w:pPr>
      <w:r w:rsidRPr="00483169">
        <w:t>–</w:t>
      </w:r>
      <w:r w:rsidRPr="00483169">
        <w:tab/>
        <w:t>uwzględniając Traktat o stabilności, koordynacji i zarządzaniu w unii gospodarczej i walutowej,</w:t>
      </w:r>
    </w:p>
    <w:p w14:paraId="7D265F25" w14:textId="77777777" w:rsidR="00B86A79" w:rsidRPr="00483169" w:rsidRDefault="00B86A79" w:rsidP="00B86A79">
      <w:pPr>
        <w:pStyle w:val="NormalHanging"/>
      </w:pPr>
      <w:r w:rsidRPr="00483169">
        <w:t>–</w:t>
      </w:r>
      <w:r w:rsidRPr="00483169">
        <w:tab/>
        <w:t>uwzględniając rozporządzenie Parlamentu Europejskiego i Rady (UE) 2024/1263 z dnia 29 kwietnia 2024 r. w sprawie skutecznej koordynacji polityk gospodarczych i w sprawie wielostronnego nadzoru budżetowego oraz uchylające rozporządzenie Rady (WE) nr 1466/97</w:t>
      </w:r>
      <w:r w:rsidRPr="00483169">
        <w:rPr>
          <w:rStyle w:val="FootnoteReference"/>
        </w:rPr>
        <w:footnoteReference w:customMarkFollows="1" w:id="2"/>
        <w:t>2</w:t>
      </w:r>
      <w:r w:rsidRPr="00483169">
        <w:t>,</w:t>
      </w:r>
    </w:p>
    <w:p w14:paraId="441CFE02" w14:textId="77777777" w:rsidR="00B86A79" w:rsidRPr="00483169" w:rsidRDefault="00B86A79" w:rsidP="00B86A79">
      <w:pPr>
        <w:pStyle w:val="NormalHanging"/>
      </w:pPr>
      <w:r w:rsidRPr="00483169">
        <w:lastRenderedPageBreak/>
        <w:t>–</w:t>
      </w:r>
      <w:r w:rsidRPr="00483169">
        <w:tab/>
        <w:t>uwzględniając rozporządzenie Rady (UE) 2024/1264 z dnia 29 kwietnia 2024 r. zmieniające rozporządzenie (WE) nr 1467/97 w sprawie przyspieszenia i wyjaśnienia procedury nadmiernego deficytu</w:t>
      </w:r>
      <w:r w:rsidRPr="00483169">
        <w:rPr>
          <w:rStyle w:val="FootnoteReference"/>
        </w:rPr>
        <w:footnoteReference w:customMarkFollows="1" w:id="3"/>
        <w:t>3</w:t>
      </w:r>
      <w:r w:rsidRPr="00483169">
        <w:t>,</w:t>
      </w:r>
    </w:p>
    <w:p w14:paraId="27497E66" w14:textId="77777777" w:rsidR="00B86A79" w:rsidRPr="00483169" w:rsidRDefault="00B86A79" w:rsidP="00B86A79">
      <w:pPr>
        <w:pStyle w:val="NormalHanging"/>
      </w:pPr>
      <w:r w:rsidRPr="00483169">
        <w:t>–</w:t>
      </w:r>
      <w:r w:rsidRPr="00483169">
        <w:tab/>
        <w:t>uwzględniając dyrektywę Rady (UE) 2024/1265 z dnia 29 kwietnia 2024 r. zmieniającą dyrektywę 2011/85/UE w sprawie wymogów dla ram budżetowych państw członkowskich</w:t>
      </w:r>
      <w:r w:rsidRPr="00483169">
        <w:rPr>
          <w:rStyle w:val="FootnoteReference"/>
        </w:rPr>
        <w:footnoteReference w:customMarkFollows="1" w:id="4"/>
        <w:t>4</w:t>
      </w:r>
      <w:r w:rsidRPr="00483169">
        <w:t>,</w:t>
      </w:r>
    </w:p>
    <w:p w14:paraId="4982E991" w14:textId="77777777" w:rsidR="00B86A79" w:rsidRPr="00483169" w:rsidRDefault="00B86A79" w:rsidP="00B86A79">
      <w:pPr>
        <w:pStyle w:val="NormalHanging"/>
      </w:pPr>
      <w:r w:rsidRPr="00483169">
        <w:t>–</w:t>
      </w:r>
      <w:r w:rsidRPr="00483169">
        <w:tab/>
        <w:t>uwzględniając rozporządzenie Parlamentu Europejskiego i Rady (UE) nr 1173/2011 z dnia 16 listopada 2011 r. w sprawie skutecznego egzekwowania nadzoru budżetowego w strefie euro</w:t>
      </w:r>
      <w:r w:rsidRPr="00483169">
        <w:rPr>
          <w:rStyle w:val="FootnoteReference"/>
        </w:rPr>
        <w:footnoteReference w:customMarkFollows="1" w:id="5"/>
        <w:t>5</w:t>
      </w:r>
      <w:r w:rsidRPr="00483169">
        <w:t>,</w:t>
      </w:r>
    </w:p>
    <w:p w14:paraId="3E4749B3" w14:textId="77777777" w:rsidR="00B86A79" w:rsidRPr="00483169" w:rsidRDefault="00B86A79" w:rsidP="00B86A79">
      <w:pPr>
        <w:pStyle w:val="NormalHanging"/>
      </w:pPr>
      <w:r w:rsidRPr="00483169">
        <w:t>–</w:t>
      </w:r>
      <w:r w:rsidRPr="00483169">
        <w:tab/>
        <w:t>uwzględniając rozporządzenie Parlamentu Europejskiego i Rady (UE) nr 1174/2011 z dnia 16 listopada 2011 r. w sprawie środków egzekwowania korekty nadmiernych zakłóceń równowagi makroekonomicznej w strefie euro</w:t>
      </w:r>
      <w:r w:rsidRPr="00483169">
        <w:rPr>
          <w:rStyle w:val="FootnoteReference"/>
        </w:rPr>
        <w:footnoteReference w:customMarkFollows="1" w:id="6"/>
        <w:t>6</w:t>
      </w:r>
      <w:r w:rsidRPr="00483169">
        <w:t>,</w:t>
      </w:r>
    </w:p>
    <w:p w14:paraId="4FE332B1" w14:textId="77777777" w:rsidR="00B86A79" w:rsidRPr="00483169" w:rsidRDefault="00B86A79" w:rsidP="00B86A79">
      <w:pPr>
        <w:pStyle w:val="NormalHanging"/>
      </w:pPr>
      <w:r w:rsidRPr="00483169">
        <w:t>–</w:t>
      </w:r>
      <w:r w:rsidRPr="00483169">
        <w:tab/>
        <w:t>uwzględniając rozporządzenie Parlamentu Europejskiego i Rady (UE) nr 1176/2011 z dnia 16 listopada 2011 r. w sprawie zapobiegania zakłóceniom równowagi makroekonomicznej i ich korygowania</w:t>
      </w:r>
      <w:r w:rsidRPr="00483169">
        <w:rPr>
          <w:rStyle w:val="FootnoteReference"/>
        </w:rPr>
        <w:footnoteReference w:customMarkFollows="1" w:id="7"/>
        <w:t>7</w:t>
      </w:r>
      <w:r w:rsidRPr="00483169">
        <w:t>,</w:t>
      </w:r>
    </w:p>
    <w:p w14:paraId="5A1C81E5" w14:textId="77777777" w:rsidR="00B86A79" w:rsidRPr="00483169" w:rsidRDefault="00B86A79" w:rsidP="00B86A79">
      <w:pPr>
        <w:pStyle w:val="NormalHanging"/>
      </w:pPr>
      <w:r w:rsidRPr="00483169">
        <w:t>–</w:t>
      </w:r>
      <w:r w:rsidRPr="00483169">
        <w:tab/>
        <w:t>uwzględniając rozporządzenie Parlamentu Europejskiego i Rady (UE) nr 472/2013 z dnia 21 maja 2013 r. w sprawie wzmocnienia nadzoru gospodarczego i budżetowego nad państwami członkowskimi należącymi do strefy euro dotkniętymi lub zagrożonymi poważnymi trudnościami w odniesieniu do ich stabilności finansowej</w:t>
      </w:r>
      <w:r w:rsidRPr="00483169">
        <w:rPr>
          <w:rStyle w:val="FootnoteReference"/>
        </w:rPr>
        <w:footnoteReference w:customMarkFollows="1" w:id="8"/>
        <w:t>8</w:t>
      </w:r>
      <w:r w:rsidRPr="00483169">
        <w:t>,</w:t>
      </w:r>
    </w:p>
    <w:p w14:paraId="12B026FB" w14:textId="77777777" w:rsidR="00B86A79" w:rsidRPr="00483169" w:rsidRDefault="00B86A79" w:rsidP="00B86A79">
      <w:pPr>
        <w:pStyle w:val="NormalHanging"/>
      </w:pPr>
      <w:r w:rsidRPr="00483169">
        <w:t>–</w:t>
      </w:r>
      <w:r w:rsidRPr="00483169">
        <w:tab/>
        <w:t>uwzględniając rozporządzenie Parlamentu Europejskiego i Rady (UE) nr 473/2013 z dnia 21 maja 2013 r. w sprawie wspólnych przepisów dotyczących monitorowania i oceny projektów planów budżetowych oraz zapewnienia korekty nadmiernego deficytu w państwach członkowskich należących do strefy euro</w:t>
      </w:r>
      <w:r w:rsidRPr="00483169">
        <w:rPr>
          <w:rStyle w:val="FootnoteReference"/>
        </w:rPr>
        <w:footnoteReference w:customMarkFollows="1" w:id="9"/>
        <w:t>9</w:t>
      </w:r>
      <w:r w:rsidRPr="00483169">
        <w:t>,</w:t>
      </w:r>
    </w:p>
    <w:p w14:paraId="0AD4172C" w14:textId="77777777" w:rsidR="00B86A79" w:rsidRPr="00483169" w:rsidRDefault="00B86A79" w:rsidP="00B86A79">
      <w:pPr>
        <w:pStyle w:val="NormalHanging"/>
      </w:pPr>
      <w:r w:rsidRPr="00483169">
        <w:t>–</w:t>
      </w:r>
      <w:r w:rsidRPr="00483169">
        <w:tab/>
        <w:t>uwzględniając prognozę gospodarczą Komisji z wiosny 2025 r. opublikowaną 19 maja 2025 r.,</w:t>
      </w:r>
    </w:p>
    <w:p w14:paraId="05899801" w14:textId="77777777" w:rsidR="00B86A79" w:rsidRPr="00483169" w:rsidRDefault="00B86A79" w:rsidP="00B86A79">
      <w:pPr>
        <w:pStyle w:val="NormalHanging"/>
      </w:pPr>
      <w:r w:rsidRPr="00483169">
        <w:t>–</w:t>
      </w:r>
      <w:r w:rsidRPr="00483169">
        <w:tab/>
        <w:t>uwzględniając prognozę gospodarczą Komisji z jesieni 2025 r. opublikowaną 17 listopada 2025 r.,</w:t>
      </w:r>
    </w:p>
    <w:p w14:paraId="0A990781" w14:textId="77777777" w:rsidR="00B86A79" w:rsidRPr="00483169" w:rsidRDefault="00B86A79" w:rsidP="00B86A79">
      <w:pPr>
        <w:pStyle w:val="NormalHanging"/>
      </w:pPr>
      <w:r w:rsidRPr="00483169">
        <w:t>–</w:t>
      </w:r>
      <w:r w:rsidRPr="00483169">
        <w:tab/>
        <w:t>uwzględniając Europejski semestr 2026 – pakiet jesienny Komisji z 25 listopada 2025 r.;</w:t>
      </w:r>
    </w:p>
    <w:p w14:paraId="2BC188A0" w14:textId="77777777" w:rsidR="00B86A79" w:rsidRPr="00483169" w:rsidRDefault="00B86A79" w:rsidP="00B86A79">
      <w:pPr>
        <w:pStyle w:val="NormalHanging"/>
      </w:pPr>
      <w:r w:rsidRPr="00483169">
        <w:t>–</w:t>
      </w:r>
      <w:r w:rsidRPr="00483169">
        <w:tab/>
        <w:t>uwzględniając monitor stabilności długu 2024 opublikowany przez Komisję Europejską 17 marca 2025 r.,</w:t>
      </w:r>
    </w:p>
    <w:p w14:paraId="3AA334C6" w14:textId="77777777" w:rsidR="00B86A79" w:rsidRPr="00483169" w:rsidRDefault="00B86A79" w:rsidP="00B86A79">
      <w:pPr>
        <w:pStyle w:val="NormalHanging"/>
      </w:pPr>
      <w:r w:rsidRPr="00483169">
        <w:lastRenderedPageBreak/>
        <w:t>–</w:t>
      </w:r>
      <w:r w:rsidRPr="00483169">
        <w:tab/>
        <w:t>uwzględniając komunikat Komisji z 19 marca 2025 r. pt. „Uwzględnianie wyższych wydatków na obronność zgodnie z paktem stabilności i wzrostu” (C(2025)2000),</w:t>
      </w:r>
    </w:p>
    <w:p w14:paraId="222C50D2" w14:textId="77777777" w:rsidR="00B86A79" w:rsidRPr="00483169" w:rsidRDefault="00B86A79" w:rsidP="00B86A79">
      <w:pPr>
        <w:pStyle w:val="NormalHanging"/>
      </w:pPr>
      <w:r w:rsidRPr="00483169">
        <w:t>–</w:t>
      </w:r>
      <w:r w:rsidRPr="00483169">
        <w:tab/>
        <w:t>uwzględniając sprawozdanie roczne Europejskiej Rady Budżetowej za 2025 r. opublikowane 22 października 2025 r.,</w:t>
      </w:r>
    </w:p>
    <w:p w14:paraId="1925474E" w14:textId="77777777" w:rsidR="00B86A79" w:rsidRPr="00483169" w:rsidRDefault="00B86A79" w:rsidP="00B86A79">
      <w:pPr>
        <w:pStyle w:val="NormalHanging"/>
      </w:pPr>
      <w:r w:rsidRPr="00483169">
        <w:t>–</w:t>
      </w:r>
      <w:r w:rsidRPr="00483169">
        <w:tab/>
        <w:t xml:space="preserve">uwzględniając sprawozdanie Maria </w:t>
      </w:r>
      <w:proofErr w:type="spellStart"/>
      <w:r w:rsidRPr="00483169">
        <w:t>Draghiego</w:t>
      </w:r>
      <w:proofErr w:type="spellEnd"/>
      <w:r w:rsidRPr="00483169">
        <w:t xml:space="preserve"> z 9 września 2024 r. na temat przyszłości europejskiej konkurencyjności (sprawozdanie </w:t>
      </w:r>
      <w:proofErr w:type="spellStart"/>
      <w:r w:rsidRPr="00483169">
        <w:t>Draghiego</w:t>
      </w:r>
      <w:proofErr w:type="spellEnd"/>
      <w:r w:rsidRPr="00483169">
        <w:t>),</w:t>
      </w:r>
    </w:p>
    <w:p w14:paraId="462D4BF5" w14:textId="77777777" w:rsidR="00B86A79" w:rsidRPr="00483169" w:rsidRDefault="00B86A79" w:rsidP="00B86A79">
      <w:pPr>
        <w:pStyle w:val="NormalHanging"/>
      </w:pPr>
      <w:r w:rsidRPr="00483169">
        <w:t>–</w:t>
      </w:r>
      <w:r w:rsidRPr="00483169">
        <w:tab/>
        <w:t>uwzględniając wspólny komunikat Komisji i wysokiej przedstawicielki Unii do spraw zagranicznych i polityki bezpieczeństwa z 19 marca 2025 r. pt. „Biała księga w sprawie obronności europejskiej – Gotowość 2030” (JOIN(2025)0120),</w:t>
      </w:r>
    </w:p>
    <w:p w14:paraId="52C7E0ED" w14:textId="77777777" w:rsidR="00B86A79" w:rsidRPr="00483169" w:rsidRDefault="00B86A79" w:rsidP="00B86A79">
      <w:pPr>
        <w:pStyle w:val="NormalHanging"/>
      </w:pPr>
      <w:r w:rsidRPr="00483169">
        <w:t>–</w:t>
      </w:r>
      <w:r w:rsidRPr="00483169">
        <w:tab/>
        <w:t>uwzględniając sprawozdanie Wspólnego Centrum Badawczego pt. „</w:t>
      </w:r>
      <w:proofErr w:type="spellStart"/>
      <w:r w:rsidRPr="00483169">
        <w:t>Measuring</w:t>
      </w:r>
      <w:proofErr w:type="spellEnd"/>
      <w:r w:rsidRPr="00483169">
        <w:t xml:space="preserve"> </w:t>
      </w:r>
      <w:proofErr w:type="spellStart"/>
      <w:r w:rsidRPr="00483169">
        <w:t>sustainable</w:t>
      </w:r>
      <w:proofErr w:type="spellEnd"/>
      <w:r w:rsidRPr="00483169">
        <w:t xml:space="preserve"> and inclusive </w:t>
      </w:r>
      <w:proofErr w:type="spellStart"/>
      <w:r w:rsidRPr="00483169">
        <w:t>wellbeing</w:t>
      </w:r>
      <w:proofErr w:type="spellEnd"/>
      <w:r w:rsidRPr="00483169">
        <w:t xml:space="preserve">: a </w:t>
      </w:r>
      <w:proofErr w:type="spellStart"/>
      <w:r w:rsidRPr="00483169">
        <w:t>multidimensional</w:t>
      </w:r>
      <w:proofErr w:type="spellEnd"/>
      <w:r w:rsidRPr="00483169">
        <w:t xml:space="preserve"> </w:t>
      </w:r>
      <w:proofErr w:type="spellStart"/>
      <w:r w:rsidRPr="00483169">
        <w:t>dashboard</w:t>
      </w:r>
      <w:proofErr w:type="spellEnd"/>
      <w:r w:rsidRPr="00483169">
        <w:t xml:space="preserve"> </w:t>
      </w:r>
      <w:proofErr w:type="spellStart"/>
      <w:r w:rsidRPr="00483169">
        <w:t>approach</w:t>
      </w:r>
      <w:proofErr w:type="spellEnd"/>
      <w:r w:rsidRPr="00483169">
        <w:t xml:space="preserve">” [Pomiar zrównoważonego i </w:t>
      </w:r>
      <w:proofErr w:type="spellStart"/>
      <w:r w:rsidRPr="00483169">
        <w:t>inkluzywnego</w:t>
      </w:r>
      <w:proofErr w:type="spellEnd"/>
      <w:r w:rsidRPr="00483169">
        <w:t xml:space="preserve"> dobrostanu: podejście oparte na wielowymiarowym zestawie wskaźników], opublikowane 28 stycznia 2025 r.,</w:t>
      </w:r>
    </w:p>
    <w:p w14:paraId="590CC5A7" w14:textId="77777777" w:rsidR="00B86A79" w:rsidRPr="00483169" w:rsidRDefault="00B86A79" w:rsidP="00B86A79">
      <w:pPr>
        <w:pStyle w:val="NormalHanging"/>
      </w:pPr>
      <w:r w:rsidRPr="00483169">
        <w:t>–</w:t>
      </w:r>
      <w:r w:rsidRPr="00483169">
        <w:tab/>
        <w:t>uwzględniając międzyinstytucjonalną proklamację Europejskiego filaru praw socjalnych z 13 grudnia 2017 r.,</w:t>
      </w:r>
    </w:p>
    <w:p w14:paraId="5A07848A" w14:textId="77777777" w:rsidR="00B86A79" w:rsidRPr="00483169" w:rsidRDefault="00B86A79" w:rsidP="00B86A79">
      <w:pPr>
        <w:pStyle w:val="NormalHanging"/>
      </w:pPr>
      <w:r w:rsidRPr="00483169">
        <w:t>–</w:t>
      </w:r>
      <w:r w:rsidRPr="00483169">
        <w:tab/>
        <w:t xml:space="preserve">uwzględniając Deklarację z La </w:t>
      </w:r>
      <w:proofErr w:type="spellStart"/>
      <w:r w:rsidRPr="00483169">
        <w:t>Hulpe</w:t>
      </w:r>
      <w:proofErr w:type="spellEnd"/>
      <w:r w:rsidRPr="00483169">
        <w:t xml:space="preserve"> w sprawie przyszłości Europejskiego filaru praw socjalnych z 16 kwietnia 2024 r.,</w:t>
      </w:r>
    </w:p>
    <w:p w14:paraId="6D74790C" w14:textId="77777777" w:rsidR="00B86A79" w:rsidRPr="00483169" w:rsidRDefault="00B86A79" w:rsidP="00B86A79">
      <w:pPr>
        <w:pStyle w:val="NormalHanging"/>
      </w:pPr>
      <w:r w:rsidRPr="00483169">
        <w:t>–</w:t>
      </w:r>
      <w:r w:rsidRPr="00483169">
        <w:tab/>
        <w:t>uwzględniając Zobowiązanie społeczne z Porto podpisane 7 maja 2021 r. przez Radę, Komisję, Parlament i partnerów społecznych,</w:t>
      </w:r>
    </w:p>
    <w:p w14:paraId="2854B62D" w14:textId="77777777" w:rsidR="00B86A79" w:rsidRPr="00483169" w:rsidRDefault="00B86A79" w:rsidP="00B86A79">
      <w:pPr>
        <w:pStyle w:val="NormalHanging"/>
      </w:pPr>
      <w:r w:rsidRPr="00483169">
        <w:t>–</w:t>
      </w:r>
      <w:r w:rsidRPr="00483169">
        <w:tab/>
        <w:t>uwzględniając art. 55 Regulaminu,</w:t>
      </w:r>
    </w:p>
    <w:p w14:paraId="54DD96B7" w14:textId="77777777" w:rsidR="00B86A79" w:rsidRPr="00483169" w:rsidRDefault="00B86A79" w:rsidP="00B86A79">
      <w:pPr>
        <w:pStyle w:val="NormalHanging"/>
      </w:pPr>
      <w:r w:rsidRPr="00483169">
        <w:t>–</w:t>
      </w:r>
      <w:r w:rsidRPr="00483169">
        <w:tab/>
        <w:t>uwzględniając opinię przedstawioną przez Komisję Budżetową,</w:t>
      </w:r>
    </w:p>
    <w:p w14:paraId="53EBD76D" w14:textId="77777777" w:rsidR="00B86A79" w:rsidRPr="00483169" w:rsidRDefault="00B86A79" w:rsidP="00B86A79">
      <w:pPr>
        <w:pStyle w:val="NormalHanging"/>
      </w:pPr>
      <w:r w:rsidRPr="00483169">
        <w:t>–</w:t>
      </w:r>
      <w:r w:rsidRPr="00483169">
        <w:tab/>
        <w:t>uwzględniając sprawozdanie Komisji Gospodarczej i Monetarnej (A10-0036/2026),</w:t>
      </w:r>
    </w:p>
    <w:p w14:paraId="19B44E7C" w14:textId="77777777" w:rsidR="00B86A79" w:rsidRPr="00483169" w:rsidRDefault="00B86A79" w:rsidP="00B86A79">
      <w:pPr>
        <w:pStyle w:val="NormalHanging"/>
      </w:pPr>
      <w:r w:rsidRPr="00483169">
        <w:t>A.</w:t>
      </w:r>
      <w:r w:rsidRPr="00483169">
        <w:tab/>
        <w:t>mając na uwadze, że europejski semestr odgrywa zasadniczą rolę w koordynacji i dostosowaniu polityki gospodarczej i budżetowej w państwach członkowskich w celu ochrony stabilności makroekonomicznej unii gospodarczej i walutowej oraz osiągnięcia sprawiedliwej społecznie transformacji w kierunku zrównoważonej gospodarki;</w:t>
      </w:r>
    </w:p>
    <w:p w14:paraId="3533B560" w14:textId="77777777" w:rsidR="00B86A79" w:rsidRPr="00483169" w:rsidRDefault="00B86A79" w:rsidP="00B86A79">
      <w:pPr>
        <w:pStyle w:val="NormalHanging"/>
      </w:pPr>
      <w:r w:rsidRPr="00483169">
        <w:t>B.</w:t>
      </w:r>
      <w:r w:rsidRPr="00483169">
        <w:tab/>
        <w:t>mając na uwadze, że zalecenia wynikające z europejskiego semestru w 2026 r. odegrają zasadniczą rolę w opracowywaniu krajowych i regionalnych planów partnerstwa, które państwa członkowskie mają przygotować;</w:t>
      </w:r>
    </w:p>
    <w:p w14:paraId="1BC204E9" w14:textId="77777777" w:rsidR="00B86A79" w:rsidRPr="00483169" w:rsidRDefault="00B86A79" w:rsidP="00B86A79">
      <w:pPr>
        <w:pStyle w:val="NormalHanging"/>
      </w:pPr>
      <w:r w:rsidRPr="00483169">
        <w:t>C.</w:t>
      </w:r>
      <w:r w:rsidRPr="00483169">
        <w:tab/>
        <w:t>mając na uwadze, że zalecenia dla poszczególnych krajów w ramach europejskiego semestru regularnie obejmują cięcia wydatków socjalnych, a jedynie w niewielkim stopniu odnoszą się do wzrostu dochodów;</w:t>
      </w:r>
    </w:p>
    <w:p w14:paraId="7D431ABC" w14:textId="77777777" w:rsidR="00B86A79" w:rsidRPr="00483169" w:rsidRDefault="00B86A79" w:rsidP="00B86A79">
      <w:pPr>
        <w:pStyle w:val="NormalHanging"/>
      </w:pPr>
      <w:r w:rsidRPr="00483169">
        <w:t>D.</w:t>
      </w:r>
      <w:r w:rsidRPr="00483169">
        <w:tab/>
        <w:t>mając na uwadze, że perspektywy gospodarcze pozostają niepewne ze względu na rosyjską inwazję na Ukrainę oraz niepewność spowodowaną polityką protekcjonistyczną, cłami i napięciami handlowymi, co ma negatywny wpływ na gospodarkę;</w:t>
      </w:r>
    </w:p>
    <w:p w14:paraId="12659210" w14:textId="77777777" w:rsidR="00B86A79" w:rsidRPr="00483169" w:rsidRDefault="00B86A79" w:rsidP="00B86A79">
      <w:pPr>
        <w:pStyle w:val="NormalHanging"/>
      </w:pPr>
      <w:r w:rsidRPr="00483169">
        <w:lastRenderedPageBreak/>
        <w:t>E.</w:t>
      </w:r>
      <w:r w:rsidRPr="00483169">
        <w:tab/>
        <w:t>mając na uwadze, że zgodnie z prognozą gospodarczą Komisji z jesieni 2025 r. oczekuje się, że wzrost PKB w UE będzie zbliżony do wzrostu potencjalnego, przy pełnym zatrudnieniu i inflacji bliskiej poziomu docelowego, chociaż w niektórych państwach członkowskich inflacja pozostaje na wysokim poziomie;</w:t>
      </w:r>
    </w:p>
    <w:p w14:paraId="5DA13BB7" w14:textId="77777777" w:rsidR="00B86A79" w:rsidRPr="00483169" w:rsidRDefault="00B86A79" w:rsidP="00B86A79">
      <w:pPr>
        <w:pStyle w:val="NormalHanging"/>
      </w:pPr>
      <w:r w:rsidRPr="00483169">
        <w:t>F.</w:t>
      </w:r>
      <w:r w:rsidRPr="00483169">
        <w:tab/>
        <w:t>mając na uwadze, że według prognoz Komisji, w latach 2025–2027 wzrost gospodarczy w całej UE wyniesie 1,4–1,5 %, podczas gdy w strefie euro tempo wzrostu ma być niższe (1,2–1,4 %); mając na uwadze, że wzrost potencjalny w UE ma spaść z około 1,5 % w 2024 r. do 1,3 % w 2027 r. (w strefie euro z 1,4 % do 1,2 %), głównie ze względu na niekorzystne trendy demograficzne;</w:t>
      </w:r>
    </w:p>
    <w:p w14:paraId="0D7CB566" w14:textId="77777777" w:rsidR="00B86A79" w:rsidRPr="00483169" w:rsidRDefault="00B86A79" w:rsidP="00B86A79">
      <w:pPr>
        <w:pStyle w:val="NormalHanging"/>
      </w:pPr>
      <w:r w:rsidRPr="00483169">
        <w:t>G.</w:t>
      </w:r>
      <w:r w:rsidRPr="00483169">
        <w:tab/>
        <w:t xml:space="preserve">mając na uwadze, że UE ma ogromne potrzeby inwestycyjne, m.in. istnieje konieczność zapewnienia dodatkowych rocznych inwestycji w wysokości 800 mld EUR, które w sprawozdaniu </w:t>
      </w:r>
      <w:proofErr w:type="spellStart"/>
      <w:r w:rsidRPr="00483169">
        <w:t>Draghiego</w:t>
      </w:r>
      <w:proofErr w:type="spellEnd"/>
      <w:r w:rsidRPr="00483169">
        <w:t xml:space="preserve"> uznano za niezbędne do zwiększenia konkurencyjności i produktywności Europy, z czego 450 mld EUR powinno zostać przeznaczone wyłącznie na transformację energetyczną, a według Instytutu Rousseau 260 mld EUR z tej kwoty powinno pochodzić ze środków publicznych; mając na uwadze, że w ramach planu </w:t>
      </w:r>
      <w:proofErr w:type="spellStart"/>
      <w:r w:rsidRPr="00483169">
        <w:t>ReArm</w:t>
      </w:r>
      <w:proofErr w:type="spellEnd"/>
      <w:r w:rsidRPr="00483169">
        <w:t xml:space="preserve"> Europe/Gotowość 2030 przewiduje się kolejne 800 mld EUR dodatkowych inwestycji na wydatki obronne; mając na uwadze, że tym celom inwestycyjnym nie towarzyszy ustanowienie nowych źródeł dochodów własnych, co sprawia, że Unia nie dysponuje odpowiednią zdolnością fiskalną do realizacji założonych celów; mając na uwadze, że potrzeb tych nie można zaspokoić wyłącznie za pomocą finansowania publicznego;</w:t>
      </w:r>
    </w:p>
    <w:p w14:paraId="0447BC56" w14:textId="77777777" w:rsidR="00B86A79" w:rsidRPr="00483169" w:rsidRDefault="00B86A79" w:rsidP="00B86A79">
      <w:pPr>
        <w:pStyle w:val="NormalHanging"/>
      </w:pPr>
      <w:r w:rsidRPr="00483169">
        <w:t>H.</w:t>
      </w:r>
      <w:r w:rsidRPr="00483169">
        <w:tab/>
        <w:t>mając na uwadze, że UE stoi w obliczu poważnych wyzwań, od nieustannych zagrożeń na jej wschodnich granicach w związku z rosyjską wojną napastniczą przeciwko Ukrainie po niestabilność geopolityczną i niepewność w handlu, oraz że nadal istnieją długoterminowe wyzwania, takie jak transformacja ekologiczna i cyfrowa;</w:t>
      </w:r>
    </w:p>
    <w:p w14:paraId="4F10DE26" w14:textId="77777777" w:rsidR="00B86A79" w:rsidRPr="00483169" w:rsidRDefault="00B86A79" w:rsidP="00B86A79">
      <w:pPr>
        <w:pStyle w:val="NormalHanging"/>
      </w:pPr>
      <w:r w:rsidRPr="00483169">
        <w:t>I.</w:t>
      </w:r>
      <w:r w:rsidRPr="00483169">
        <w:tab/>
        <w:t>mając na uwadze, że TFUE ustanawia wartości odniesienia w wysokości do 3 % dla deficytu sektora instytucji rządowych i samorządowych i 60 % dla relacji długu do PKB; mając na uwadze, że deficyt nominalny UE i relacja długu publicznego do PKB w UE utrzymują się powyżej wartości referencyjnych; mając na uwadze różnice pod względem deficytu nominalnego i relacji długu publicznego do PKB w UE, przy czym sytuacja w poszczególnych państwach członkowskich jest diametralnie różna;</w:t>
      </w:r>
    </w:p>
    <w:p w14:paraId="55272667" w14:textId="77777777" w:rsidR="00B86A79" w:rsidRPr="00483169" w:rsidRDefault="00B86A79" w:rsidP="00B86A79">
      <w:pPr>
        <w:pStyle w:val="NormalHanging"/>
      </w:pPr>
      <w:r w:rsidRPr="00483169">
        <w:t>J.</w:t>
      </w:r>
      <w:r w:rsidRPr="00483169">
        <w:tab/>
        <w:t>mając na uwadze, że Rada nie wszczęła żadnych procedur dotyczących nadmiernych zakłóceń równowagi makroekonomicznej od czasu ustanowienia tej procedury w 2011 r.;</w:t>
      </w:r>
    </w:p>
    <w:p w14:paraId="59F92C03" w14:textId="77777777" w:rsidR="00B86A79" w:rsidRPr="00483169" w:rsidRDefault="00B86A79" w:rsidP="00B86A79">
      <w:pPr>
        <w:pStyle w:val="NormalHanging"/>
      </w:pPr>
      <w:r w:rsidRPr="00483169">
        <w:t>K.</w:t>
      </w:r>
      <w:r w:rsidRPr="00483169">
        <w:tab/>
        <w:t xml:space="preserve">mając na uwadze, że obecna Komisja zobowiązała się być „Komisją inwestycji” i liczy na wsparcie Parlamentu, jako </w:t>
      </w:r>
      <w:proofErr w:type="spellStart"/>
      <w:r w:rsidRPr="00483169">
        <w:t>współprawodawcy</w:t>
      </w:r>
      <w:proofErr w:type="spellEnd"/>
      <w:r w:rsidRPr="00483169">
        <w:t>, w celu podjęcia znaczących działań, aby pobudzić inwestycje UE do poziomu współmiernego do potrzeb transformacji ekologicznej i cyfrowej; mając na uwadze, że Komisja nie przedstawiła jeszcze stosownej odpowiedzi na ogromne potrzeby inwestycyjne Unii, w szczególności w obliczu faktu, że Instrument na rzecz Odbudowy i Zwiększania Odporności (RRF) przestanie funkcjonować z końcem 2026 r.;</w:t>
      </w:r>
    </w:p>
    <w:p w14:paraId="471A4CD3" w14:textId="77777777" w:rsidR="00B86A79" w:rsidRPr="00483169" w:rsidRDefault="00B86A79" w:rsidP="00B86A79">
      <w:pPr>
        <w:pStyle w:val="NormalHanging"/>
      </w:pPr>
      <w:r w:rsidRPr="00483169">
        <w:t>L.</w:t>
      </w:r>
      <w:r w:rsidRPr="00483169">
        <w:tab/>
        <w:t xml:space="preserve">mając na uwadze, że dotychczasowe kryzysy, w tym pandemia COVID-19, dowiodły, iż wspólna i skoordynowana reakcja europejska wzmacnia Unię; mając na uwadze, że w konkurencyjnym środowisku </w:t>
      </w:r>
      <w:proofErr w:type="spellStart"/>
      <w:r w:rsidRPr="00483169">
        <w:t>geogospodarczym</w:t>
      </w:r>
      <w:proofErr w:type="spellEnd"/>
      <w:r w:rsidRPr="00483169">
        <w:t xml:space="preserve"> Europa może chronić swoje interesy i </w:t>
      </w:r>
      <w:r w:rsidRPr="00483169">
        <w:lastRenderedPageBreak/>
        <w:t>wartości wyłącznie przez jedność, co podkreśla konieczność solidnych ram polityki makroekonomicznej oraz jeszcze ściślejszej koordynacji polityk gospodarczych i społecznych w ramach semestru europejskiego;</w:t>
      </w:r>
    </w:p>
    <w:p w14:paraId="57021D68" w14:textId="77777777" w:rsidR="00B86A79" w:rsidRPr="00483169" w:rsidRDefault="00B86A79" w:rsidP="00B86A79">
      <w:pPr>
        <w:pStyle w:val="Normal12a"/>
      </w:pPr>
      <w:r w:rsidRPr="00483169">
        <w:rPr>
          <w:b/>
          <w:i/>
        </w:rPr>
        <w:t>Perspektywy gospodarcze UE</w:t>
      </w:r>
    </w:p>
    <w:p w14:paraId="072F080F" w14:textId="77777777" w:rsidR="00B86A79" w:rsidRPr="00483169" w:rsidRDefault="00B86A79" w:rsidP="00B86A79">
      <w:pPr>
        <w:pStyle w:val="NormalHanging12a"/>
      </w:pPr>
      <w:r w:rsidRPr="00483169">
        <w:t>1.</w:t>
      </w:r>
      <w:r w:rsidRPr="00483169">
        <w:tab/>
        <w:t xml:space="preserve">zauważa, że w ciągu ostatnich pięciu lat UE musiała zmagać się z poważnymi wyzwaniami, w tym z pandemią COVID-19 i rosyjską nielegalną i nieuzasadnioną wojną w Ukrainie, co miało poważne skutki gospodarcze; zwraca uwagę na sprawność przyjęcia i skutki </w:t>
      </w:r>
      <w:proofErr w:type="spellStart"/>
      <w:r w:rsidRPr="00483169">
        <w:t>ogólnounijnych</w:t>
      </w:r>
      <w:proofErr w:type="spellEnd"/>
      <w:r w:rsidRPr="00483169">
        <w:t xml:space="preserve"> inicjatyw i instrumentów, które miały przeciwdziałać gospodarczym i społecznym konsekwencjom wstrząsów zewnętrznych, w szczególności RRF oraz europejskiego instrumentu tymczasowego wsparcia w celu zmniejszenia zagrożeń związanych z bezrobociem w sytuacji nadzwyczajnej (SURE);</w:t>
      </w:r>
    </w:p>
    <w:p w14:paraId="3254E2CB" w14:textId="77777777" w:rsidR="00B86A79" w:rsidRPr="00483169" w:rsidRDefault="00B86A79" w:rsidP="00B86A79">
      <w:pPr>
        <w:pStyle w:val="NormalHanging12a"/>
      </w:pPr>
      <w:r w:rsidRPr="00483169">
        <w:t>2.</w:t>
      </w:r>
      <w:r w:rsidRPr="00483169">
        <w:tab/>
        <w:t>zauważa, że zgodnie z prognozą gospodarczą Komisji z jesieni 2025 r. opublikowanej 17 listopada 2025 r. PKB UE ma wzrosnąć o 1,4 % w 2025 r. w porównaniu z 2024 r. i o 1,4 % w 2026 r.; zauważa, że przy tych prognozach UE wciąż odstaje pod względem oczekiwanego tempa wzrostu od USA i Chin; podkreśla, że pomimo poważnych wyzwań strefa euro i UE wykazały się odpornością;</w:t>
      </w:r>
    </w:p>
    <w:p w14:paraId="7D8D5A30" w14:textId="77777777" w:rsidR="00B86A79" w:rsidRPr="00483169" w:rsidRDefault="00B86A79" w:rsidP="00B86A79">
      <w:pPr>
        <w:pStyle w:val="NormalHanging12a"/>
      </w:pPr>
      <w:r w:rsidRPr="00483169">
        <w:t>3.</w:t>
      </w:r>
      <w:r w:rsidRPr="00483169">
        <w:tab/>
        <w:t>zwraca uwagę, że potencjalny wzrost – będący wskaźnikiem tempa, w jakim gospodarka może się rozwijać bez nadmiernej inflacji – ma spaść z 1,5 % w 2024 r. do 1,3 % w 2027 r. w UE, oraz z 1,4 % do 1,2 % w strefie euro, na skutek spowolnienia wzrostu liczby ludności w wieku produkcyjnym; uznaje, że taki poziom potencjalnego wzrostu jest zbyt niski, by sprostać wyzwaniom stojącym przed europejską gospodarką w nadchodzących latach;</w:t>
      </w:r>
    </w:p>
    <w:p w14:paraId="32C9D87A" w14:textId="77777777" w:rsidR="00B86A79" w:rsidRPr="00483169" w:rsidRDefault="00B86A79" w:rsidP="00B86A79">
      <w:pPr>
        <w:pStyle w:val="NormalHanging12a"/>
      </w:pPr>
      <w:r w:rsidRPr="00483169">
        <w:t>4.</w:t>
      </w:r>
      <w:r w:rsidRPr="00483169">
        <w:tab/>
        <w:t>odnotowuje, że zgodnie z prognozą gospodarczą Komisji Europejskiej z jesieni 2025 r. łączny deficyt strefy euro ma wzrosnąć z 3,1 % PKB w 2024 r. do 3,2 % PKB w 2025 r.; zwraca uwagę, że przy obecnej polityce deficyt ma sięgnąć 3,3 % PKB w 2026 r.;</w:t>
      </w:r>
    </w:p>
    <w:p w14:paraId="04828FAC" w14:textId="77777777" w:rsidR="00B86A79" w:rsidRPr="00483169" w:rsidRDefault="00B86A79" w:rsidP="00B86A79">
      <w:pPr>
        <w:pStyle w:val="NormalHanging12a"/>
      </w:pPr>
      <w:r w:rsidRPr="00483169">
        <w:t>5.</w:t>
      </w:r>
      <w:r w:rsidRPr="00483169">
        <w:tab/>
        <w:t>zwraca uwagę, że 12 państw członkowskich ma mieć deficyt przekraczający 3 % PKB w 2027 r., a10 państw członkowskich jest objętych procedurami nadmiernego deficytu;</w:t>
      </w:r>
    </w:p>
    <w:p w14:paraId="1FCE7AAD" w14:textId="77777777" w:rsidR="00B86A79" w:rsidRPr="00483169" w:rsidRDefault="00B86A79" w:rsidP="00B86A79">
      <w:pPr>
        <w:pStyle w:val="NormalHanging12a"/>
      </w:pPr>
      <w:r w:rsidRPr="00483169">
        <w:t>6.</w:t>
      </w:r>
      <w:r w:rsidRPr="00483169">
        <w:tab/>
        <w:t>zauważa, że według prognoz relacja długu publicznego brutto do PKB osiągnie 82,8 % w 2025 r. i wzrośnie do 83,8 % w 2026 r. i 84,5 % w 2027 r., co przekracza określoną w traktatach wartość referencyjną 60 % dla poszczególnych państw członkowskich; zauważa, że według prognoz dług publiczny w strefie euro ma wzrosnąć do 89,8 % w 2026 r. i do 90,4 % w 2027 r.; zauważa, że istnieją znaczne różnice między państwami członkowskimi, jeżeli chodzi o poziom zadłużenia;</w:t>
      </w:r>
    </w:p>
    <w:p w14:paraId="4F44F35F" w14:textId="77777777" w:rsidR="00B86A79" w:rsidRPr="00483169" w:rsidRDefault="00B86A79" w:rsidP="00B86A79">
      <w:pPr>
        <w:pStyle w:val="NormalHanging12a"/>
      </w:pPr>
      <w:r w:rsidRPr="00483169">
        <w:t>7.</w:t>
      </w:r>
      <w:r w:rsidRPr="00483169">
        <w:tab/>
        <w:t>wzywa państwa członkowskie do prowadzenia rozważnej polityki budżetowej w celu zapewnienia stabilności długu publicznego;</w:t>
      </w:r>
    </w:p>
    <w:p w14:paraId="23396A04" w14:textId="77777777" w:rsidR="00B86A79" w:rsidRPr="00483169" w:rsidRDefault="00B86A79" w:rsidP="00B86A79">
      <w:pPr>
        <w:pStyle w:val="NormalHanging12a"/>
      </w:pPr>
      <w:r w:rsidRPr="00483169">
        <w:t>8.</w:t>
      </w:r>
      <w:r w:rsidRPr="00483169">
        <w:tab/>
        <w:t>przypomina, że ekstremalne zdarzenia pogodowe mają istotny wpływ na finanse publiczne; zdaje sobie sprawę, że skutki i częstotliwość ekstremalnych zdarzeń pogodowych nasilą się w nadchodzących latach;</w:t>
      </w:r>
    </w:p>
    <w:p w14:paraId="6CA4E182" w14:textId="77777777" w:rsidR="00B86A79" w:rsidRPr="00483169" w:rsidRDefault="00B86A79" w:rsidP="00B86A79">
      <w:pPr>
        <w:pStyle w:val="NormalHanging12a"/>
      </w:pPr>
      <w:r w:rsidRPr="00483169">
        <w:t>9.</w:t>
      </w:r>
      <w:r w:rsidRPr="00483169">
        <w:tab/>
        <w:t xml:space="preserve">z zadowoleniem przyjmuje fakt, że inflację w strefie euro – po tym, jak w październiku 2022 r. osiągnęła szczytowy poziom 10,6 % – obniżono do poziomu docelowego Europejskiego Banku Centralnego; zauważa jednak, że inflacja utrzymuje się na </w:t>
      </w:r>
      <w:r w:rsidRPr="00483169">
        <w:lastRenderedPageBreak/>
        <w:t>różnych poziomach w poszczególnych państwach członkowskich i w niektórych państwach jest wyższa, na przykład w tych, w których występują sektory energochłonne; zauważa, że zarówno inflacja bazowa, jak i oczekiwania inflacyjne nadal utrzymują się powyżej zakładanego celu; podkreśla, że gospodarstwa domowe w Europie wciąż odczuwają skutki inflacji cen żywności i energii; zauważa, że inflacja wpływa nierównomiernie na grupy dochodowe i najbardziej dotyka gospodarstwa domowe o niskich dochodach;</w:t>
      </w:r>
    </w:p>
    <w:p w14:paraId="0C6C3210" w14:textId="77777777" w:rsidR="00B86A79" w:rsidRPr="00483169" w:rsidRDefault="00B86A79" w:rsidP="00B86A79">
      <w:pPr>
        <w:pStyle w:val="NormalHanging12a"/>
      </w:pPr>
      <w:r w:rsidRPr="00483169">
        <w:t>10.</w:t>
      </w:r>
      <w:r w:rsidRPr="00483169">
        <w:tab/>
        <w:t xml:space="preserve">wyraża zaniepokojenie, że niewystarczające inwestycje prywatne i publiczne mogą utrudniać zrównoważony wzrost gospodarczy i konkurencyjność w Europie oraz uniemożliwiać UE realizację wspólnych priorytetów określonych w programie strategicznym UE na lata 2024–2029; podkreśla, że państwa członkowskie muszą zintensyfikować wysiłki na rzecz usunięcia barier i uruchomienia większych inwestycji prywatnych zgodnie ze strategią Komisji na rzecz unii oszczędności i inwestycji; zwraca uwagę na polityczny cel Komisji, jakim jest uproszczenie ram regulacyjnych i znaczne zmniejszenie obciążeń administracyjnych w celu wspierania inwestycji prywatnych; podkreśla, że niezbędne są pilne inwestycje w badania i rozwój, infrastrukturę oraz innowacje, aby zwiększyć potencjalny wzrost UE; podkreśla, że kolejne wieloletnie ramy finansowe będą kluczowe nie tylko dla zapewnienia inwestycji publicznych, ale również dla wsparcia mobilizacji inwestycji prywatnych, i zwraca przy tym uwagę, że instrumenty finansowe i gwarancje budżetowe są potężnymi i skutecznymi narzędziami służącymi osiągnięciu najważniejszych celów polityki UE, a także gotowymi do wykorzystania </w:t>
      </w:r>
      <w:proofErr w:type="spellStart"/>
      <w:r w:rsidRPr="00483169">
        <w:t>ogólnounijnymi</w:t>
      </w:r>
      <w:proofErr w:type="spellEnd"/>
      <w:r w:rsidRPr="00483169">
        <w:t xml:space="preserve"> instrumentami finansowymi;</w:t>
      </w:r>
    </w:p>
    <w:p w14:paraId="2DC950C7" w14:textId="77777777" w:rsidR="00B86A79" w:rsidRPr="00483169" w:rsidRDefault="00B86A79" w:rsidP="00B86A79">
      <w:pPr>
        <w:pStyle w:val="NormalHanging12a"/>
      </w:pPr>
      <w:r w:rsidRPr="00483169">
        <w:t>11.</w:t>
      </w:r>
      <w:r w:rsidRPr="00483169">
        <w:tab/>
        <w:t>zauważa, że w europejskim sprawozdaniu makroekonomicznym Komisja przyznaje, że przystępność cenowa mieszkań jest kwestią makroekonomiczną i społeczną, w szczególności z uwagi na potencjalne ograniczenie mobilności pracowników i osłabienie wzrostu wydajności w perspektywie długoterminowej;</w:t>
      </w:r>
    </w:p>
    <w:p w14:paraId="1F2CA847" w14:textId="1CF1004B" w:rsidR="00B86A79" w:rsidRPr="00483169" w:rsidRDefault="00B86A79" w:rsidP="00B86A79">
      <w:pPr>
        <w:pStyle w:val="NormalHanging12a"/>
      </w:pPr>
      <w:r w:rsidRPr="00483169">
        <w:t>12.</w:t>
      </w:r>
      <w:r w:rsidRPr="00483169">
        <w:tab/>
        <w:t>podkreśla, że spójna i </w:t>
      </w:r>
      <w:r w:rsidR="007E5EFC" w:rsidRPr="007E5EFC">
        <w:t>ukierunkowana</w:t>
      </w:r>
      <w:r w:rsidRPr="00483169">
        <w:t xml:space="preserve"> polityka przemysłowa ma zasadnicze znaczenie dla wspierania transformacji technologicznej UE i zapewnienia odpornych łańcuchów dostaw, a zarazem utrzymania konkurencyjnych rynków wolnych od zakłóceń;</w:t>
      </w:r>
    </w:p>
    <w:p w14:paraId="0F40784C" w14:textId="77777777" w:rsidR="00B86A79" w:rsidRPr="00483169" w:rsidRDefault="00B86A79" w:rsidP="00B86A79">
      <w:pPr>
        <w:pStyle w:val="NormalHanging12a"/>
      </w:pPr>
      <w:r w:rsidRPr="00483169">
        <w:t>13.</w:t>
      </w:r>
      <w:r w:rsidRPr="00483169">
        <w:tab/>
        <w:t>zauważa, że średni wskaźnik zatrudnienia w UE osiągnął rekordowo wysoki poziom, odzwierciedlając dynamiczny rynek pracy w większości państw; zwraca uwagę na zintegrowanie ram konwergencji społecznej z europejskim semestrem; podkreśla, że model kształcenia i szkolenia zawodowego okazał się skuteczny w państwach członkowskich, które go wdrożyły; ubolewa nad dużymi różnicami w poziomie bezrobocia między państwami członkowskimi, szczególnie wśród osób młodych;</w:t>
      </w:r>
    </w:p>
    <w:p w14:paraId="3753C08B" w14:textId="77777777" w:rsidR="00B86A79" w:rsidRPr="00483169" w:rsidRDefault="00B86A79" w:rsidP="00B86A79">
      <w:pPr>
        <w:pStyle w:val="NormalHanging12a"/>
      </w:pPr>
      <w:r w:rsidRPr="00483169">
        <w:t>14.</w:t>
      </w:r>
      <w:r w:rsidRPr="00483169">
        <w:tab/>
        <w:t>ponownie podkreśla znaczenie zapewnienia równych warunków działania na jednolitym rynku oraz apeluje do państw członkowskich o podejmowanie działań na rzecz jego pogłębienia przez znoszenie barier wewnętrznych;</w:t>
      </w:r>
    </w:p>
    <w:p w14:paraId="230E7288" w14:textId="77777777" w:rsidR="00B86A79" w:rsidRPr="00483169" w:rsidRDefault="00B86A79" w:rsidP="00B86A79">
      <w:pPr>
        <w:pStyle w:val="Normal12a"/>
      </w:pPr>
      <w:r w:rsidRPr="00483169">
        <w:t>Stosowanie zmienionych unijnych ram zarządzania gospodarczego</w:t>
      </w:r>
    </w:p>
    <w:p w14:paraId="7C4CA3AB" w14:textId="77777777" w:rsidR="00B86A79" w:rsidRPr="00483169" w:rsidRDefault="00B86A79" w:rsidP="00B86A79">
      <w:pPr>
        <w:pStyle w:val="NormalHanging12a"/>
      </w:pPr>
      <w:r w:rsidRPr="00483169">
        <w:t>15.</w:t>
      </w:r>
      <w:r w:rsidRPr="00483169">
        <w:tab/>
        <w:t xml:space="preserve">przypomina, że celem reformy ram zarządzania gospodarczego jest ich uproszczenie, zwiększenie ich przejrzystości i efektywności, z zapewnieniem większej odpowiedzialności krajowej i lepszego egzekwowania, a także poprawa ich zdolności do uwzględnienia niejednorodności sytuacji fiskalnej, długu publicznego i wyzwań gospodarczych oraz pomoc w sprostaniu średnio- i długoterminowym wyzwaniom, </w:t>
      </w:r>
      <w:r w:rsidRPr="00483169">
        <w:lastRenderedPageBreak/>
        <w:t>przed którymi stoi UE i jej państwa członkowskie, między innymi poprzez wspieranie antycyklicznej polityki fiskalnej;</w:t>
      </w:r>
    </w:p>
    <w:p w14:paraId="232FD647" w14:textId="77777777" w:rsidR="00B86A79" w:rsidRPr="00483169" w:rsidRDefault="00B86A79" w:rsidP="00B86A79">
      <w:pPr>
        <w:pStyle w:val="NormalHanging12a"/>
      </w:pPr>
      <w:r w:rsidRPr="00483169">
        <w:t>16.</w:t>
      </w:r>
      <w:r w:rsidRPr="00483169">
        <w:tab/>
        <w:t>podkreśla, że zgodnie ze zreformowanymi ramami zarządzania gospodarczego jednolitym wskaźnikiem operacyjnym służącym do monitorowania przestrzegania przez państwa członkowskie odpowiednich zaleceń Rady jest wzrost wydatków netto; podkreśla, że wiele państw członkowskich będzie nadal borykać się z niewystarczającą zdolnością fiskalną, aby zaspokoić znaczne potrzeby inwestycyjne; odnotowuje, że krajowa klauzula wyjścia (KKW) została już uruchomiona na potrzeby wydatków na obronność zaledwie rok po wejściu w życie nowych zasad jako krótkoterminowa reakcja na nadzwyczajne wydarzenia poza kontrolą danego państwa; podkreśla, że klauzula ta ma charakter tymczasowy, dotyczy wyjątkowych sytuacji krajowych i nie nadaje się do rozwiązywania długoterminowych problemów strukturalnych;</w:t>
      </w:r>
    </w:p>
    <w:p w14:paraId="7D3C1EB5" w14:textId="77777777" w:rsidR="00B86A79" w:rsidRPr="00483169" w:rsidRDefault="00B86A79" w:rsidP="00B86A79">
      <w:pPr>
        <w:pStyle w:val="NormalHanging12a"/>
      </w:pPr>
      <w:r w:rsidRPr="00483169">
        <w:t>17.</w:t>
      </w:r>
      <w:r w:rsidRPr="00483169">
        <w:tab/>
        <w:t>podkreśla, że Komisja rozszerzyła swoje uprawnienia dyskrecjonalne w ramach zreformowanych zasad zarządzania gospodarczego, w szczególności w kontekście procesu stanowiącego podstawę średniookresowych planów budżetowo-strukturalnych; zwraca uwagę na ustalenia Europejskiej Rady Budżetowej, zgodnie z którymi Komisja skorzystała z pewnego zakresu uznaniowości, kiedy opóźniała procedury nadmiernego deficytu lub rezygnowała z wszczęcia takich procedur; podkreśla, że równe stosowanie reguł fiskalnych UE ma zasadnicze znaczenie dla utrzymania wiarygodności ram zarządzania gospodarczego, zapewnienia równego traktowania państw członkowskich oraz utrzymania spójnego i prawdziwie europejskiego podejścia;</w:t>
      </w:r>
    </w:p>
    <w:p w14:paraId="0672F972" w14:textId="77777777" w:rsidR="00B86A79" w:rsidRPr="00483169" w:rsidRDefault="00B86A79" w:rsidP="00B86A79">
      <w:pPr>
        <w:pStyle w:val="NormalHanging12a"/>
      </w:pPr>
      <w:r w:rsidRPr="00483169">
        <w:t>18.</w:t>
      </w:r>
      <w:r w:rsidRPr="00483169">
        <w:tab/>
        <w:t>odnotowuje ukierunkowane zmiany w unijnych ramach zarządzania gospodarczego opublikowanych przez Komisję 2 października 2025 r., które mają na celu zapewnienie spójności po ostatniej aktualizacji ram zarządzania gospodarczego;</w:t>
      </w:r>
    </w:p>
    <w:p w14:paraId="03D84F47" w14:textId="77777777" w:rsidR="00B86A79" w:rsidRPr="00483169" w:rsidRDefault="00B86A79" w:rsidP="00B86A79">
      <w:pPr>
        <w:pStyle w:val="NormalHanging12a"/>
      </w:pPr>
      <w:r w:rsidRPr="00483169">
        <w:t>19.</w:t>
      </w:r>
      <w:r w:rsidRPr="00483169">
        <w:tab/>
        <w:t>z niepokojem odnotowuje ustalenia Europejskiej Rady Budżetowej, zgodnie z którymi około połowa niezależnych instytucji fiskalnych nie uczestniczyła formalnie w przygotowaniu średniookresowych planów budżetowo-strukturalnych; jest zdania, że większy udział niezależnych instytucji fiskalnych zwiększyłby przejrzystość i nadzór zewnętrzny w kluczowym momencie transformacji;</w:t>
      </w:r>
    </w:p>
    <w:p w14:paraId="1C660780" w14:textId="77777777" w:rsidR="00B86A79" w:rsidRPr="00483169" w:rsidRDefault="00B86A79" w:rsidP="00B86A79">
      <w:pPr>
        <w:pStyle w:val="Normal12a"/>
      </w:pPr>
      <w:r w:rsidRPr="00483169">
        <w:rPr>
          <w:b/>
          <w:i/>
        </w:rPr>
        <w:t>Kurs polityki budżetowej</w:t>
      </w:r>
    </w:p>
    <w:p w14:paraId="113A6F87" w14:textId="77777777" w:rsidR="00B86A79" w:rsidRPr="00483169" w:rsidRDefault="00B86A79" w:rsidP="00B86A79">
      <w:pPr>
        <w:pStyle w:val="NormalHanging12a"/>
      </w:pPr>
      <w:r w:rsidRPr="00483169">
        <w:t>20.</w:t>
      </w:r>
      <w:r w:rsidRPr="00483169">
        <w:tab/>
        <w:t>podkreśla, że inwestycje publiczne wyraźnie wzrosły w ostatnich latach, przy czym około połowa wzrostu między 2019 a 2025 r. była finansowana przez UE, głównie w ramach RRF; zauważa, że korzyści te powinny utrzymywać się po 2026 r., przynosząc istotne efekty mnożnikowe w państwach członkowskich, a długoterminowy wpływ reform strukturalnych może podnieść potencjalny PKB strefy euro nawet o 1,3 % w latach 2020–2033 w porównaniu ze scenariuszem bez RRF; wyraża zaniepokojenie faktem, że okres obowiązywania RRF kończy się w 2026 r., oraz wpływem, jaki może to mieć na ogólny kurs polityki budżetowej UE; wzywa państwa członkowskie do pełnej realizacji swoich planów odbudowy i zwiększania odporności do sierpnia 2026 r.; przypomina, że dług zaciągnięty w celu finansowania RRF ma zostać spłacony do 2058 r. w sposób zapewniający stałe i przewidywalne zmniejszanie zobowiązań;</w:t>
      </w:r>
    </w:p>
    <w:p w14:paraId="09D54019" w14:textId="77777777" w:rsidR="00B86A79" w:rsidRPr="00483169" w:rsidRDefault="00B86A79" w:rsidP="00B86A79">
      <w:pPr>
        <w:pStyle w:val="NormalHanging12a"/>
      </w:pPr>
      <w:r w:rsidRPr="00483169">
        <w:t>21.</w:t>
      </w:r>
      <w:r w:rsidRPr="00483169">
        <w:tab/>
        <w:t>zauważa, że według Komisji ogólny kurs polityki budżetowej państw członkowskich pozostaje zasadniczo neutralny w 2026 r. pomimo znacznych różnic między państwami członkowskimi;</w:t>
      </w:r>
    </w:p>
    <w:p w14:paraId="5508BF72" w14:textId="77777777" w:rsidR="00B86A79" w:rsidRPr="00483169" w:rsidRDefault="00B86A79" w:rsidP="00B86A79">
      <w:pPr>
        <w:pStyle w:val="NormalHanging12a"/>
      </w:pPr>
      <w:r w:rsidRPr="00483169">
        <w:lastRenderedPageBreak/>
        <w:t>22.</w:t>
      </w:r>
      <w:r w:rsidRPr="00483169">
        <w:tab/>
        <w:t>podkreśla, że dochody publiczne oraz wydatki publiczne mają zasadnicze znaczenie dla zapewnienia stabilności budżetów krajowych; przypomina zalecenie Rady dotyczące polityki gospodarczej strefy euro z 17 lutego 2026 r., w którym Rada wzywa do ograniczenia luki podatkowej przez poprawę przestrzegania przepisów prawa podatkowego, w tym przez zwalczanie unikania i uchylania się od opodatkowania, oraz przeciwdziałanie agresywnemu planowaniu podatkowemu; podkreśla, że słabe egzekwowanie przepisów podatkowych oraz walki z unikaniem i uchylaniem się od opodatkowania osłabia stabilność finansów publicznych i przyczynia się do zakłóceń równowagi makroekonomicznej;</w:t>
      </w:r>
    </w:p>
    <w:p w14:paraId="4BA55360" w14:textId="77777777" w:rsidR="00B86A79" w:rsidRPr="00483169" w:rsidRDefault="00B86A79" w:rsidP="00B86A79">
      <w:pPr>
        <w:pStyle w:val="NormalHanging12a"/>
      </w:pPr>
      <w:r w:rsidRPr="00483169">
        <w:t>23.</w:t>
      </w:r>
      <w:r w:rsidRPr="00483169">
        <w:tab/>
        <w:t>odnotowuje zmianę podejścia programowego Komisji w obecnym cyklu europejskiego semestru, polegającą na tym, że za wytyczne dla pakietu europejskiego semestru służy Kompas konkurencyjności zamiast rocznej analizy zrównoważonego wzrostu gospodarczego; podkreśla, że zmiana ta wzmacnia ukierunkowanie ram semestru; podkreśla znaczenie ciągłości w odniesieniu do zaleceń dla poszczególnych krajów, które w założeniu stanowią wieloletnie i długoterminowe zobowiązania do reform, oraz w odniesieniu do wysiłków państw członkowskich na rzecz realizacji celów długoterminowych; wzywa Komisję do zapewnienia całościowej wizji europejskiej konkurencyjności oraz do dopilnowania, aby długoterminowe priorytety transformacji były nadal konsekwentnie i spójnie odzwierciedlane w zaleceniach dla poszczególnych krajów w kolejnych cyklach semestru;</w:t>
      </w:r>
    </w:p>
    <w:p w14:paraId="207C7759" w14:textId="77777777" w:rsidR="00B86A79" w:rsidRPr="00483169" w:rsidRDefault="00B86A79" w:rsidP="00B86A79">
      <w:pPr>
        <w:pStyle w:val="Normal12a"/>
      </w:pPr>
      <w:r w:rsidRPr="00483169">
        <w:rPr>
          <w:b/>
          <w:i/>
        </w:rPr>
        <w:t>Zalecenia dla poszczególnych krajów</w:t>
      </w:r>
    </w:p>
    <w:p w14:paraId="61FB5344" w14:textId="77777777" w:rsidR="00B86A79" w:rsidRPr="00483169" w:rsidRDefault="00B86A79" w:rsidP="00B86A79">
      <w:pPr>
        <w:pStyle w:val="NormalHanging12a"/>
      </w:pPr>
      <w:r w:rsidRPr="00483169">
        <w:t>24.</w:t>
      </w:r>
      <w:r w:rsidRPr="00483169">
        <w:tab/>
        <w:t>zauważa, że zalecenia dla poszczególnych krajów obejmują rekomendacje dotyczące polityki fiskalnej, w tym – w stosownych przypadkach – reform budżetowo-strukturalnych; odnotowuje zobowiązanie Komisji do zadbania o to, aby europejski semestr propagował konkurencyjność, stabilność, wzrost gospodarczy, zrównoważony rozwój i sprawiedliwość społeczną, a także by uwzględniał cele zrównoważonego rozwoju ONZ i Europejski filar praw socjalnych; podkreśla, że europejski semestr stanowi kluczowe narzędzie koordynacji rozsądnej polityki gospodarczej i budżetowej w państwach członkowskich, a tym samym chroni makroekonomiczną stabilność unii gospodarczej i walutowej; podkreśla znaczenie zaleceń dla poszczególnych krajów jako filaru koordynacji europejskiej polityki gospodarczej; przypomina, że zalecenia dla poszczególnych krajów są działaniami politycznymi, które stanowią również integralną część średniookresowych planów budżetowo-strukturalnych, krajowych planów odbudowy i zwiększania odporności oraz zapowiadanych krajowych i regionalnych planów partnerstwa;</w:t>
      </w:r>
    </w:p>
    <w:p w14:paraId="01B651EA" w14:textId="77777777" w:rsidR="00B86A79" w:rsidRPr="00483169" w:rsidRDefault="00B86A79" w:rsidP="00B86A79">
      <w:pPr>
        <w:pStyle w:val="NormalHanging12a"/>
      </w:pPr>
      <w:r w:rsidRPr="00483169">
        <w:t>25.</w:t>
      </w:r>
      <w:r w:rsidRPr="00483169">
        <w:tab/>
        <w:t>przypomina o roli zaleceń dla poszczególnych krajów w koordynowaniu priorytetów UE; zauważa brak postępów w skutecznym wdrażaniu zaleceń dla poszczególnych krajów; zauważa, że w latach 2019–2023 w przypadku 25,1 % zaleceń dla poszczególnych krajów nie odnotowano żadnych postępów lub postępy te były niewielkie; wzywa Komisję, aby ponownie przemyślała sposób opracowywania zaleceń dla poszczególnych krajów i podejmowania w związku z nimi działań następczych, w szczególności w odniesieniu do ich przyszłej roli w dostępie do funduszy UE; przypomina swój postulat, aby formułować mniejszą liczbę zaleceń dla poszczególnych krajów i aby zalecenia te były bardziej ukierunkowane;</w:t>
      </w:r>
    </w:p>
    <w:p w14:paraId="4A713B4D" w14:textId="77777777" w:rsidR="00B86A79" w:rsidRPr="00483169" w:rsidRDefault="00B86A79" w:rsidP="00B86A79">
      <w:pPr>
        <w:pStyle w:val="NormalHanging12a"/>
      </w:pPr>
      <w:r w:rsidRPr="00483169">
        <w:lastRenderedPageBreak/>
        <w:t>26.</w:t>
      </w:r>
      <w:r w:rsidRPr="00483169">
        <w:tab/>
        <w:t>odnotowuje, że w komunikacie z 19 marca 2025 r.</w:t>
      </w:r>
      <w:r w:rsidRPr="00483169">
        <w:rPr>
          <w:rStyle w:val="FootnoteReference"/>
        </w:rPr>
        <w:footnoteReference w:customMarkFollows="1" w:id="10"/>
        <w:t>10</w:t>
      </w:r>
      <w:r w:rsidRPr="00483169">
        <w:t xml:space="preserve"> Komisja zapowiedziała, iż zamierza dokładniej odzwierciedlić w zaleceniach dla poszczególnych krajów działania, które mają zasadnicze znaczenie dla unii oszczędności i inwestycji;</w:t>
      </w:r>
    </w:p>
    <w:p w14:paraId="74FCC2C7" w14:textId="77777777" w:rsidR="00B86A79" w:rsidRPr="00483169" w:rsidRDefault="00B86A79" w:rsidP="00B86A79">
      <w:pPr>
        <w:pStyle w:val="NormalHanging12a"/>
      </w:pPr>
      <w:r w:rsidRPr="00483169">
        <w:t>27.</w:t>
      </w:r>
      <w:r w:rsidRPr="00483169">
        <w:tab/>
        <w:t>zauważa, że w następnych wieloletnich ramach finansowych zalecenia dla poszczególnych krajów będą odgrywać większą rolę w kierowaniu inwestycjami i reformami na szczeblu krajowym i regionalnym; jest zdania, że przy wyborze reform i inwestycji należy kierować się ich skutecznością w realizacji odpowiednich zaleceń dla poszczególnych krajów, co pozwoli osiągnąć sprawiedliwą transformację w kierunku zielonej i konkurencyjnej gospodarki europejskiej; podkreśla, że procesowi temu musi towarzyszyć ściślejsza kontrola demokratyczna i większe poczucie odpowiedzialności państw członkowskich;</w:t>
      </w:r>
    </w:p>
    <w:p w14:paraId="1FC939EA" w14:textId="77777777" w:rsidR="00B86A79" w:rsidRPr="00483169" w:rsidRDefault="00B86A79" w:rsidP="00B86A79">
      <w:pPr>
        <w:pStyle w:val="NormalHanging12a"/>
      </w:pPr>
      <w:r w:rsidRPr="00483169">
        <w:t>28.</w:t>
      </w:r>
      <w:r w:rsidRPr="00483169">
        <w:tab/>
        <w:t>podkreśla rosnące znaczenie zaleceń dla poszczególnych krajów powiązanych z krajowymi i regionalnymi planami partnerstwa; zwraca uwagę, że obecnie nie istnieje przejrzysta ani możliwa do prześledzenia metodyka opracowywania i wyboru zaleceń dla poszczególnych krajów, ani jasność w kwestii, dlaczego jedne zalecenia są proponowane, a inne nie, co rodzi wątpliwości dotyczące rozliczalności i równego traktowania państw członkowskich; wzywa Komisję do wyjaśnienia podstawowych procedur i kryteriów wyboru; podkreśla, że jakiemukolwiek ogólnemu zwiększeniu uprawnień dyskrecjonalnych Komisji muszą towarzyszyć odpowiednie mechanizmy rozliczalności ex post i istotna poprawa przepływu informacji do Parlamentu;</w:t>
      </w:r>
    </w:p>
    <w:p w14:paraId="05BF95F6" w14:textId="77777777" w:rsidR="00B86A79" w:rsidRPr="00483169" w:rsidRDefault="00B86A79" w:rsidP="00B86A79">
      <w:pPr>
        <w:pStyle w:val="NormalHanging12a"/>
      </w:pPr>
      <w:r w:rsidRPr="00483169">
        <w:t>29.</w:t>
      </w:r>
      <w:r w:rsidRPr="00483169">
        <w:tab/>
        <w:t>zauważa, że zalecenia dla poszczególnych krajów z 2025 r. koncentrowały się w większym stopniu na konkurencyjności i uproszczeniu, zgodnie z priorytetami określonymi w Kompasie konkurencyjności, a jednocześnie podkreślały potrzebę wzmocnienia doskonałości naukowej, badań, innowacji i rozwoju technologii jako kluczowych motorów długofalowej produktywności i odporności; ubolewa, że mniej zaleceń dla poszczególnych krajów poświęca się polityce społecznej i klimatycznej; odnotowuje, że w przypadku niektórych państw zalecenia zawierają rekomendacje dotyczące stopniowego wycofywania dopłat do paliw kopalnych;</w:t>
      </w:r>
    </w:p>
    <w:p w14:paraId="21E8AA94" w14:textId="77777777" w:rsidR="00B86A79" w:rsidRPr="00483169" w:rsidRDefault="00B86A79" w:rsidP="00B86A79">
      <w:pPr>
        <w:pStyle w:val="NormalHanging12a"/>
      </w:pPr>
      <w:r w:rsidRPr="00483169">
        <w:t>30.</w:t>
      </w:r>
      <w:r w:rsidRPr="00483169">
        <w:tab/>
        <w:t xml:space="preserve">zauważa, że Komisja traktuje zalecenie dla strefy euro przede wszystkim jako narzędzie sterujące dyskusjami w </w:t>
      </w:r>
      <w:proofErr w:type="spellStart"/>
      <w:r w:rsidRPr="00483169">
        <w:t>Eurogrupie</w:t>
      </w:r>
      <w:proofErr w:type="spellEnd"/>
      <w:r w:rsidRPr="00483169">
        <w:t>; wzywa jednak Komisję do monitorowania realizacji zaleceń dla strefy euro, w tym uwzględniania ich przy opracowywaniu zaleceń dla poszczególnych krajów; ubolewa, że w 2025 r. Komisja nie opublikowała przeglądu wdrażania zaleceń dla strefy euro, co wcześniej było stałym elementem jej raportów o strefie euro; odnotowuje, że zalecenia z 2025 r. nie zawierają żadnych rekomendacji dotyczących zmian klimatu;</w:t>
      </w:r>
    </w:p>
    <w:p w14:paraId="75E4A9AF" w14:textId="77777777" w:rsidR="00B86A79" w:rsidRPr="00483169" w:rsidRDefault="00B86A79" w:rsidP="00B86A79">
      <w:pPr>
        <w:pStyle w:val="Normal12a"/>
      </w:pPr>
      <w:r w:rsidRPr="00483169">
        <w:rPr>
          <w:b/>
          <w:i/>
        </w:rPr>
        <w:t>Zlikwidowanie luki inwestycyjnej</w:t>
      </w:r>
    </w:p>
    <w:p w14:paraId="604E8812" w14:textId="77777777" w:rsidR="00B86A79" w:rsidRPr="00483169" w:rsidRDefault="00B86A79" w:rsidP="00B86A79">
      <w:pPr>
        <w:pStyle w:val="NormalHanging12a"/>
      </w:pPr>
      <w:r w:rsidRPr="00483169">
        <w:t>31.</w:t>
      </w:r>
      <w:r w:rsidRPr="00483169">
        <w:tab/>
        <w:t xml:space="preserve">przypomina, że w sprawozdaniu </w:t>
      </w:r>
      <w:proofErr w:type="spellStart"/>
      <w:r w:rsidRPr="00483169">
        <w:t>Draghiego</w:t>
      </w:r>
      <w:proofErr w:type="spellEnd"/>
      <w:r w:rsidRPr="00483169">
        <w:t xml:space="preserve"> jednoznacznie wykazano, iż należy zwiększyć inwestycje publiczne i prywatne oraz przeprowadzić ambitne reformy, aby zwiększyć konkurencyjność UE; wzywa Komisję i państwa członkowskie do przedstawienia strategii zaspokojenia potrzeb inwestycyjnych po 2026 r.;</w:t>
      </w:r>
    </w:p>
    <w:p w14:paraId="3FC71127" w14:textId="77777777" w:rsidR="00B86A79" w:rsidRPr="00483169" w:rsidRDefault="00B86A79" w:rsidP="00B86A79">
      <w:pPr>
        <w:pStyle w:val="NormalHanging12a"/>
      </w:pPr>
      <w:r w:rsidRPr="00483169">
        <w:lastRenderedPageBreak/>
        <w:t>32.</w:t>
      </w:r>
      <w:r w:rsidRPr="00483169">
        <w:tab/>
        <w:t xml:space="preserve">uważa, że unijne ramy zarządzania gospodarczego należy w stosownych przypadkach uzupełnić instrumentami i narzędziami na szczeblu UE, aby zminimalizować koszty ponoszone przez podatników UE i zmaksymalizować skuteczność dostarczania europejskich dóbr publicznych oraz reagować na </w:t>
      </w:r>
      <w:proofErr w:type="spellStart"/>
      <w:r w:rsidRPr="00483169">
        <w:t>ogólnounijne</w:t>
      </w:r>
      <w:proofErr w:type="spellEnd"/>
      <w:r w:rsidRPr="00483169">
        <w:t xml:space="preserve"> kryzysy, takie jak trwający kryzys w dziedzinie bezpieczeństwa i obrony; zauważa, że dłużne papiery wartościowe UE mogłyby służyć jako punkt odniesienia, co wzmocniłoby integrację rynków finansowych UE; apeluje o wprowadzenie nowych zasobów własnych w celu finansowania unijnych strategii politycznych; popiera utworzenie Europejskiego Funduszu Konkurencyjności i Europejskiego Funduszu na rzecz Przedsiębiorstw </w:t>
      </w:r>
      <w:proofErr w:type="spellStart"/>
      <w:r w:rsidRPr="00483169">
        <w:t>Scale-up</w:t>
      </w:r>
      <w:proofErr w:type="spellEnd"/>
      <w:r w:rsidRPr="00483169">
        <w:t>;</w:t>
      </w:r>
    </w:p>
    <w:p w14:paraId="52E9CD40" w14:textId="77777777" w:rsidR="00B86A79" w:rsidRPr="00483169" w:rsidRDefault="00B86A79" w:rsidP="00B86A79">
      <w:pPr>
        <w:pStyle w:val="NormalHanging12a"/>
      </w:pPr>
      <w:r w:rsidRPr="00483169">
        <w:t>33.</w:t>
      </w:r>
      <w:r w:rsidRPr="00483169">
        <w:tab/>
        <w:t>podkreśla, że Rada Europejska zatwierdziła udzielenie Ukrainie pożyczki w wysokości 90 mld euro na lata 2026 i 2027, która ma opierać się na zaciąganiu przez UE pożyczek na rynkach kapitałowych, wspartych przez margines elastyczności budżetu UE;</w:t>
      </w:r>
    </w:p>
    <w:p w14:paraId="6E73E00C" w14:textId="77777777" w:rsidR="00B86A79" w:rsidRPr="00483169" w:rsidRDefault="00B86A79" w:rsidP="00B86A79">
      <w:pPr>
        <w:pStyle w:val="NormalHanging12a"/>
      </w:pPr>
      <w:r w:rsidRPr="00483169">
        <w:t>34.</w:t>
      </w:r>
      <w:r w:rsidRPr="00483169">
        <w:tab/>
        <w:t>zauważa, że zmieniające się otoczenie geopolityczne wymaga jeszcze większej jedności i solidarności między państwami członkowskimi, zwłaszcza biorąc pod uwagę kwestie bezpieczeństwa UE i jej państw członkowskich; uważa, że wzmocnienie bezpieczeństwa Europy przez ograniczenie zależności strategicznych pozostaje niezbędne dla zapewnienia długoterminowej odporności Unii; popiera wysiłki Komisji na rzecz wypracowania bardziej skoordynowanego podejścia do obronności; zauważa, że Instrument na rzecz Zwiększenia Bezpieczeństwa Europy (SAFE) ustanawia instrument pożyczkowy w wysokości 150 mld EUR na wsparcie inwestycji państw członkowskich w obronność; ubolewa jednak, że instrument SAFE oparto na art. 122 TFUE, co ogranicza nadzór parlamentarny; z zadowoleniem przyjmuje fakt, że wskaźnik wydatków netto oblicza się z wyłączeniem całego współfinansowania krajowego w ramach programów finansowanych przez UE, co zapewnia państwom członkowskim większą przestrzeń fiskalną do inwestowania we wspólne priorytety UE, jak określono w rozporządzeniu (UE) 2024/1263</w:t>
      </w:r>
      <w:r w:rsidRPr="00483169">
        <w:rPr>
          <w:rStyle w:val="FootnoteReference"/>
        </w:rPr>
        <w:footnoteReference w:customMarkFollows="1" w:id="11"/>
        <w:t>11</w:t>
      </w:r>
      <w:r w:rsidRPr="00483169">
        <w:t>, i co w związku z tym przyczynia się do wzmocnienia synergii między budżetem UE i budżetami krajowymi, a tym samym do zmniejszenia fragmentacji i zwiększenia ogólnej efektywności wydatków publicznych w niektórych obszarach, takich jak obronność; podkreśla, że zobowiązanie państw członkowskich do zwiększenia wydatków na obronność nie powinno odbywać się kosztem innych wspólnych priorytetów UE;</w:t>
      </w:r>
    </w:p>
    <w:p w14:paraId="6E67175B" w14:textId="77777777" w:rsidR="00B86A79" w:rsidRPr="00483169" w:rsidRDefault="00B86A79" w:rsidP="00B86A79">
      <w:pPr>
        <w:pStyle w:val="NormalHanging12a"/>
      </w:pPr>
      <w:r w:rsidRPr="00483169">
        <w:t>35.</w:t>
      </w:r>
      <w:r w:rsidRPr="00483169">
        <w:tab/>
        <w:t>zauważa, że 16 państw członkowskich uruchomiło krajową klauzulę wyjścia w odniesieniu do wydatków na obronność; podkreśla, że zapewnia ona państwom członkowskim możliwość elastycznego zwiększenia wydatków na obronność bez konieczności natychmiastowego finansowania takiego zwiększenia za pomocą cięć wydatków lub środków zwiększających dochody; wskazuje, że dzięki tej elastyczności państwa członkowskie mają czas niezbędny do uwzględnienia wyższych wydatków na obronność w budżetach krajowych; podkreśla, że częściowy udział państw znacząco ogranicza prognozowane dodatkowe wydatki obronne z 650 mld EUR do około 297–337 mld EUR;</w:t>
      </w:r>
    </w:p>
    <w:p w14:paraId="03F7E696" w14:textId="77777777" w:rsidR="00B86A79" w:rsidRPr="00483169" w:rsidRDefault="00B86A79" w:rsidP="00B86A79">
      <w:pPr>
        <w:pStyle w:val="NormalHanging12a"/>
      </w:pPr>
      <w:r w:rsidRPr="00483169">
        <w:lastRenderedPageBreak/>
        <w:t>36.</w:t>
      </w:r>
      <w:r w:rsidRPr="00483169">
        <w:tab/>
        <w:t>ostrzega, że wydatki na obronność mają charakter inwestycji konsumpcyjnej i nie zwiększają potencjału produkcyjnego gospodarki; uważa, że wydatki obronne nie powinny być długoterminowo finansowane przez zwiększanie zadłużenia;</w:t>
      </w:r>
    </w:p>
    <w:p w14:paraId="5855CAF4" w14:textId="77777777" w:rsidR="00B86A79" w:rsidRPr="00483169" w:rsidRDefault="00B86A79" w:rsidP="00B86A79">
      <w:pPr>
        <w:pStyle w:val="NormalHanging12a"/>
      </w:pPr>
      <w:r w:rsidRPr="00483169">
        <w:t>37.</w:t>
      </w:r>
      <w:r w:rsidRPr="00483169">
        <w:tab/>
        <w:t>podkreśla znaczenie zwiększania spójności i współpracy w inwestycjach obronnych pomiędzy państwami członkowskimi, zwłaszcza w odniesieniu do strategicznych elementów infrastruktury lub systemów uzbrojenia, które są zbyt kosztowne dla poszczególnych państw, w kontekście pilnej potrzeby rozbudowy europejskiego sektora obronnego oraz zapewnienia długoterminowego bezpieczeństwa i autonomii strategicznej;</w:t>
      </w:r>
    </w:p>
    <w:p w14:paraId="6E57D0E6" w14:textId="77777777" w:rsidR="00B86A79" w:rsidRPr="00483169" w:rsidRDefault="00B86A79" w:rsidP="00B86A79">
      <w:pPr>
        <w:pStyle w:val="NormalHanging12a"/>
      </w:pPr>
      <w:r w:rsidRPr="00483169">
        <w:t>38.</w:t>
      </w:r>
      <w:r w:rsidRPr="00483169">
        <w:tab/>
        <w:t>przypomina, że Komisja nigdy nie wszczęła procedury dotyczącej nadmiernego zakłócenia równowagi, mimo że w niektórych państwach członkowskich występują powtarzające się zaburzenia równowagi na rachunku obrotów bieżących; odnotowuje, że Komisja oceni występowanie zakłóceń równowagi makroekonomicznej w siedmiu państwach członkowskich wybranych do szczegółowej oceny sytuacji w sprawozdaniu przedłożonym w ramach mechanizmu ostrzegania na 2026 r.;</w:t>
      </w:r>
    </w:p>
    <w:p w14:paraId="39F5F4BA" w14:textId="77777777" w:rsidR="00B86A79" w:rsidRPr="00483169" w:rsidRDefault="00B86A79" w:rsidP="00B86A79">
      <w:pPr>
        <w:pStyle w:val="NormalCenter12a"/>
      </w:pPr>
      <w:r w:rsidRPr="00483169">
        <w:t>°</w:t>
      </w:r>
    </w:p>
    <w:p w14:paraId="2BBA5013" w14:textId="77777777" w:rsidR="00B86A79" w:rsidRPr="00483169" w:rsidRDefault="00B86A79" w:rsidP="00B86A79">
      <w:pPr>
        <w:pStyle w:val="NormalCenter12a"/>
      </w:pPr>
      <w:r w:rsidRPr="00483169">
        <w:t>°</w:t>
      </w:r>
      <w:r w:rsidRPr="00483169">
        <w:tab/>
        <w:t>°</w:t>
      </w:r>
    </w:p>
    <w:p w14:paraId="259EADD7" w14:textId="2BDD0C72" w:rsidR="00483169" w:rsidRPr="00483169" w:rsidRDefault="00B86A79" w:rsidP="00483169">
      <w:pPr>
        <w:pStyle w:val="NormalHanging12a"/>
      </w:pPr>
      <w:r w:rsidRPr="00483169">
        <w:t>39.</w:t>
      </w:r>
      <w:r w:rsidRPr="00483169">
        <w:tab/>
        <w:t>zobowiązuje swoją przewodniczącą do przekazania niniejszej rezolucji Radzie i Komisji.</w:t>
      </w:r>
    </w:p>
    <w:p w14:paraId="537B77E7" w14:textId="1CD68CD8" w:rsidR="00E365E1" w:rsidRPr="00483169" w:rsidRDefault="00E365E1" w:rsidP="00253718"/>
    <w:sectPr w:rsidR="00E365E1" w:rsidRPr="00483169" w:rsidSect="004831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EA08E" w14:textId="77777777" w:rsidR="00253718" w:rsidRPr="00483169" w:rsidRDefault="00253718">
      <w:r w:rsidRPr="00483169">
        <w:separator/>
      </w:r>
    </w:p>
  </w:endnote>
  <w:endnote w:type="continuationSeparator" w:id="0">
    <w:p w14:paraId="743BFD79" w14:textId="77777777" w:rsidR="00253718" w:rsidRPr="00483169" w:rsidRDefault="00253718">
      <w:r w:rsidRPr="004831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4C71A" w14:textId="77777777" w:rsidR="00064002" w:rsidRPr="0048316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81988" w14:textId="77777777" w:rsidR="00064002" w:rsidRPr="0048316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3F375" w14:textId="77777777" w:rsidR="00064002" w:rsidRPr="0048316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4B99B" w14:textId="77777777" w:rsidR="00253718" w:rsidRPr="00483169" w:rsidRDefault="00253718">
      <w:r w:rsidRPr="00483169">
        <w:separator/>
      </w:r>
    </w:p>
  </w:footnote>
  <w:footnote w:type="continuationSeparator" w:id="0">
    <w:p w14:paraId="4CB52CEE" w14:textId="77777777" w:rsidR="00253718" w:rsidRPr="00483169" w:rsidRDefault="00253718">
      <w:r w:rsidRPr="00483169">
        <w:continuationSeparator/>
      </w:r>
    </w:p>
  </w:footnote>
  <w:footnote w:id="1">
    <w:p w14:paraId="6846528E" w14:textId="4259E2C4" w:rsidR="00B86A79" w:rsidRPr="00483169" w:rsidRDefault="00B86A79" w:rsidP="00483169">
      <w:pPr>
        <w:pStyle w:val="FootnoteText"/>
        <w:ind w:left="567" w:hanging="567"/>
        <w:rPr>
          <w:sz w:val="24"/>
          <w:lang w:val="pl-PL"/>
        </w:rPr>
      </w:pPr>
      <w:r w:rsidRPr="00483169">
        <w:rPr>
          <w:sz w:val="24"/>
          <w:vertAlign w:val="superscript"/>
          <w:lang w:val="pl-PL"/>
        </w:rPr>
        <w:t>1</w:t>
      </w:r>
      <w:r w:rsidR="00483169" w:rsidRPr="00483169">
        <w:rPr>
          <w:sz w:val="24"/>
          <w:vertAlign w:val="superscript"/>
          <w:lang w:val="pl-PL"/>
        </w:rPr>
        <w:t xml:space="preserve"> </w:t>
      </w:r>
      <w:r w:rsidR="00483169" w:rsidRPr="00483169">
        <w:rPr>
          <w:sz w:val="24"/>
          <w:vertAlign w:val="superscript"/>
          <w:lang w:val="pl-PL"/>
        </w:rPr>
        <w:tab/>
      </w:r>
      <w:r w:rsidRPr="00483169">
        <w:rPr>
          <w:sz w:val="24"/>
          <w:lang w:val="pl-PL"/>
        </w:rPr>
        <w:t xml:space="preserve">Dz.U. L 243 z 9.7.2021, ELI: </w:t>
      </w:r>
      <w:hyperlink r:id="rId1" w:tgtFrame="http://data.europa.eu/eli/reg/2021/1119/oj" w:history="1">
        <w:r w:rsidRPr="00483169">
          <w:rPr>
            <w:rStyle w:val="Hyperlink"/>
            <w:sz w:val="24"/>
            <w:lang w:val="pl-PL"/>
          </w:rPr>
          <w:t>http://data.europa.eu/eli/reg/2021/1119/oj</w:t>
        </w:r>
      </w:hyperlink>
      <w:r w:rsidRPr="00483169">
        <w:rPr>
          <w:sz w:val="24"/>
          <w:lang w:val="pl-PL"/>
        </w:rPr>
        <w:t>.</w:t>
      </w:r>
    </w:p>
  </w:footnote>
  <w:footnote w:id="2">
    <w:p w14:paraId="6CDA10BD" w14:textId="4E7BB35C" w:rsidR="00B86A79" w:rsidRPr="00483169" w:rsidRDefault="00B86A79" w:rsidP="00483169">
      <w:pPr>
        <w:pStyle w:val="FootnoteText"/>
        <w:ind w:left="567" w:hanging="567"/>
        <w:rPr>
          <w:sz w:val="24"/>
          <w:lang w:val="pl-PL"/>
        </w:rPr>
      </w:pPr>
      <w:r w:rsidRPr="00483169">
        <w:rPr>
          <w:sz w:val="24"/>
          <w:vertAlign w:val="superscript"/>
          <w:lang w:val="pl-PL"/>
        </w:rPr>
        <w:t>2</w:t>
      </w:r>
      <w:r w:rsidR="00483169" w:rsidRPr="00483169">
        <w:rPr>
          <w:sz w:val="24"/>
          <w:vertAlign w:val="superscript"/>
          <w:lang w:val="pl-PL"/>
        </w:rPr>
        <w:t xml:space="preserve"> </w:t>
      </w:r>
      <w:r w:rsidR="00483169" w:rsidRPr="00483169">
        <w:rPr>
          <w:sz w:val="24"/>
          <w:vertAlign w:val="superscript"/>
          <w:lang w:val="pl-PL"/>
        </w:rPr>
        <w:tab/>
      </w:r>
      <w:r w:rsidRPr="00483169">
        <w:rPr>
          <w:sz w:val="24"/>
          <w:lang w:val="pl-PL"/>
        </w:rPr>
        <w:t xml:space="preserve">Dz.U. L, 2024/1263, 30.4.2024, ELI: </w:t>
      </w:r>
      <w:hyperlink r:id="rId2" w:tgtFrame="http://data.europa.eu/eli/reg/2024/1263/oj" w:history="1">
        <w:r w:rsidRPr="00483169">
          <w:rPr>
            <w:rStyle w:val="Hyperlink"/>
            <w:sz w:val="24"/>
            <w:lang w:val="pl-PL"/>
          </w:rPr>
          <w:t>http://data.europa.eu/eli/reg/2024/1263/oj</w:t>
        </w:r>
      </w:hyperlink>
      <w:r w:rsidRPr="00483169">
        <w:rPr>
          <w:sz w:val="24"/>
          <w:lang w:val="pl-PL"/>
        </w:rPr>
        <w:t>.</w:t>
      </w:r>
    </w:p>
  </w:footnote>
  <w:footnote w:id="3">
    <w:p w14:paraId="04C105DF" w14:textId="683F525F" w:rsidR="00B86A79" w:rsidRPr="00483169" w:rsidRDefault="00B86A79" w:rsidP="00483169">
      <w:pPr>
        <w:pStyle w:val="FootnoteText"/>
        <w:ind w:left="567" w:hanging="567"/>
        <w:rPr>
          <w:sz w:val="24"/>
          <w:lang w:val="pl-PL"/>
        </w:rPr>
      </w:pPr>
      <w:r w:rsidRPr="00483169">
        <w:rPr>
          <w:sz w:val="24"/>
          <w:vertAlign w:val="superscript"/>
          <w:lang w:val="pl-PL"/>
        </w:rPr>
        <w:t>3</w:t>
      </w:r>
      <w:r w:rsidR="00483169" w:rsidRPr="00483169">
        <w:rPr>
          <w:sz w:val="24"/>
          <w:vertAlign w:val="superscript"/>
          <w:lang w:val="pl-PL"/>
        </w:rPr>
        <w:t xml:space="preserve"> </w:t>
      </w:r>
      <w:r w:rsidR="00483169" w:rsidRPr="00483169">
        <w:rPr>
          <w:sz w:val="24"/>
          <w:vertAlign w:val="superscript"/>
          <w:lang w:val="pl-PL"/>
        </w:rPr>
        <w:tab/>
      </w:r>
      <w:r w:rsidRPr="00483169">
        <w:rPr>
          <w:sz w:val="24"/>
          <w:lang w:val="pl-PL"/>
        </w:rPr>
        <w:t xml:space="preserve">Dz.U. L, 2024/1264, 30.4.2024, ELI: </w:t>
      </w:r>
      <w:hyperlink r:id="rId3" w:tgtFrame="http://data.europa.eu/eli/reg/2024/1264/oj" w:history="1">
        <w:r w:rsidRPr="00483169">
          <w:rPr>
            <w:rStyle w:val="Hyperlink"/>
            <w:sz w:val="24"/>
            <w:lang w:val="pl-PL"/>
          </w:rPr>
          <w:t>http://data.europa.eu/eli/reg/2024/1264/oj</w:t>
        </w:r>
      </w:hyperlink>
      <w:r w:rsidRPr="00483169">
        <w:rPr>
          <w:sz w:val="24"/>
          <w:lang w:val="pl-PL"/>
        </w:rPr>
        <w:t>.</w:t>
      </w:r>
    </w:p>
  </w:footnote>
  <w:footnote w:id="4">
    <w:p w14:paraId="7C0ADC01" w14:textId="424E1928" w:rsidR="00B86A79" w:rsidRPr="00483169" w:rsidRDefault="00B86A79" w:rsidP="00483169">
      <w:pPr>
        <w:pStyle w:val="FootnoteText"/>
        <w:ind w:left="567" w:hanging="567"/>
        <w:rPr>
          <w:sz w:val="24"/>
          <w:lang w:val="pl-PL"/>
        </w:rPr>
      </w:pPr>
      <w:r w:rsidRPr="00483169">
        <w:rPr>
          <w:sz w:val="24"/>
          <w:vertAlign w:val="superscript"/>
          <w:lang w:val="pl-PL"/>
        </w:rPr>
        <w:t>4</w:t>
      </w:r>
      <w:r w:rsidR="00483169" w:rsidRPr="00483169">
        <w:rPr>
          <w:sz w:val="24"/>
          <w:vertAlign w:val="superscript"/>
          <w:lang w:val="pl-PL"/>
        </w:rPr>
        <w:t xml:space="preserve"> </w:t>
      </w:r>
      <w:r w:rsidR="00483169" w:rsidRPr="00483169">
        <w:rPr>
          <w:sz w:val="24"/>
          <w:vertAlign w:val="superscript"/>
          <w:lang w:val="pl-PL"/>
        </w:rPr>
        <w:tab/>
      </w:r>
      <w:r w:rsidRPr="00483169">
        <w:rPr>
          <w:sz w:val="24"/>
          <w:lang w:val="pl-PL"/>
        </w:rPr>
        <w:t xml:space="preserve">Dz.U. L, 2024/1265, 30.4.2024, ELI: </w:t>
      </w:r>
      <w:hyperlink r:id="rId4" w:tgtFrame="http://data.europa.eu/eli/dir/2024/1265/oj" w:history="1">
        <w:r w:rsidRPr="00483169">
          <w:rPr>
            <w:rStyle w:val="Hyperlink"/>
            <w:sz w:val="24"/>
            <w:lang w:val="pl-PL"/>
          </w:rPr>
          <w:t>http://data.europa.eu/eli/dir/2024/1265/oj</w:t>
        </w:r>
      </w:hyperlink>
      <w:r w:rsidRPr="00483169">
        <w:rPr>
          <w:sz w:val="24"/>
          <w:lang w:val="pl-PL"/>
        </w:rPr>
        <w:t>.</w:t>
      </w:r>
    </w:p>
  </w:footnote>
  <w:footnote w:id="5">
    <w:p w14:paraId="47A701B5" w14:textId="1DEC4E9D" w:rsidR="00B86A79" w:rsidRPr="00483169" w:rsidRDefault="00B86A79" w:rsidP="00483169">
      <w:pPr>
        <w:pStyle w:val="FootnoteText"/>
        <w:ind w:left="567" w:hanging="567"/>
        <w:rPr>
          <w:sz w:val="24"/>
          <w:lang w:val="pl-PL"/>
        </w:rPr>
      </w:pPr>
      <w:r w:rsidRPr="00483169">
        <w:rPr>
          <w:sz w:val="24"/>
          <w:vertAlign w:val="superscript"/>
          <w:lang w:val="pl-PL"/>
        </w:rPr>
        <w:t>5</w:t>
      </w:r>
      <w:r w:rsidR="00483169" w:rsidRPr="00483169">
        <w:rPr>
          <w:sz w:val="24"/>
          <w:vertAlign w:val="superscript"/>
          <w:lang w:val="pl-PL"/>
        </w:rPr>
        <w:t xml:space="preserve"> </w:t>
      </w:r>
      <w:r w:rsidR="00483169" w:rsidRPr="00483169">
        <w:rPr>
          <w:sz w:val="24"/>
          <w:vertAlign w:val="superscript"/>
          <w:lang w:val="pl-PL"/>
        </w:rPr>
        <w:tab/>
      </w:r>
      <w:r w:rsidRPr="00483169">
        <w:rPr>
          <w:sz w:val="24"/>
          <w:lang w:val="pl-PL"/>
        </w:rPr>
        <w:t xml:space="preserve">Dz.U. L 306 z 23.11.2011, s. 1, ELI: </w:t>
      </w:r>
      <w:hyperlink r:id="rId5" w:tgtFrame="http://data.europa.eu/eli/reg/2011/1173/oj" w:history="1">
        <w:r w:rsidRPr="00483169">
          <w:rPr>
            <w:rStyle w:val="Hyperlink"/>
            <w:sz w:val="24"/>
            <w:lang w:val="pl-PL"/>
          </w:rPr>
          <w:t>http://data.europa.eu/eli/reg/2011/1173/oj</w:t>
        </w:r>
      </w:hyperlink>
      <w:r w:rsidRPr="00483169">
        <w:rPr>
          <w:sz w:val="24"/>
          <w:lang w:val="pl-PL"/>
        </w:rPr>
        <w:t>.</w:t>
      </w:r>
    </w:p>
  </w:footnote>
  <w:footnote w:id="6">
    <w:p w14:paraId="6CF95398" w14:textId="01579CFC" w:rsidR="00B86A79" w:rsidRPr="00483169" w:rsidRDefault="00B86A79" w:rsidP="00483169">
      <w:pPr>
        <w:pStyle w:val="FootnoteText"/>
        <w:ind w:left="567" w:hanging="567"/>
        <w:rPr>
          <w:sz w:val="24"/>
          <w:lang w:val="pl-PL"/>
        </w:rPr>
      </w:pPr>
      <w:r w:rsidRPr="00483169">
        <w:rPr>
          <w:sz w:val="24"/>
          <w:vertAlign w:val="superscript"/>
          <w:lang w:val="pl-PL"/>
        </w:rPr>
        <w:t>6</w:t>
      </w:r>
      <w:r w:rsidR="00483169" w:rsidRPr="00483169">
        <w:rPr>
          <w:sz w:val="24"/>
          <w:vertAlign w:val="superscript"/>
          <w:lang w:val="pl-PL"/>
        </w:rPr>
        <w:t xml:space="preserve"> </w:t>
      </w:r>
      <w:r w:rsidR="00483169" w:rsidRPr="00483169">
        <w:rPr>
          <w:sz w:val="24"/>
          <w:vertAlign w:val="superscript"/>
          <w:lang w:val="pl-PL"/>
        </w:rPr>
        <w:tab/>
      </w:r>
      <w:r w:rsidRPr="00483169">
        <w:rPr>
          <w:sz w:val="24"/>
          <w:lang w:val="pl-PL"/>
        </w:rPr>
        <w:t xml:space="preserve">Dz.U. L 306 z 23.11.2011, s. 8, ELI: </w:t>
      </w:r>
      <w:hyperlink r:id="rId6" w:tgtFrame="http://data.europa.eu/eli/reg/2011/1174/oj" w:history="1">
        <w:r w:rsidRPr="00483169">
          <w:rPr>
            <w:rStyle w:val="Hyperlink"/>
            <w:sz w:val="24"/>
            <w:lang w:val="pl-PL"/>
          </w:rPr>
          <w:t>http://data.europa.eu/eli/reg/2011/1174/oj</w:t>
        </w:r>
      </w:hyperlink>
      <w:r w:rsidRPr="00483169">
        <w:rPr>
          <w:sz w:val="24"/>
          <w:lang w:val="pl-PL"/>
        </w:rPr>
        <w:t>.</w:t>
      </w:r>
    </w:p>
  </w:footnote>
  <w:footnote w:id="7">
    <w:p w14:paraId="3408DC11" w14:textId="1B1C222E" w:rsidR="00B86A79" w:rsidRPr="00483169" w:rsidRDefault="00B86A79" w:rsidP="00483169">
      <w:pPr>
        <w:pStyle w:val="FootnoteText"/>
        <w:ind w:left="567" w:hanging="567"/>
        <w:rPr>
          <w:sz w:val="24"/>
          <w:lang w:val="pl-PL"/>
        </w:rPr>
      </w:pPr>
      <w:r w:rsidRPr="00483169">
        <w:rPr>
          <w:sz w:val="24"/>
          <w:vertAlign w:val="superscript"/>
          <w:lang w:val="pl-PL"/>
        </w:rPr>
        <w:t>7</w:t>
      </w:r>
      <w:r w:rsidR="00483169" w:rsidRPr="00483169">
        <w:rPr>
          <w:sz w:val="24"/>
          <w:vertAlign w:val="superscript"/>
          <w:lang w:val="pl-PL"/>
        </w:rPr>
        <w:t xml:space="preserve"> </w:t>
      </w:r>
      <w:r w:rsidR="00483169" w:rsidRPr="00483169">
        <w:rPr>
          <w:sz w:val="24"/>
          <w:vertAlign w:val="superscript"/>
          <w:lang w:val="pl-PL"/>
        </w:rPr>
        <w:tab/>
      </w:r>
      <w:r w:rsidRPr="00483169">
        <w:rPr>
          <w:sz w:val="24"/>
          <w:lang w:val="pl-PL"/>
        </w:rPr>
        <w:t xml:space="preserve">Dz.U. L 306 z 23.11.2011, s. 25, ELI: </w:t>
      </w:r>
      <w:hyperlink r:id="rId7" w:tgtFrame="http://data.europa.eu/eli/reg/2011/1176/oj" w:history="1">
        <w:r w:rsidRPr="00483169">
          <w:rPr>
            <w:rStyle w:val="Hyperlink"/>
            <w:sz w:val="24"/>
            <w:lang w:val="pl-PL"/>
          </w:rPr>
          <w:t>http://data.europa.eu/eli/reg/2011/1176/oj</w:t>
        </w:r>
      </w:hyperlink>
      <w:r w:rsidRPr="00483169">
        <w:rPr>
          <w:sz w:val="24"/>
          <w:lang w:val="pl-PL"/>
        </w:rPr>
        <w:t>.</w:t>
      </w:r>
    </w:p>
  </w:footnote>
  <w:footnote w:id="8">
    <w:p w14:paraId="52EF36BD" w14:textId="4A528ABD" w:rsidR="00B86A79" w:rsidRPr="00483169" w:rsidRDefault="00B86A79" w:rsidP="00483169">
      <w:pPr>
        <w:pStyle w:val="FootnoteText"/>
        <w:ind w:left="567" w:hanging="567"/>
        <w:rPr>
          <w:sz w:val="24"/>
          <w:lang w:val="pl-PL"/>
        </w:rPr>
      </w:pPr>
      <w:r w:rsidRPr="00483169">
        <w:rPr>
          <w:sz w:val="24"/>
          <w:vertAlign w:val="superscript"/>
          <w:lang w:val="pl-PL"/>
        </w:rPr>
        <w:t>8</w:t>
      </w:r>
      <w:r w:rsidR="00483169" w:rsidRPr="00483169">
        <w:rPr>
          <w:sz w:val="24"/>
          <w:vertAlign w:val="superscript"/>
          <w:lang w:val="pl-PL"/>
        </w:rPr>
        <w:t xml:space="preserve"> </w:t>
      </w:r>
      <w:r w:rsidR="00483169" w:rsidRPr="00483169">
        <w:rPr>
          <w:sz w:val="24"/>
          <w:vertAlign w:val="superscript"/>
          <w:lang w:val="pl-PL"/>
        </w:rPr>
        <w:tab/>
      </w:r>
      <w:r w:rsidRPr="00483169">
        <w:rPr>
          <w:sz w:val="24"/>
          <w:lang w:val="pl-PL"/>
        </w:rPr>
        <w:t xml:space="preserve">Dz.U. L 140 z 27.5.2013, s. 1, ELI: </w:t>
      </w:r>
      <w:hyperlink r:id="rId8" w:tgtFrame="http://data.europa.eu/eli/reg/2013/472/oj" w:history="1">
        <w:r w:rsidRPr="00483169">
          <w:rPr>
            <w:rStyle w:val="Hyperlink"/>
            <w:sz w:val="24"/>
            <w:lang w:val="pl-PL"/>
          </w:rPr>
          <w:t>http://data.europa.eu/eli/reg/2013/472/oj</w:t>
        </w:r>
      </w:hyperlink>
      <w:r w:rsidRPr="00483169">
        <w:rPr>
          <w:sz w:val="24"/>
          <w:lang w:val="pl-PL"/>
        </w:rPr>
        <w:t>.</w:t>
      </w:r>
    </w:p>
  </w:footnote>
  <w:footnote w:id="9">
    <w:p w14:paraId="3E13E433" w14:textId="54467D8D" w:rsidR="00B86A79" w:rsidRPr="00483169" w:rsidRDefault="00B86A79" w:rsidP="00483169">
      <w:pPr>
        <w:pStyle w:val="FootnoteText"/>
        <w:ind w:left="567" w:hanging="567"/>
        <w:rPr>
          <w:sz w:val="24"/>
          <w:lang w:val="pl-PL"/>
        </w:rPr>
      </w:pPr>
      <w:r w:rsidRPr="00483169">
        <w:rPr>
          <w:sz w:val="24"/>
          <w:vertAlign w:val="superscript"/>
          <w:lang w:val="pl-PL"/>
        </w:rPr>
        <w:t>9</w:t>
      </w:r>
      <w:r w:rsidR="00483169" w:rsidRPr="00483169">
        <w:rPr>
          <w:sz w:val="24"/>
          <w:vertAlign w:val="superscript"/>
          <w:lang w:val="pl-PL"/>
        </w:rPr>
        <w:t xml:space="preserve"> </w:t>
      </w:r>
      <w:r w:rsidR="00483169" w:rsidRPr="00483169">
        <w:rPr>
          <w:sz w:val="24"/>
          <w:vertAlign w:val="superscript"/>
          <w:lang w:val="pl-PL"/>
        </w:rPr>
        <w:tab/>
      </w:r>
      <w:r w:rsidRPr="00483169">
        <w:rPr>
          <w:sz w:val="24"/>
          <w:lang w:val="pl-PL"/>
        </w:rPr>
        <w:t xml:space="preserve">Dz.U. L 140 z 27.5.2013, s. 11, ELI: </w:t>
      </w:r>
      <w:hyperlink r:id="rId9" w:tgtFrame="http://data.europa.eu/eli/reg/2013/473/oj" w:history="1">
        <w:r w:rsidRPr="00483169">
          <w:rPr>
            <w:rStyle w:val="Hyperlink"/>
            <w:sz w:val="24"/>
            <w:lang w:val="pl-PL"/>
          </w:rPr>
          <w:t>http://data.europa.eu/eli/reg/2013/473/oj</w:t>
        </w:r>
      </w:hyperlink>
      <w:r w:rsidRPr="00483169">
        <w:rPr>
          <w:sz w:val="24"/>
          <w:lang w:val="pl-PL"/>
        </w:rPr>
        <w:t>.</w:t>
      </w:r>
    </w:p>
  </w:footnote>
  <w:footnote w:id="10">
    <w:p w14:paraId="1C2655D1" w14:textId="7CFC6C71" w:rsidR="00B86A79" w:rsidRPr="00483169" w:rsidRDefault="00B86A79" w:rsidP="00483169">
      <w:pPr>
        <w:pStyle w:val="FootnoteText"/>
        <w:ind w:left="567" w:hanging="567"/>
        <w:rPr>
          <w:sz w:val="24"/>
          <w:lang w:val="pl-PL"/>
        </w:rPr>
      </w:pPr>
      <w:r w:rsidRPr="00483169">
        <w:rPr>
          <w:sz w:val="24"/>
          <w:vertAlign w:val="superscript"/>
          <w:lang w:val="pl-PL"/>
        </w:rPr>
        <w:t>10</w:t>
      </w:r>
      <w:r w:rsidR="00483169" w:rsidRPr="00483169">
        <w:rPr>
          <w:sz w:val="24"/>
          <w:vertAlign w:val="superscript"/>
          <w:lang w:val="pl-PL"/>
        </w:rPr>
        <w:t xml:space="preserve"> </w:t>
      </w:r>
      <w:r w:rsidR="00483169" w:rsidRPr="00483169">
        <w:rPr>
          <w:sz w:val="24"/>
          <w:vertAlign w:val="superscript"/>
          <w:lang w:val="pl-PL"/>
        </w:rPr>
        <w:tab/>
      </w:r>
      <w:r w:rsidRPr="00483169">
        <w:rPr>
          <w:sz w:val="24"/>
          <w:lang w:val="pl-PL"/>
        </w:rPr>
        <w:t>Komunikat Komisji z dnia 19 marca 2025 r. pt. „Unia oszczędności i inwestycji – Strategia na rzecz zwiększenia zamożności obywateli i konkurencyjności gospodarczej w UE” (COM(2025)0124).</w:t>
      </w:r>
    </w:p>
  </w:footnote>
  <w:footnote w:id="11">
    <w:p w14:paraId="05B6EBE0" w14:textId="798DE0A6" w:rsidR="00B86A79" w:rsidRPr="00483169" w:rsidRDefault="00B86A79" w:rsidP="00483169">
      <w:pPr>
        <w:pStyle w:val="FootnoteText"/>
        <w:ind w:left="567" w:hanging="567"/>
        <w:rPr>
          <w:sz w:val="24"/>
          <w:lang w:val="pl-PL"/>
        </w:rPr>
      </w:pPr>
      <w:r w:rsidRPr="00483169">
        <w:rPr>
          <w:sz w:val="24"/>
          <w:vertAlign w:val="superscript"/>
          <w:lang w:val="pl-PL"/>
        </w:rPr>
        <w:t>11</w:t>
      </w:r>
      <w:r w:rsidR="00483169" w:rsidRPr="00483169">
        <w:rPr>
          <w:sz w:val="24"/>
          <w:vertAlign w:val="superscript"/>
          <w:lang w:val="pl-PL"/>
        </w:rPr>
        <w:t xml:space="preserve"> </w:t>
      </w:r>
      <w:r w:rsidR="00483169" w:rsidRPr="00483169">
        <w:rPr>
          <w:sz w:val="24"/>
          <w:vertAlign w:val="superscript"/>
          <w:lang w:val="pl-PL"/>
        </w:rPr>
        <w:tab/>
      </w:r>
      <w:r w:rsidRPr="00483169">
        <w:rPr>
          <w:sz w:val="24"/>
          <w:lang w:val="pl-PL"/>
        </w:rPr>
        <w:t xml:space="preserve">Rozporządzenie Parlamentu Europejskiego i Rady (UE) 2024/1263 z dnia 29 kwietnia 2024 r. w sprawie skutecznej koordynacji polityk gospodarczych i w sprawie wielostronnego nadzoru budżetowego oraz uchylające rozporządzenie Rady (WE) nr 1466/97 (Dz.U. L, 2024/1263, 30.4.2024, ELI: </w:t>
      </w:r>
      <w:hyperlink r:id="rId10" w:tgtFrame="http://data.europa.eu/eli/reg/2024/1263/oj" w:history="1">
        <w:r w:rsidRPr="00483169">
          <w:rPr>
            <w:rStyle w:val="Hyperlink"/>
            <w:sz w:val="24"/>
            <w:lang w:val="pl-PL"/>
          </w:rPr>
          <w:t>http://data.europa.eu/eli/reg/2024/1263/oj</w:t>
        </w:r>
      </w:hyperlink>
      <w:r w:rsidRPr="00483169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EC3E2" w14:textId="77777777" w:rsidR="00064002" w:rsidRPr="0048316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976CC" w14:textId="77777777" w:rsidR="00064002" w:rsidRPr="0048316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4DC93" w14:textId="77777777" w:rsidR="00064002" w:rsidRPr="0048316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83960740">
    <w:abstractNumId w:val="9"/>
  </w:num>
  <w:num w:numId="2" w16cid:durableId="1254631340">
    <w:abstractNumId w:val="9"/>
  </w:num>
  <w:num w:numId="3" w16cid:durableId="2017029024">
    <w:abstractNumId w:val="7"/>
  </w:num>
  <w:num w:numId="4" w16cid:durableId="981353732">
    <w:abstractNumId w:val="7"/>
  </w:num>
  <w:num w:numId="5" w16cid:durableId="111093232">
    <w:abstractNumId w:val="6"/>
  </w:num>
  <w:num w:numId="6" w16cid:durableId="1386374713">
    <w:abstractNumId w:val="6"/>
  </w:num>
  <w:num w:numId="7" w16cid:durableId="1786458779">
    <w:abstractNumId w:val="5"/>
  </w:num>
  <w:num w:numId="8" w16cid:durableId="2079546351">
    <w:abstractNumId w:val="5"/>
  </w:num>
  <w:num w:numId="9" w16cid:durableId="719522599">
    <w:abstractNumId w:val="4"/>
  </w:num>
  <w:num w:numId="10" w16cid:durableId="1723945366">
    <w:abstractNumId w:val="4"/>
  </w:num>
  <w:num w:numId="11" w16cid:durableId="890649177">
    <w:abstractNumId w:val="8"/>
  </w:num>
  <w:num w:numId="12" w16cid:durableId="2117478048">
    <w:abstractNumId w:val="8"/>
  </w:num>
  <w:num w:numId="13" w16cid:durableId="1858931064">
    <w:abstractNumId w:val="3"/>
  </w:num>
  <w:num w:numId="14" w16cid:durableId="1044790547">
    <w:abstractNumId w:val="3"/>
  </w:num>
  <w:num w:numId="15" w16cid:durableId="666054067">
    <w:abstractNumId w:val="2"/>
  </w:num>
  <w:num w:numId="16" w16cid:durableId="501241816">
    <w:abstractNumId w:val="2"/>
  </w:num>
  <w:num w:numId="17" w16cid:durableId="691108995">
    <w:abstractNumId w:val="1"/>
  </w:num>
  <w:num w:numId="18" w16cid:durableId="1262763345">
    <w:abstractNumId w:val="1"/>
  </w:num>
  <w:num w:numId="19" w16cid:durableId="237323573">
    <w:abstractNumId w:val="0"/>
  </w:num>
  <w:num w:numId="20" w16cid:durableId="1383747319">
    <w:abstractNumId w:val="0"/>
  </w:num>
  <w:num w:numId="21" w16cid:durableId="353460610">
    <w:abstractNumId w:val="9"/>
  </w:num>
  <w:num w:numId="22" w16cid:durableId="36204287">
    <w:abstractNumId w:val="7"/>
  </w:num>
  <w:num w:numId="23" w16cid:durableId="620381893">
    <w:abstractNumId w:val="6"/>
  </w:num>
  <w:num w:numId="24" w16cid:durableId="1527401571">
    <w:abstractNumId w:val="5"/>
  </w:num>
  <w:num w:numId="25" w16cid:durableId="1982345060">
    <w:abstractNumId w:val="4"/>
  </w:num>
  <w:num w:numId="26" w16cid:durableId="1454402100">
    <w:abstractNumId w:val="8"/>
  </w:num>
  <w:num w:numId="27" w16cid:durableId="2100176839">
    <w:abstractNumId w:val="3"/>
  </w:num>
  <w:num w:numId="28" w16cid:durableId="2062710651">
    <w:abstractNumId w:val="2"/>
  </w:num>
  <w:num w:numId="29" w16cid:durableId="1361665126">
    <w:abstractNumId w:val="1"/>
  </w:num>
  <w:num w:numId="30" w16cid:durableId="866986710">
    <w:abstractNumId w:val="0"/>
  </w:num>
  <w:num w:numId="31" w16cid:durableId="741485318">
    <w:abstractNumId w:val="9"/>
  </w:num>
  <w:num w:numId="32" w16cid:durableId="364214702">
    <w:abstractNumId w:val="7"/>
  </w:num>
  <w:num w:numId="33" w16cid:durableId="1480075610">
    <w:abstractNumId w:val="6"/>
  </w:num>
  <w:num w:numId="34" w16cid:durableId="698775577">
    <w:abstractNumId w:val="5"/>
  </w:num>
  <w:num w:numId="35" w16cid:durableId="1105534888">
    <w:abstractNumId w:val="4"/>
  </w:num>
  <w:num w:numId="36" w16cid:durableId="306518458">
    <w:abstractNumId w:val="8"/>
  </w:num>
  <w:num w:numId="37" w16cid:durableId="499808309">
    <w:abstractNumId w:val="3"/>
  </w:num>
  <w:num w:numId="38" w16cid:durableId="370805118">
    <w:abstractNumId w:val="2"/>
  </w:num>
  <w:num w:numId="39" w16cid:durableId="382993257">
    <w:abstractNumId w:val="1"/>
  </w:num>
  <w:num w:numId="40" w16cid:durableId="116606994">
    <w:abstractNumId w:val="0"/>
  </w:num>
  <w:num w:numId="41" w16cid:durableId="726605746">
    <w:abstractNumId w:val="10"/>
  </w:num>
  <w:num w:numId="42" w16cid:durableId="284585458">
    <w:abstractNumId w:val="10"/>
  </w:num>
  <w:num w:numId="43" w16cid:durableId="892425127">
    <w:abstractNumId w:val="10"/>
  </w:num>
  <w:num w:numId="44" w16cid:durableId="12300741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6/2026"/>
    <w:docVar w:name="dvlangue" w:val="PL"/>
    <w:docVar w:name="dvnumam" w:val="47"/>
    <w:docVar w:name="dvpe" w:val="779.614"/>
    <w:docVar w:name="dvrapporteur" w:val="Sprawozdawca: "/>
    <w:docVar w:name="dvtitre" w:val="Rezolucja Parlamentu Europejskiego z dnia  2026 r. w sprawie europejskiego semestru na rzecz koordynacji polityki gospodarczej – 2026 r.(2025/2214(INI))"/>
  </w:docVars>
  <w:rsids>
    <w:rsidRoot w:val="00253718"/>
    <w:rsid w:val="00002272"/>
    <w:rsid w:val="00064002"/>
    <w:rsid w:val="000677B9"/>
    <w:rsid w:val="000831BA"/>
    <w:rsid w:val="000A42CC"/>
    <w:rsid w:val="000E3D36"/>
    <w:rsid w:val="000E7DD9"/>
    <w:rsid w:val="0010095E"/>
    <w:rsid w:val="00125B37"/>
    <w:rsid w:val="00187494"/>
    <w:rsid w:val="001F32AE"/>
    <w:rsid w:val="00253718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316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5EFC"/>
    <w:rsid w:val="007F2A00"/>
    <w:rsid w:val="00817416"/>
    <w:rsid w:val="00842779"/>
    <w:rsid w:val="00865F67"/>
    <w:rsid w:val="00881A7B"/>
    <w:rsid w:val="008840E5"/>
    <w:rsid w:val="00887B3E"/>
    <w:rsid w:val="008C2AC6"/>
    <w:rsid w:val="00927478"/>
    <w:rsid w:val="00930C23"/>
    <w:rsid w:val="0093193B"/>
    <w:rsid w:val="0093379E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6A7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15CF29"/>
  <w15:chartTrackingRefBased/>
  <w15:docId w15:val="{9FFDF2A2-91E5-4DB1-96E8-B26CD97D0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B86A79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B86A79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B86A79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B86A79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B86A79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B86A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13/472/oj" TargetMode="External"/><Relationship Id="rId3" Type="http://schemas.openxmlformats.org/officeDocument/2006/relationships/hyperlink" Target="http://data.europa.eu/eli/reg/2024/1264/oj" TargetMode="External"/><Relationship Id="rId7" Type="http://schemas.openxmlformats.org/officeDocument/2006/relationships/hyperlink" Target="http://data.europa.eu/eli/reg/2011/1176/oj" TargetMode="External"/><Relationship Id="rId2" Type="http://schemas.openxmlformats.org/officeDocument/2006/relationships/hyperlink" Target="http://data.europa.eu/eli/reg/2024/1263/oj" TargetMode="External"/><Relationship Id="rId1" Type="http://schemas.openxmlformats.org/officeDocument/2006/relationships/hyperlink" Target="http://data.europa.eu/eli/reg/2021/1119/oj" TargetMode="External"/><Relationship Id="rId6" Type="http://schemas.openxmlformats.org/officeDocument/2006/relationships/hyperlink" Target="http://data.europa.eu/eli/reg/2011/1174/oj" TargetMode="External"/><Relationship Id="rId5" Type="http://schemas.openxmlformats.org/officeDocument/2006/relationships/hyperlink" Target="http://data.europa.eu/eli/reg/2011/1173/oj" TargetMode="External"/><Relationship Id="rId10" Type="http://schemas.openxmlformats.org/officeDocument/2006/relationships/hyperlink" Target="http://data.europa.eu/eli/reg/2024/1263/oj" TargetMode="External"/><Relationship Id="rId4" Type="http://schemas.openxmlformats.org/officeDocument/2006/relationships/hyperlink" Target="http://data.europa.eu/eli/dir/2024/1265/oj" TargetMode="External"/><Relationship Id="rId9" Type="http://schemas.openxmlformats.org/officeDocument/2006/relationships/hyperlink" Target="http://data.europa.eu/eli/reg/2013/47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3865</Words>
  <Characters>25819</Characters>
  <Application>Microsoft Office Word</Application>
  <DocSecurity>0</DocSecurity>
  <Lines>215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2026-04-20T06:58:00Z</dcterms:created>
  <dcterms:modified xsi:type="dcterms:W3CDTF">2026-04-20T06:58:00Z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A10-0036/2026</vt:lpwstr>
  </property>
  <property fmtid="{D5CDD505-2E9C-101B-9397-08002B2CF9AE}" pid="4" name="&lt;Type&gt;">
    <vt:lpwstr>RR</vt:lpwstr>
  </property>
</Properties>
</file>