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0EF7" w14:paraId="1A8E03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5392FD" w14:textId="77777777" w:rsidR="00751A4A" w:rsidRPr="00F60EF7" w:rsidRDefault="00614288" w:rsidP="0010095E">
            <w:pPr>
              <w:pStyle w:val="EPName"/>
            </w:pPr>
            <w:r w:rsidRPr="00F60EF7">
              <w:t xml:space="preserve">Parlamento </w:t>
            </w:r>
            <w:proofErr w:type="gramStart"/>
            <w:r w:rsidRPr="00F60EF7">
              <w:t>Europeu</w:t>
            </w:r>
            <w:proofErr w:type="gramEnd"/>
          </w:p>
          <w:p w14:paraId="423AAECE" w14:textId="77777777" w:rsidR="00751A4A" w:rsidRPr="00F60E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0EF7">
              <w:t>2024</w:t>
            </w:r>
            <w:r w:rsidR="00817416" w:rsidRPr="00F60EF7">
              <w:t>-202</w:t>
            </w:r>
            <w:r w:rsidRPr="00F60EF7">
              <w:t>9</w:t>
            </w:r>
          </w:p>
        </w:tc>
        <w:tc>
          <w:tcPr>
            <w:tcW w:w="2268" w:type="dxa"/>
            <w:shd w:val="clear" w:color="auto" w:fill="auto"/>
          </w:tcPr>
          <w:p w14:paraId="6050E5D5" w14:textId="77777777" w:rsidR="00751A4A" w:rsidRPr="00F60EF7" w:rsidRDefault="00187494" w:rsidP="0010095E">
            <w:pPr>
              <w:pStyle w:val="EPLogo"/>
            </w:pPr>
            <w:r w:rsidRPr="00F60EF7">
              <w:rPr>
                <w:noProof/>
                <w:lang w:eastAsia="ja-JP"/>
              </w:rPr>
              <w:drawing>
                <wp:inline distT="0" distB="0" distL="0" distR="0" wp14:anchorId="1B584F0D" wp14:editId="25DD58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33DC9B" w14:textId="77777777" w:rsidR="00D058B8" w:rsidRPr="00F60EF7" w:rsidRDefault="00D058B8" w:rsidP="004C5D52">
      <w:pPr>
        <w:pStyle w:val="LineTop"/>
      </w:pPr>
    </w:p>
    <w:p w14:paraId="41A3150E" w14:textId="77777777" w:rsidR="00680577" w:rsidRPr="00F60EF7" w:rsidRDefault="00614288" w:rsidP="00680577">
      <w:pPr>
        <w:pStyle w:val="EPBodyTA1"/>
      </w:pPr>
      <w:r w:rsidRPr="00F60EF7">
        <w:t>TEXTOS APROVADOS</w:t>
      </w:r>
    </w:p>
    <w:p w14:paraId="286B7F65" w14:textId="77777777" w:rsidR="00D058B8" w:rsidRPr="00F60EF7" w:rsidRDefault="00D058B8" w:rsidP="00D058B8">
      <w:pPr>
        <w:pStyle w:val="LineBottom"/>
      </w:pPr>
    </w:p>
    <w:p w14:paraId="3F032035" w14:textId="59C3870E" w:rsidR="00614288" w:rsidRPr="00F60EF7" w:rsidRDefault="00614288" w:rsidP="00614288">
      <w:pPr>
        <w:pStyle w:val="ATHeading1"/>
      </w:pPr>
      <w:bookmarkStart w:id="0" w:name="TANumber"/>
      <w:r w:rsidRPr="00F60EF7">
        <w:t>P10_TA(2026)00</w:t>
      </w:r>
      <w:r w:rsidR="00E401FC" w:rsidRPr="00F60EF7">
        <w:t>7</w:t>
      </w:r>
      <w:bookmarkEnd w:id="0"/>
      <w:r w:rsidR="00565717" w:rsidRPr="00F60EF7">
        <w:t>5</w:t>
      </w:r>
    </w:p>
    <w:p w14:paraId="75F754E9" w14:textId="77777777" w:rsidR="00614288" w:rsidRPr="00F60EF7" w:rsidRDefault="00614288" w:rsidP="00614288">
      <w:pPr>
        <w:pStyle w:val="ATHeading2"/>
      </w:pPr>
      <w:bookmarkStart w:id="1" w:name="title"/>
      <w:r w:rsidRPr="00F60EF7">
        <w:t xml:space="preserve">Semestre </w:t>
      </w:r>
      <w:proofErr w:type="gramStart"/>
      <w:r w:rsidRPr="00F60EF7">
        <w:t>Europeu</w:t>
      </w:r>
      <w:proofErr w:type="gramEnd"/>
      <w:r w:rsidRPr="00F60EF7">
        <w:t xml:space="preserve"> para a coordenação das políticas económicas 2026</w:t>
      </w:r>
      <w:bookmarkEnd w:id="1"/>
    </w:p>
    <w:p w14:paraId="2C816FAC" w14:textId="77777777" w:rsidR="00614288" w:rsidRPr="00F60EF7" w:rsidRDefault="00614288" w:rsidP="00614288">
      <w:pPr>
        <w:rPr>
          <w:i/>
          <w:vanish/>
        </w:rPr>
      </w:pPr>
      <w:r w:rsidRPr="00F60EF7">
        <w:rPr>
          <w:i/>
        </w:rPr>
        <w:fldChar w:fldCharType="begin"/>
      </w:r>
      <w:r w:rsidRPr="00F60EF7">
        <w:rPr>
          <w:i/>
        </w:rPr>
        <w:instrText xml:space="preserve"> TC"(</w:instrText>
      </w:r>
      <w:bookmarkStart w:id="2" w:name="DocNumber"/>
      <w:r w:rsidRPr="00F60EF7">
        <w:rPr>
          <w:i/>
        </w:rPr>
        <w:instrText>A10-0036/2026</w:instrText>
      </w:r>
      <w:bookmarkEnd w:id="2"/>
      <w:r w:rsidRPr="00F60EF7">
        <w:rPr>
          <w:i/>
        </w:rPr>
        <w:instrText xml:space="preserve"> - Relator: Kira Marie Peter-Hansen)"\l3 \n&gt; \* MERGEFORMAT </w:instrText>
      </w:r>
      <w:r w:rsidRPr="00F60EF7">
        <w:rPr>
          <w:i/>
        </w:rPr>
        <w:fldChar w:fldCharType="end"/>
      </w:r>
    </w:p>
    <w:p w14:paraId="7CA5EB3A" w14:textId="77777777" w:rsidR="00614288" w:rsidRPr="00F60EF7" w:rsidRDefault="00614288" w:rsidP="00614288">
      <w:pPr>
        <w:rPr>
          <w:vanish/>
        </w:rPr>
      </w:pPr>
      <w:bookmarkStart w:id="3" w:name="Commission"/>
      <w:r w:rsidRPr="00F60EF7">
        <w:rPr>
          <w:vanish/>
        </w:rPr>
        <w:t>Comissão dos Assuntos Económicos e Monetários</w:t>
      </w:r>
      <w:bookmarkEnd w:id="3"/>
    </w:p>
    <w:p w14:paraId="043E16CC" w14:textId="77777777" w:rsidR="00614288" w:rsidRPr="00F60EF7" w:rsidRDefault="00614288" w:rsidP="00614288">
      <w:pPr>
        <w:rPr>
          <w:vanish/>
        </w:rPr>
      </w:pPr>
      <w:bookmarkStart w:id="4" w:name="PE"/>
      <w:r w:rsidRPr="00F60EF7">
        <w:rPr>
          <w:vanish/>
        </w:rPr>
        <w:t>PE779.614</w:t>
      </w:r>
      <w:bookmarkEnd w:id="4"/>
    </w:p>
    <w:p w14:paraId="78C0BE10" w14:textId="13A21159" w:rsidR="00614288" w:rsidRPr="00F60EF7" w:rsidRDefault="00614288" w:rsidP="00614288">
      <w:pPr>
        <w:pStyle w:val="ATHeading3"/>
      </w:pPr>
      <w:bookmarkStart w:id="5" w:name="Sujet"/>
      <w:r w:rsidRPr="00F60EF7">
        <w:t xml:space="preserve">Resolução do Parlamento Europeu, de </w:t>
      </w:r>
      <w:r w:rsidR="008713C0" w:rsidRPr="00F60EF7">
        <w:t>1</w:t>
      </w:r>
      <w:r w:rsidR="001F1BB9" w:rsidRPr="00F60EF7">
        <w:t>1</w:t>
      </w:r>
      <w:r w:rsidR="008713C0" w:rsidRPr="00F60EF7">
        <w:t xml:space="preserve"> </w:t>
      </w:r>
      <w:r w:rsidRPr="00F60EF7">
        <w:t xml:space="preserve">de </w:t>
      </w:r>
      <w:r w:rsidR="008713C0" w:rsidRPr="00F60EF7">
        <w:t xml:space="preserve">março </w:t>
      </w:r>
      <w:r w:rsidRPr="00F60EF7">
        <w:t>de 2026, sobre o Semestre Europeu para a coordenação das políticas económicas 2026</w:t>
      </w:r>
      <w:bookmarkEnd w:id="5"/>
      <w:r w:rsidRPr="00F60EF7">
        <w:t xml:space="preserve"> </w:t>
      </w:r>
      <w:bookmarkStart w:id="6" w:name="References"/>
      <w:r w:rsidRPr="00F60EF7">
        <w:t>(2025/2214(INI))</w:t>
      </w:r>
      <w:bookmarkEnd w:id="6"/>
    </w:p>
    <w:p w14:paraId="45512AC1" w14:textId="77777777" w:rsidR="0069767B" w:rsidRPr="00F60EF7" w:rsidRDefault="0069767B" w:rsidP="0069767B">
      <w:pPr>
        <w:pStyle w:val="Normal12"/>
      </w:pPr>
      <w:r w:rsidRPr="00F60EF7">
        <w:rPr>
          <w:i/>
          <w:iCs/>
        </w:rPr>
        <w:t>O Parlamento Europeu,</w:t>
      </w:r>
    </w:p>
    <w:p w14:paraId="55E20002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Tratado sobre o Funcionamento da União Europeia (TFUE), nomeadamente os artigos 121.º, 126.º e 136.º,</w:t>
      </w:r>
    </w:p>
    <w:p w14:paraId="5A273B05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Protocolo n.º 1 do Tratado da União Europeia (TUE) e do TFUE relativo ao papel dos Parlamentos nacionais na União Europeia,</w:t>
      </w:r>
    </w:p>
    <w:p w14:paraId="2E10170B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Protocolo n.º 2 do TUE e do TFUE relativo à aplicação dos princípios da subsidiariedade e da proporcionalidade,</w:t>
      </w:r>
    </w:p>
    <w:p w14:paraId="3A50CDE0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Acordo de Paris da Conferência das Partes na Convenção-Quadro das Nações Unidas sobre Alterações Climáticas, de 12 de dezembro de 2015, e os Objetivos de Desenvolvimento Sustentável das Nações Unidas,</w:t>
      </w:r>
    </w:p>
    <w:p w14:paraId="48F6CBCA" w14:textId="69F07AD1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Regulamento (UE) 2021/1119 do Parlamento Europeu e do Conselho, de 30 de junho de 2021, que cria o regime para alcançar a neutralidade climática e que altera os Regulamentos (CE) n.º 401/2009 e (UE) 2018/1999 («Lei europeia em matéria de clima»)</w:t>
      </w:r>
      <w:r w:rsidR="00455BC2" w:rsidRPr="00F60EF7">
        <w:rPr>
          <w:rStyle w:val="FootnoteReference"/>
        </w:rPr>
        <w:footnoteReference w:id="1"/>
      </w:r>
      <w:r w:rsidRPr="00F60EF7">
        <w:t>,</w:t>
      </w:r>
    </w:p>
    <w:p w14:paraId="3EF4CDD0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Protocolo n.º 12 do TUE e do TFUE sobre o procedimento relativo aos défices excessivos,</w:t>
      </w:r>
    </w:p>
    <w:p w14:paraId="50887EB3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Tratado sobre Estabilidade, Coordenação e Governação na União Económica e Monetária,</w:t>
      </w:r>
    </w:p>
    <w:p w14:paraId="1F718693" w14:textId="194D6805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 xml:space="preserve">Tendo em conta o Regulamento (UE) 2024/1263 do Parlamento Europeu e do Conselho, de 29 de abril de 2024, relativo à coordenação eficaz das políticas </w:t>
      </w:r>
      <w:r w:rsidRPr="00F60EF7">
        <w:lastRenderedPageBreak/>
        <w:t>económicas e à supervisão orçamental multilateral e que revoga o Regulamento (CE) n.º 1466/97 do Conselho</w:t>
      </w:r>
      <w:r w:rsidR="00455BC2" w:rsidRPr="00F60EF7">
        <w:rPr>
          <w:rStyle w:val="FootnoteReference"/>
        </w:rPr>
        <w:footnoteReference w:id="2"/>
      </w:r>
      <w:r w:rsidRPr="00F60EF7">
        <w:t>,</w:t>
      </w:r>
    </w:p>
    <w:p w14:paraId="61447E4E" w14:textId="1AA574ED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Regulamento (UE) 2024/1264 do Conselho, de 29 de abril de 2024, que altera o Regulamento (CE) n.º 1467/97 relativo à aceleração e clarificação da aplicação do procedimento relativo aos défices excessivos</w:t>
      </w:r>
      <w:r w:rsidR="00455BC2" w:rsidRPr="00F60EF7">
        <w:rPr>
          <w:rStyle w:val="FootnoteReference"/>
        </w:rPr>
        <w:footnoteReference w:id="3"/>
      </w:r>
      <w:r w:rsidRPr="00F60EF7">
        <w:t>,</w:t>
      </w:r>
    </w:p>
    <w:p w14:paraId="1BAE6C6D" w14:textId="7912BBFA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a Diretiva (UE) 2024/1265 do Conselho, de 29 de abril de 2024, que altera a Diretiva 2011/85/UE que estabelece requisitos aplicáveis aos quadros orçamentais dos Estados-Membros</w:t>
      </w:r>
      <w:r w:rsidR="00455BC2" w:rsidRPr="00F60EF7">
        <w:rPr>
          <w:rStyle w:val="FootnoteReference"/>
        </w:rPr>
        <w:footnoteReference w:id="4"/>
      </w:r>
      <w:r w:rsidRPr="00F60EF7">
        <w:t>,</w:t>
      </w:r>
    </w:p>
    <w:p w14:paraId="0D824F44" w14:textId="0F4534E5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Regulamento (UE) n.º 1173/2011 do Parlamento Europeu e do Conselho, de 16 de novembro de 2011, relativo ao exercício eficaz da supervisão orçamental na área do euro</w:t>
      </w:r>
      <w:r w:rsidR="00455BC2" w:rsidRPr="00F60EF7">
        <w:rPr>
          <w:rStyle w:val="FootnoteReference"/>
        </w:rPr>
        <w:footnoteReference w:id="5"/>
      </w:r>
      <w:r w:rsidRPr="00F60EF7">
        <w:t>,</w:t>
      </w:r>
    </w:p>
    <w:p w14:paraId="5B27A9FC" w14:textId="5D9C30A2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Regulamento (UE) n.º 1174/2011 do Parlamento Europeu e do Conselho, de 16 de novembro de 2011, relativo às medidas de execução destinadas a corrigir os desequilíbrios macroeconómicos excessivos na área do euro</w:t>
      </w:r>
      <w:r w:rsidR="00455BC2" w:rsidRPr="00F60EF7">
        <w:rPr>
          <w:rStyle w:val="FootnoteReference"/>
        </w:rPr>
        <w:footnoteReference w:id="6"/>
      </w:r>
      <w:r w:rsidRPr="00F60EF7">
        <w:t>,</w:t>
      </w:r>
    </w:p>
    <w:p w14:paraId="1BB110ED" w14:textId="3AEF7729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Regulamento (UE) n.º 1176/2011 do Parlamento Europeu e do Conselho, de 16 de novembro de 2011, sobre prevenção e correção dos desequilíbrios macroeconómicos</w:t>
      </w:r>
      <w:r w:rsidR="00455BC2" w:rsidRPr="00F60EF7">
        <w:rPr>
          <w:rStyle w:val="FootnoteReference"/>
        </w:rPr>
        <w:footnoteReference w:id="7"/>
      </w:r>
      <w:r w:rsidRPr="00F60EF7">
        <w:t>,</w:t>
      </w:r>
    </w:p>
    <w:p w14:paraId="72E3088B" w14:textId="53576CFC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Regulamento (UE) n.º 472/2013 do Parlamento Europeu e do Conselho, de 21 de maio de 2013, relativo ao reforço da supervisão económica e orçamental dos Estados-Membros da área do euro afetados ou ameaçados por graves dificuldades no que diz respeito à sua estabilidade financeira</w:t>
      </w:r>
      <w:r w:rsidR="00455BC2" w:rsidRPr="00F60EF7">
        <w:rPr>
          <w:rStyle w:val="FootnoteReference"/>
        </w:rPr>
        <w:footnoteReference w:id="8"/>
      </w:r>
      <w:r w:rsidRPr="00F60EF7">
        <w:t>,</w:t>
      </w:r>
    </w:p>
    <w:p w14:paraId="0ACBC266" w14:textId="172921F2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Regulamento (UE) n.º 473/2013 do Parlamento Europeu e do Conselho, de 21 de maio de 2013, que estabelece disposições comuns para o acompanhamento e a avaliação dos projetos de planos orçamentais e para a correção do défice excessivo dos Estados-Membros da área do euro</w:t>
      </w:r>
      <w:r w:rsidR="00455BC2" w:rsidRPr="00F60EF7">
        <w:rPr>
          <w:rStyle w:val="FootnoteReference"/>
        </w:rPr>
        <w:footnoteReference w:id="9"/>
      </w:r>
      <w:r w:rsidRPr="00F60EF7">
        <w:t>,</w:t>
      </w:r>
    </w:p>
    <w:p w14:paraId="45ED66F2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as previsões económicas da primavera da Comissão para 2025, de 19 de maio de 2025,</w:t>
      </w:r>
    </w:p>
    <w:p w14:paraId="3F932BFA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as previsões económicas do outono da Comissão para 2025, de 17 de novembro de 2025,</w:t>
      </w:r>
    </w:p>
    <w:p w14:paraId="0C0AFC67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pacote de outono do Semestre Europeu para 2026 da Comissão, de 25 de novembro de 2025,</w:t>
      </w:r>
    </w:p>
    <w:p w14:paraId="1C81A215" w14:textId="77777777" w:rsidR="0069767B" w:rsidRPr="00F60EF7" w:rsidRDefault="0069767B" w:rsidP="0069767B">
      <w:pPr>
        <w:pStyle w:val="NormalHanging"/>
      </w:pPr>
      <w:r w:rsidRPr="00F60EF7">
        <w:lastRenderedPageBreak/>
        <w:t>–</w:t>
      </w:r>
      <w:r w:rsidRPr="00F60EF7">
        <w:tab/>
        <w:t>Tendo em conta o relatório da Comissão, de 17 de março de 2025, intitulado «</w:t>
      </w:r>
      <w:proofErr w:type="spellStart"/>
      <w:r w:rsidRPr="00F60EF7">
        <w:t>Debt</w:t>
      </w:r>
      <w:proofErr w:type="spellEnd"/>
      <w:r w:rsidRPr="00F60EF7">
        <w:t xml:space="preserve"> </w:t>
      </w:r>
      <w:proofErr w:type="spellStart"/>
      <w:r w:rsidRPr="00F60EF7">
        <w:t>Sustainability</w:t>
      </w:r>
      <w:proofErr w:type="spellEnd"/>
      <w:r w:rsidRPr="00F60EF7">
        <w:t xml:space="preserve"> Monitor 2024» [relatório sobre a sustentabilidade da dívida de 2023],</w:t>
      </w:r>
    </w:p>
    <w:p w14:paraId="3433CEFB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a Comunicação da Comissão, de 19 de março de 2025, intitulada «</w:t>
      </w:r>
      <w:proofErr w:type="spellStart"/>
      <w:r w:rsidRPr="00F60EF7">
        <w:t>Accommodating</w:t>
      </w:r>
      <w:proofErr w:type="spellEnd"/>
      <w:r w:rsidRPr="00F60EF7">
        <w:t xml:space="preserve"> </w:t>
      </w:r>
      <w:proofErr w:type="spellStart"/>
      <w:r w:rsidRPr="00F60EF7">
        <w:t>increased</w:t>
      </w:r>
      <w:proofErr w:type="spellEnd"/>
      <w:r w:rsidRPr="00F60EF7">
        <w:t xml:space="preserve"> </w:t>
      </w:r>
      <w:proofErr w:type="spellStart"/>
      <w:r w:rsidRPr="00F60EF7">
        <w:t>defence</w:t>
      </w:r>
      <w:proofErr w:type="spellEnd"/>
      <w:r w:rsidRPr="00F60EF7">
        <w:t xml:space="preserve"> </w:t>
      </w:r>
      <w:proofErr w:type="spellStart"/>
      <w:r w:rsidRPr="00F60EF7">
        <w:t>expenditure</w:t>
      </w:r>
      <w:proofErr w:type="spellEnd"/>
      <w:r w:rsidRPr="00F60EF7">
        <w:t xml:space="preserve"> </w:t>
      </w:r>
      <w:proofErr w:type="spellStart"/>
      <w:r w:rsidRPr="00F60EF7">
        <w:t>within</w:t>
      </w:r>
      <w:proofErr w:type="spellEnd"/>
      <w:r w:rsidRPr="00F60EF7">
        <w:t xml:space="preserve"> </w:t>
      </w:r>
      <w:proofErr w:type="spellStart"/>
      <w:r w:rsidRPr="00F60EF7">
        <w:t>the</w:t>
      </w:r>
      <w:proofErr w:type="spellEnd"/>
      <w:r w:rsidRPr="00F60EF7">
        <w:t xml:space="preserve"> </w:t>
      </w:r>
      <w:proofErr w:type="spellStart"/>
      <w:r w:rsidRPr="00F60EF7">
        <w:t>Stability</w:t>
      </w:r>
      <w:proofErr w:type="spellEnd"/>
      <w:r w:rsidRPr="00F60EF7">
        <w:t xml:space="preserve"> </w:t>
      </w:r>
      <w:proofErr w:type="spellStart"/>
      <w:r w:rsidRPr="00F60EF7">
        <w:t>and</w:t>
      </w:r>
      <w:proofErr w:type="spellEnd"/>
      <w:r w:rsidRPr="00F60EF7">
        <w:t xml:space="preserve"> </w:t>
      </w:r>
      <w:proofErr w:type="spellStart"/>
      <w:r w:rsidRPr="00F60EF7">
        <w:t>Growth</w:t>
      </w:r>
      <w:proofErr w:type="spellEnd"/>
      <w:r w:rsidRPr="00F60EF7">
        <w:t xml:space="preserve"> </w:t>
      </w:r>
      <w:proofErr w:type="spellStart"/>
      <w:r w:rsidRPr="00F60EF7">
        <w:t>Pact</w:t>
      </w:r>
      <w:proofErr w:type="spellEnd"/>
      <w:r w:rsidRPr="00F60EF7">
        <w:t>» [Integração de um aumento das despesas com a defesa no Pacto de Estabilidade e Crescimento] (C(2025)2000),</w:t>
      </w:r>
    </w:p>
    <w:p w14:paraId="4298345F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relatório anual de 2025 do Conselho Orçamental Europeu, publicado em 22 de outubro de 2025,</w:t>
      </w:r>
    </w:p>
    <w:p w14:paraId="641DFB66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 xml:space="preserve">Tendo em conta o relatório de </w:t>
      </w:r>
      <w:proofErr w:type="spellStart"/>
      <w:r w:rsidRPr="00F60EF7">
        <w:t>Mario</w:t>
      </w:r>
      <w:proofErr w:type="spellEnd"/>
      <w:r w:rsidRPr="00F60EF7">
        <w:t> </w:t>
      </w:r>
      <w:proofErr w:type="spellStart"/>
      <w:r w:rsidRPr="00F60EF7">
        <w:t>Draghi</w:t>
      </w:r>
      <w:proofErr w:type="spellEnd"/>
      <w:r w:rsidRPr="00F60EF7">
        <w:t>, de 9 de setembro de 2024, intitulado «</w:t>
      </w:r>
      <w:proofErr w:type="spellStart"/>
      <w:r w:rsidRPr="00F60EF7">
        <w:t>The</w:t>
      </w:r>
      <w:proofErr w:type="spellEnd"/>
      <w:r w:rsidRPr="00F60EF7">
        <w:t xml:space="preserve"> future </w:t>
      </w:r>
      <w:proofErr w:type="spellStart"/>
      <w:r w:rsidRPr="00F60EF7">
        <w:t>of</w:t>
      </w:r>
      <w:proofErr w:type="spellEnd"/>
      <w:r w:rsidRPr="00F60EF7">
        <w:t xml:space="preserve"> </w:t>
      </w:r>
      <w:proofErr w:type="spellStart"/>
      <w:r w:rsidRPr="00F60EF7">
        <w:t>European</w:t>
      </w:r>
      <w:proofErr w:type="spellEnd"/>
      <w:r w:rsidRPr="00F60EF7">
        <w:t xml:space="preserve"> </w:t>
      </w:r>
      <w:proofErr w:type="spellStart"/>
      <w:r w:rsidRPr="00F60EF7">
        <w:t>competitiveness</w:t>
      </w:r>
      <w:proofErr w:type="spellEnd"/>
      <w:r w:rsidRPr="00F60EF7">
        <w:t xml:space="preserve">» [O futuro da competitividade europeia] (relatório </w:t>
      </w:r>
      <w:proofErr w:type="spellStart"/>
      <w:r w:rsidRPr="00F60EF7">
        <w:t>Draghi</w:t>
      </w:r>
      <w:proofErr w:type="spellEnd"/>
      <w:r w:rsidRPr="00F60EF7">
        <w:t>),</w:t>
      </w:r>
    </w:p>
    <w:p w14:paraId="6D425E8E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a Comunicação conjunta da Comissão e do Alto Representante da União para os Negócios Estrangeiros e a Política de Segurança, de 19 de março de 2025, intitulada «Livro Branco Conjunto sobre a Prontidão da Defesa Europeia 2030» (JOIN(2025)0120),</w:t>
      </w:r>
    </w:p>
    <w:p w14:paraId="26325A02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relatório do Centro Comum de Investigação intitulado «</w:t>
      </w:r>
      <w:proofErr w:type="spellStart"/>
      <w:r w:rsidRPr="00F60EF7">
        <w:t>Measuring</w:t>
      </w:r>
      <w:proofErr w:type="spellEnd"/>
      <w:r w:rsidRPr="00F60EF7">
        <w:t xml:space="preserve"> </w:t>
      </w:r>
      <w:proofErr w:type="spellStart"/>
      <w:r w:rsidRPr="00F60EF7">
        <w:t>sustainable</w:t>
      </w:r>
      <w:proofErr w:type="spellEnd"/>
      <w:r w:rsidRPr="00F60EF7">
        <w:t xml:space="preserve"> </w:t>
      </w:r>
      <w:proofErr w:type="spellStart"/>
      <w:r w:rsidRPr="00F60EF7">
        <w:t>and</w:t>
      </w:r>
      <w:proofErr w:type="spellEnd"/>
      <w:r w:rsidRPr="00F60EF7">
        <w:t xml:space="preserve"> inclusive </w:t>
      </w:r>
      <w:proofErr w:type="spellStart"/>
      <w:r w:rsidRPr="00F60EF7">
        <w:t>wellbeing</w:t>
      </w:r>
      <w:proofErr w:type="spellEnd"/>
      <w:r w:rsidRPr="00F60EF7">
        <w:t xml:space="preserve">: a multidimensional </w:t>
      </w:r>
      <w:proofErr w:type="spellStart"/>
      <w:r w:rsidRPr="00F60EF7">
        <w:t>dashboard</w:t>
      </w:r>
      <w:proofErr w:type="spellEnd"/>
      <w:r w:rsidRPr="00F60EF7">
        <w:t xml:space="preserve"> </w:t>
      </w:r>
      <w:proofErr w:type="spellStart"/>
      <w:r w:rsidRPr="00F60EF7">
        <w:t>approach</w:t>
      </w:r>
      <w:proofErr w:type="spellEnd"/>
      <w:r w:rsidRPr="00F60EF7">
        <w:t>» [Medir o bem-estar sustentável e inclusivo: uma abordagem multidimensional], publicado em 28 de janeiro de 2025,</w:t>
      </w:r>
    </w:p>
    <w:p w14:paraId="74B3D245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a Proclamação Interinstitucional sobre o Pilar Europeu dos Direitos Sociais, de 13 de dezembro de 2017,</w:t>
      </w:r>
    </w:p>
    <w:p w14:paraId="31968F36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 xml:space="preserve">Tendo em conta a Declaração de La </w:t>
      </w:r>
      <w:proofErr w:type="spellStart"/>
      <w:r w:rsidRPr="00F60EF7">
        <w:t>Hulpe</w:t>
      </w:r>
      <w:proofErr w:type="spellEnd"/>
      <w:r w:rsidRPr="00F60EF7">
        <w:t xml:space="preserve"> sobre o futuro do Pilar Europeu dos Direitos Sociais, de 16 de abril de 2024,</w:t>
      </w:r>
    </w:p>
    <w:p w14:paraId="7800E50D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Compromisso Social do Porto, assumido em 7 de maio de 2021 pelo Conselho, pela Comissão, pelo Parlamento e pelos parceiros sociais,</w:t>
      </w:r>
    </w:p>
    <w:p w14:paraId="55602D24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artigo 55.º do seu Regimento,</w:t>
      </w:r>
    </w:p>
    <w:p w14:paraId="65B09D03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parecer da Comissão dos Orçamentos,</w:t>
      </w:r>
    </w:p>
    <w:p w14:paraId="43845B40" w14:textId="77777777" w:rsidR="0069767B" w:rsidRPr="00F60EF7" w:rsidRDefault="0069767B" w:rsidP="0069767B">
      <w:pPr>
        <w:pStyle w:val="NormalHanging"/>
      </w:pPr>
      <w:r w:rsidRPr="00F60EF7">
        <w:t>–</w:t>
      </w:r>
      <w:r w:rsidRPr="00F60EF7">
        <w:tab/>
        <w:t>Tendo em conta o relatório da Comissão dos Assuntos Económicos e Monetários (A10-0036/2026),</w:t>
      </w:r>
    </w:p>
    <w:p w14:paraId="47AD73F3" w14:textId="77777777" w:rsidR="0069767B" w:rsidRPr="00F60EF7" w:rsidRDefault="0069767B" w:rsidP="0069767B">
      <w:pPr>
        <w:pStyle w:val="NormalHanging"/>
      </w:pPr>
      <w:r w:rsidRPr="00F60EF7">
        <w:t>A.</w:t>
      </w:r>
      <w:r w:rsidRPr="00F60EF7">
        <w:tab/>
        <w:t>Considerando que o Semestre Europeu desempenha um papel essencial na coordenação e no alinhamento das políticas económicas e orçamentais nos Estados-Membros, com vista a salvaguardar a estabilidade macroeconómica da União Económica e Monetária e a alcançar uma transição socialmente justa para uma economia sustentável;</w:t>
      </w:r>
    </w:p>
    <w:p w14:paraId="644618FA" w14:textId="77777777" w:rsidR="0069767B" w:rsidRPr="00F60EF7" w:rsidRDefault="0069767B" w:rsidP="0069767B">
      <w:pPr>
        <w:pStyle w:val="NormalHanging"/>
      </w:pPr>
      <w:r w:rsidRPr="00F60EF7">
        <w:t>B.</w:t>
      </w:r>
      <w:r w:rsidRPr="00F60EF7">
        <w:tab/>
        <w:t>Considerando que as recomendações do Semestre Europeu em 2026 desempenharão um papel essencial na conceção dos planos de parceria nacionais e regionais, a elaborar pelos Estados-Membros;</w:t>
      </w:r>
    </w:p>
    <w:p w14:paraId="703917A4" w14:textId="77777777" w:rsidR="0069767B" w:rsidRPr="00F60EF7" w:rsidRDefault="0069767B" w:rsidP="0069767B">
      <w:pPr>
        <w:pStyle w:val="NormalHanging"/>
      </w:pPr>
      <w:r w:rsidRPr="00F60EF7">
        <w:lastRenderedPageBreak/>
        <w:t>C.</w:t>
      </w:r>
      <w:r w:rsidRPr="00F60EF7">
        <w:tab/>
        <w:t>Considerando que as recomendações específicas por país (REP) no âmbito do Semestre Europeu incluem regularmente cortes nas despesas sociais, ao passo que raramente dão resposta ao aumento das receitas;</w:t>
      </w:r>
    </w:p>
    <w:p w14:paraId="594CF333" w14:textId="77777777" w:rsidR="0069767B" w:rsidRPr="00F60EF7" w:rsidRDefault="0069767B" w:rsidP="0069767B">
      <w:pPr>
        <w:pStyle w:val="NormalHanging"/>
      </w:pPr>
      <w:r w:rsidRPr="00F60EF7">
        <w:t>D.</w:t>
      </w:r>
      <w:r w:rsidRPr="00F60EF7">
        <w:tab/>
        <w:t>Considerando que as perspetivas económicas continuam a ser incertas, nomeadamente devido à invasão da Ucrânia pela Rússia e à incerteza gerada pelas políticas protecionistas, pelos direitos aduaneiros e pelas tensões comerciais, têm com um efeito negativo na economia;</w:t>
      </w:r>
    </w:p>
    <w:p w14:paraId="781AD8D8" w14:textId="77777777" w:rsidR="0069767B" w:rsidRPr="00F60EF7" w:rsidRDefault="0069767B" w:rsidP="0069767B">
      <w:pPr>
        <w:pStyle w:val="NormalHanging"/>
      </w:pPr>
      <w:r w:rsidRPr="00F60EF7">
        <w:t>E.</w:t>
      </w:r>
      <w:r w:rsidRPr="00F60EF7">
        <w:tab/>
        <w:t>Considerando que, segundo as previsões económicas do outono de 2025 da Comissão, o crescimento do PIB na UE deverá aproximar-se do crescimento potencial, estando o pleno emprego e a inflação próximos do nível da meta, embora a inflação continue elevada em alguns Estados-Membros;</w:t>
      </w:r>
    </w:p>
    <w:p w14:paraId="38FDD732" w14:textId="40CDCA84" w:rsidR="0069767B" w:rsidRPr="00F60EF7" w:rsidRDefault="0069767B" w:rsidP="0069767B">
      <w:pPr>
        <w:pStyle w:val="NormalHanging"/>
      </w:pPr>
      <w:r w:rsidRPr="00F60EF7">
        <w:t>F.</w:t>
      </w:r>
      <w:r w:rsidRPr="00F60EF7">
        <w:tab/>
        <w:t>Considerando que, para a UE no seu conjunto, a Comissão prevê um crescimento entre 1,4 % e 1,5 % no período de 2025 a 2027, ao passo que, na área do euro, a dinâmica deverá ser inferior (de 1,2 % a 1,4 %)</w:t>
      </w:r>
      <w:r w:rsidR="001F1BB9" w:rsidRPr="00F60EF7">
        <w:t>; considerando que</w:t>
      </w:r>
      <w:r w:rsidRPr="00F60EF7">
        <w:t xml:space="preserve"> o crescimento potencial na UE deverá diminuir de cerca de 1,5 % em 2024 para 1,3 % em 2027 (na área do euro, de 1,4 % para 1,2 %), principalmente devido a tendências demográficas desfavoráveis;</w:t>
      </w:r>
    </w:p>
    <w:p w14:paraId="7D357566" w14:textId="2070435B" w:rsidR="0069767B" w:rsidRPr="00F60EF7" w:rsidRDefault="0069767B" w:rsidP="0069767B">
      <w:pPr>
        <w:pStyle w:val="NormalHanging"/>
      </w:pPr>
      <w:r w:rsidRPr="00F60EF7">
        <w:t>G.</w:t>
      </w:r>
      <w:r w:rsidRPr="00F60EF7">
        <w:tab/>
        <w:t xml:space="preserve">Considerando que a UE tem necessidades de investimento avassaladoras, nomeadamente investimentos anuais adicionais de 800 mil milhões de EUR, os quais o relatório </w:t>
      </w:r>
      <w:proofErr w:type="spellStart"/>
      <w:r w:rsidRPr="00F60EF7">
        <w:t>Draghi</w:t>
      </w:r>
      <w:proofErr w:type="spellEnd"/>
      <w:r w:rsidRPr="00F60EF7">
        <w:t xml:space="preserve"> considera necessários para impulsionar a competitividade e a produtividade da Europa, incluindo 450 mil milhões de EUR apenas para a transição energética, dos quais 260 mil milhões de EUR deverão provir do setor público, segundo o Instituto Rousseau</w:t>
      </w:r>
      <w:r w:rsidR="001F1BB9" w:rsidRPr="00F60EF7">
        <w:t>; considerando que</w:t>
      </w:r>
      <w:r w:rsidRPr="00F60EF7">
        <w:t xml:space="preserve"> estão previstos investimentos adicionais de mais 800 mil milhões de EUR, para despesas com a defesa no âmbito do Plano </w:t>
      </w:r>
      <w:proofErr w:type="spellStart"/>
      <w:r w:rsidRPr="00F60EF7">
        <w:t>ReArm</w:t>
      </w:r>
      <w:proofErr w:type="spellEnd"/>
      <w:r w:rsidRPr="00F60EF7">
        <w:t> </w:t>
      </w:r>
      <w:proofErr w:type="spellStart"/>
      <w:r w:rsidRPr="00F60EF7">
        <w:t>Europe</w:t>
      </w:r>
      <w:proofErr w:type="spellEnd"/>
      <w:r w:rsidRPr="00F60EF7">
        <w:t>/Prontidão 2030</w:t>
      </w:r>
      <w:r w:rsidR="001F1BB9" w:rsidRPr="00F60EF7">
        <w:t>; considerando que</w:t>
      </w:r>
      <w:r w:rsidRPr="00F60EF7">
        <w:t xml:space="preserve"> estes objetivos de investimento carecem de novos recursos próprios correspondentes, deixando a União sem a capacidade orçamental necessária para cumprir os seus objetivos declarados</w:t>
      </w:r>
      <w:r w:rsidR="001F1BB9" w:rsidRPr="00F60EF7">
        <w:t>; considerando que</w:t>
      </w:r>
      <w:r w:rsidRPr="00F60EF7">
        <w:t xml:space="preserve"> estas necessidades não podem ser supridas apenas com financiamento público;</w:t>
      </w:r>
    </w:p>
    <w:p w14:paraId="06E5BAE7" w14:textId="77777777" w:rsidR="0069767B" w:rsidRPr="00F60EF7" w:rsidRDefault="0069767B" w:rsidP="0069767B">
      <w:pPr>
        <w:pStyle w:val="NormalHanging"/>
      </w:pPr>
      <w:r w:rsidRPr="00F60EF7">
        <w:t>H.</w:t>
      </w:r>
      <w:r w:rsidRPr="00F60EF7">
        <w:tab/>
        <w:t xml:space="preserve">Considerando que a UE enfrenta grandes desafios, que vão desde as ameaças persistentes nas suas fronteiras orientais relacionadas com a guerra de agressão da Rússia contra a Ucrânia até à instabilidade geopolítica e à incerteza comercial, </w:t>
      </w:r>
      <w:proofErr w:type="gramStart"/>
      <w:r w:rsidRPr="00F60EF7">
        <w:t>ao mesmo tempo que</w:t>
      </w:r>
      <w:proofErr w:type="gramEnd"/>
      <w:r w:rsidRPr="00F60EF7">
        <w:t xml:space="preserve"> subsistem desafios de longa data, como as transições ecológica e digital;</w:t>
      </w:r>
    </w:p>
    <w:p w14:paraId="363FD250" w14:textId="3684AABD" w:rsidR="0069767B" w:rsidRPr="00F60EF7" w:rsidRDefault="0069767B" w:rsidP="0069767B">
      <w:pPr>
        <w:pStyle w:val="NormalHanging"/>
      </w:pPr>
      <w:r w:rsidRPr="00F60EF7">
        <w:t>I.</w:t>
      </w:r>
      <w:r w:rsidRPr="00F60EF7">
        <w:tab/>
        <w:t>Considerando que o TFUE estabelece valores de referência de até 3 % para o défice orçamental e de 60 % para o rácio dívida/PIB</w:t>
      </w:r>
      <w:r w:rsidR="001F1BB9" w:rsidRPr="00F60EF7">
        <w:t>; considerando que</w:t>
      </w:r>
      <w:r w:rsidRPr="00F60EF7">
        <w:t xml:space="preserve"> o défice nominal da UE e o rácio dívida pública/PIB permanecem acima dos valores de referência</w:t>
      </w:r>
      <w:r w:rsidR="001F1BB9" w:rsidRPr="00F60EF7">
        <w:t>; considerando que</w:t>
      </w:r>
      <w:r w:rsidRPr="00F60EF7">
        <w:t xml:space="preserve"> tanto o défice nominal como o rácio dívida pública/PIB variam em toda a UE e que as situações divergem de forma notória entre os Estados-Membros;</w:t>
      </w:r>
    </w:p>
    <w:p w14:paraId="497408D9" w14:textId="77777777" w:rsidR="0069767B" w:rsidRPr="00F60EF7" w:rsidRDefault="0069767B" w:rsidP="0069767B">
      <w:pPr>
        <w:pStyle w:val="NormalHanging"/>
      </w:pPr>
      <w:r w:rsidRPr="00F60EF7">
        <w:t>J.</w:t>
      </w:r>
      <w:r w:rsidRPr="00F60EF7">
        <w:tab/>
        <w:t>Considerando que o Conselho não lançou quaisquer procedimentos relativos a desequilíbrios macroeconómicos excessivos desde que estes procedimentos foram criados, em 2011;</w:t>
      </w:r>
    </w:p>
    <w:p w14:paraId="0384591C" w14:textId="1A96EEE0" w:rsidR="0069767B" w:rsidRPr="00F60EF7" w:rsidRDefault="0069767B" w:rsidP="0069767B">
      <w:pPr>
        <w:pStyle w:val="NormalHanging"/>
      </w:pPr>
      <w:r w:rsidRPr="00F60EF7">
        <w:t>K.</w:t>
      </w:r>
      <w:r w:rsidRPr="00F60EF7">
        <w:tab/>
        <w:t xml:space="preserve">Considerando que a atual Comissão está empenhada em ser uma «Comissão do investimento» e conta com o apoio do Parlamento, enquanto colegislador, para tomar </w:t>
      </w:r>
      <w:r w:rsidRPr="00F60EF7">
        <w:lastRenderedPageBreak/>
        <w:t>medidas importantes destinadas a impulsionar o investimento da UE para um nível proporcional às necessidades das transições ecológica e digital</w:t>
      </w:r>
      <w:r w:rsidR="001F1BB9" w:rsidRPr="00F60EF7">
        <w:t>; considerando que</w:t>
      </w:r>
      <w:r w:rsidRPr="00F60EF7">
        <w:t xml:space="preserve"> a Comissão ainda não apresentou uma resposta adequada aos avultados requisitos de investimento da União, especialmente tendo em conta que o Mecanismo de Recuperação e Resiliência (MRR) terminará no final de 2026;</w:t>
      </w:r>
    </w:p>
    <w:p w14:paraId="075B2659" w14:textId="2B56D587" w:rsidR="0069767B" w:rsidRPr="00F60EF7" w:rsidRDefault="0069767B" w:rsidP="0069767B">
      <w:pPr>
        <w:pStyle w:val="NormalHanging"/>
      </w:pPr>
      <w:r w:rsidRPr="00F60EF7">
        <w:t>L.</w:t>
      </w:r>
      <w:r w:rsidRPr="00F60EF7">
        <w:tab/>
        <w:t>Considerando que crises passadas, incluindo a pandemia de COVID-19, demonstraram que uma resposta europeia comum e coordenada reforça a União</w:t>
      </w:r>
      <w:r w:rsidR="001F1BB9" w:rsidRPr="00F60EF7">
        <w:t>; considerando que</w:t>
      </w:r>
      <w:r w:rsidRPr="00F60EF7">
        <w:t>, num ambiente geoeconómico competitivo, a Europa só pode salvaguardar os seus interesses e valores através da unidade, salientando a necessidade de quadros de política macroeconómica sólidos e de uma coordenação ainda mais estreita das políticas económicas e sociais através do Semestre Europeu;</w:t>
      </w:r>
    </w:p>
    <w:p w14:paraId="4EDAC706" w14:textId="77777777" w:rsidR="0069767B" w:rsidRPr="00F60EF7" w:rsidRDefault="0069767B" w:rsidP="0069767B">
      <w:pPr>
        <w:pStyle w:val="Normal12a"/>
      </w:pPr>
      <w:r w:rsidRPr="00F60EF7">
        <w:rPr>
          <w:b/>
          <w:i/>
        </w:rPr>
        <w:t>Perspetivas económicas da UE</w:t>
      </w:r>
    </w:p>
    <w:p w14:paraId="3A120ED7" w14:textId="77777777" w:rsidR="0069767B" w:rsidRPr="00F60EF7" w:rsidRDefault="0069767B" w:rsidP="0069767B">
      <w:pPr>
        <w:pStyle w:val="NormalHanging12a"/>
      </w:pPr>
      <w:r w:rsidRPr="00F60EF7">
        <w:t>1.</w:t>
      </w:r>
      <w:r w:rsidRPr="00F60EF7">
        <w:tab/>
        <w:t>Observa que, nos últimos cinco anos, a UE enfrentou grandes desafios, incluindo o surto da pandemia de COVID-19 e a guerra ilegal e injustificada da Rússia contra a Ucrânia, que tiveram impactos económicos consideráveis; toma nota da rapidez e do impacto das iniciativas e dos instrumentos à escala da UE para fazer face às consequências económicas e sociais dos choques externos, em particular o MRR e o Instrumento Europeu de Apoio Temporário para Atenuar os Riscos de Desemprego numa Emergência (SURE);</w:t>
      </w:r>
    </w:p>
    <w:p w14:paraId="61D029E4" w14:textId="77777777" w:rsidR="0069767B" w:rsidRPr="00F60EF7" w:rsidRDefault="0069767B" w:rsidP="0069767B">
      <w:pPr>
        <w:pStyle w:val="NormalHanging12a"/>
      </w:pPr>
      <w:r w:rsidRPr="00F60EF7">
        <w:t>2.</w:t>
      </w:r>
      <w:r w:rsidRPr="00F60EF7">
        <w:tab/>
        <w:t>Observa que, segundo as previsões económicas do outono de 2025 da Comissão, publicadas em 17 de novembro de 2025, o PIB da UE deverá aumentar 1,4 % em 2025, em comparação com 2024, e 1,4 % em 2026; constata que, com base nestas previsões, as expectativas de crescimento da UE ainda estão aquém das dos Estados Unidos e da China; frisa que, apesar dos grandes desafios, a área do euro e a UE demonstraram resiliência;</w:t>
      </w:r>
    </w:p>
    <w:p w14:paraId="09E3FD3A" w14:textId="77777777" w:rsidR="0069767B" w:rsidRPr="00F60EF7" w:rsidRDefault="0069767B" w:rsidP="0069767B">
      <w:pPr>
        <w:pStyle w:val="NormalHanging12a"/>
      </w:pPr>
      <w:r w:rsidRPr="00F60EF7">
        <w:t>3.</w:t>
      </w:r>
      <w:r w:rsidRPr="00F60EF7">
        <w:tab/>
        <w:t>Observa que o crescimento potencial, que marca a taxa de crescimento que uma economia pode manter sem uma inflação excessiva, deverá diminuir de 1,5 % em 2024 para 1,3 % em 2027 na UE e de 1,4 % para 1,2 % na área do euro, à medida que o crescimento da população em idade ativa abranda; considera que estes níveis de crescimento potencial são demasiado baixos para superar os desafios que a economia europeia terá de enfrentar nos próximos anos;</w:t>
      </w:r>
    </w:p>
    <w:p w14:paraId="0A76550B" w14:textId="77777777" w:rsidR="0069767B" w:rsidRPr="00F60EF7" w:rsidRDefault="0069767B" w:rsidP="0069767B">
      <w:pPr>
        <w:pStyle w:val="NormalHanging12a"/>
      </w:pPr>
      <w:r w:rsidRPr="00F60EF7">
        <w:t>4.</w:t>
      </w:r>
      <w:r w:rsidRPr="00F60EF7">
        <w:tab/>
        <w:t>Observa que, segundo as previsões económicas do outono de 2025 da Comissão, o défice agregado da área do euro deverá aumentar de 3,1 % do PIB em 2024 para 3,2 % do PIB em 2025; constata que, com base nas atuais políticas, o défice deverá aumentar para 3,3 % do PIB em 2026;</w:t>
      </w:r>
    </w:p>
    <w:p w14:paraId="78A93898" w14:textId="77777777" w:rsidR="0069767B" w:rsidRPr="00F60EF7" w:rsidRDefault="0069767B" w:rsidP="0069767B">
      <w:pPr>
        <w:pStyle w:val="NormalHanging12a"/>
      </w:pPr>
      <w:r w:rsidRPr="00F60EF7">
        <w:t>5.</w:t>
      </w:r>
      <w:r w:rsidRPr="00F60EF7">
        <w:tab/>
        <w:t>Observa que 12 Estados-Membros deverão registar défices superiores a 3 % do PIB em 2027 e que 10 Estados-Membros estão sujeitos a procedimentos relativos aos défices excessivos;</w:t>
      </w:r>
    </w:p>
    <w:p w14:paraId="0EED28DE" w14:textId="77777777" w:rsidR="0069767B" w:rsidRPr="00F60EF7" w:rsidRDefault="0069767B" w:rsidP="0069767B">
      <w:pPr>
        <w:pStyle w:val="NormalHanging12a"/>
      </w:pPr>
      <w:r w:rsidRPr="00F60EF7">
        <w:t>6.</w:t>
      </w:r>
      <w:r w:rsidRPr="00F60EF7">
        <w:tab/>
        <w:t xml:space="preserve">Observa que o rácio dívida bruta das administrações públicas/PIB na UE deverá atingir 82,8 % em 2025 e deverá aumentar para 83,8 % em 2026 e 84,5 % em 2027, acima do valor de referência de 60 % para cada Estado-Membro consagrado nos Tratados; observa que se prevê um aumento da dívida das administrações públicas na área do euro </w:t>
      </w:r>
      <w:r w:rsidRPr="00F60EF7">
        <w:lastRenderedPageBreak/>
        <w:t>para 89,8 % em 2026 e para 90,4 % em 2027; constata que os níveis de dívida variam significativamente entre os Estados-Membros;</w:t>
      </w:r>
    </w:p>
    <w:p w14:paraId="3B4573B0" w14:textId="77777777" w:rsidR="0069767B" w:rsidRPr="00F60EF7" w:rsidRDefault="0069767B" w:rsidP="0069767B">
      <w:pPr>
        <w:pStyle w:val="NormalHanging12a"/>
      </w:pPr>
      <w:r w:rsidRPr="00F60EF7">
        <w:t>7.</w:t>
      </w:r>
      <w:r w:rsidRPr="00F60EF7">
        <w:tab/>
        <w:t>Insta os Estados-Membros a prosseguirem políticas orçamentais prudentes com vista a salvaguardar a sustentabilidade da dívida pública;</w:t>
      </w:r>
    </w:p>
    <w:p w14:paraId="7273F2C3" w14:textId="77777777" w:rsidR="0069767B" w:rsidRPr="00F60EF7" w:rsidRDefault="0069767B" w:rsidP="0069767B">
      <w:pPr>
        <w:pStyle w:val="NormalHanging12a"/>
      </w:pPr>
      <w:r w:rsidRPr="00F60EF7">
        <w:t>8.</w:t>
      </w:r>
      <w:r w:rsidRPr="00F60EF7">
        <w:tab/>
        <w:t>Recorda que os fenómenos meteorológicos extremos têm um impacto significativo nas finanças públicas; está ciente de que o impacto e a frequência de fenómenos meteorológicos extremos só se agravarão nos próximos anos;</w:t>
      </w:r>
    </w:p>
    <w:p w14:paraId="65351C26" w14:textId="77777777" w:rsidR="0069767B" w:rsidRPr="00F60EF7" w:rsidRDefault="0069767B" w:rsidP="0069767B">
      <w:pPr>
        <w:pStyle w:val="NormalHanging12a"/>
      </w:pPr>
      <w:r w:rsidRPr="00F60EF7">
        <w:t>9.</w:t>
      </w:r>
      <w:r w:rsidRPr="00F60EF7">
        <w:tab/>
        <w:t>Congratula-se com o facto de a inflação da área do euro ter sido reduzida para o nível-alvo do Banco Central Europeu, após ter atingido o seu máximo de 10,6 % em outubro de 2022; observa, no entanto, que a inflação regista níveis diferentes nos Estados-Membros, sendo mais elevada em alguns deles, incluindo os que dispõem de indústrias energeticamente intensivas; observa que tanto a inflação subjacente como as expectativas de inflação continuam acima do nível-alvo; sublinha o impacto contínuo da inflação dos preços dos alimentos e da energia nos agregados familiares europeus; observa que a inflação afeta as categorias de rendimentos de forma desigual, sendo os agregados familiares com baixos rendimentos os mais afetados;</w:t>
      </w:r>
    </w:p>
    <w:p w14:paraId="4185BAA4" w14:textId="77777777" w:rsidR="0069767B" w:rsidRPr="00F60EF7" w:rsidRDefault="0069767B" w:rsidP="0069767B">
      <w:pPr>
        <w:pStyle w:val="NormalHanging12a"/>
      </w:pPr>
      <w:r w:rsidRPr="00F60EF7">
        <w:t>10.</w:t>
      </w:r>
      <w:r w:rsidRPr="00F60EF7">
        <w:tab/>
        <w:t>Manifesta preocupação pelo facto de um investimento privado e público insuficiente ser suscetível de prejudicar o crescimento e a competitividade sustentáveis na Europa e de impedir a UE de cumprir as prioridades comuns, estabelecidas na agenda estratégica da UE para 2024-2029; frisa que os Estados-Membros devem intensificar os esforços para eliminar os obstáculos e mobilizar um maior investimento privado, em consonância com a estratégia da Comissão para uma União da Poupança e dos Investimentos; reconhece o objetivo político da Comissão de simplificar o quadro regulamentar e reduzir significativamente os encargos administrativos para promover o investimento privado; salienta que são urgentemente necessários investimentos em domínios como a investigação e o desenvolvimento, as infraestruturas e a inovação para aumentar o crescimento potencial da UE; insiste no papel crucial do próximo quadro financeiro plurianual não só na disponibilização de investimento público, mas também na ajuda à mobilização de investimento privado; sublinha, neste contexto, que os instrumentos financeiros e as garantias orçamentais são instrumentos poderosos e eficazes para alcançar objetivos estratégicos essenciais da UE, bem como instrumentos financeiros prontos a utilizar à escala da UE;</w:t>
      </w:r>
    </w:p>
    <w:p w14:paraId="42560171" w14:textId="77777777" w:rsidR="0069767B" w:rsidRPr="00F60EF7" w:rsidRDefault="0069767B" w:rsidP="0069767B">
      <w:pPr>
        <w:pStyle w:val="NormalHanging12a"/>
      </w:pPr>
      <w:r w:rsidRPr="00F60EF7">
        <w:t>11.</w:t>
      </w:r>
      <w:r w:rsidRPr="00F60EF7">
        <w:tab/>
        <w:t>Observa que o relatório macroeconómico europeu da Comissão reconhece que a acessibilidade dos preços da habitação é uma questão macroeconómica e social, nomeadamente impondo potenciais restrições à mobilidade laboral e enfraquecendo o crescimento da produtividade a longo prazo;</w:t>
      </w:r>
    </w:p>
    <w:p w14:paraId="78821A0C" w14:textId="0FA52BF6" w:rsidR="0069767B" w:rsidRPr="00F60EF7" w:rsidRDefault="0069767B" w:rsidP="0069767B">
      <w:pPr>
        <w:pStyle w:val="NormalHanging12a"/>
      </w:pPr>
      <w:r w:rsidRPr="00F60EF7">
        <w:t>12.</w:t>
      </w:r>
      <w:r w:rsidRPr="00F60EF7">
        <w:tab/>
        <w:t xml:space="preserve">Salienta que é crucial adotar uma política industrial coerente e </w:t>
      </w:r>
      <w:r w:rsidR="00455BC2" w:rsidRPr="00F60EF7">
        <w:t>direcionada</w:t>
      </w:r>
      <w:r w:rsidRPr="00F60EF7">
        <w:t>, para apoiar a transformação tecnológica da UE e garantir cadeias de abastecimento resilientes, mantendo simultaneamente mercados competitivos e sem distorções da concorrência.</w:t>
      </w:r>
    </w:p>
    <w:p w14:paraId="322E41EF" w14:textId="77777777" w:rsidR="0069767B" w:rsidRPr="00F60EF7" w:rsidRDefault="0069767B" w:rsidP="0069767B">
      <w:pPr>
        <w:pStyle w:val="NormalHanging12a"/>
      </w:pPr>
      <w:r w:rsidRPr="00F60EF7">
        <w:t>13.</w:t>
      </w:r>
      <w:r w:rsidRPr="00F60EF7">
        <w:tab/>
        <w:t xml:space="preserve">Observa que, em média, a taxa de emprego na UE atingiu um nível recorde, refletindo um mercado de trabalho dinâmico na maioria dos Estados; realça a integração do quadro de convergência social no Semestre Europeu; salienta que o modelo de ensino e formação profissional foi bem-sucedido nos Estados-Membros que o adotaram; lamenta </w:t>
      </w:r>
      <w:r w:rsidRPr="00F60EF7">
        <w:lastRenderedPageBreak/>
        <w:t>que existam grandes disparidades entre os Estados-Membros nas taxas de desemprego, em particular no que diz respeito aos jovens;</w:t>
      </w:r>
    </w:p>
    <w:p w14:paraId="33A4462A" w14:textId="77777777" w:rsidR="0069767B" w:rsidRPr="00F60EF7" w:rsidRDefault="0069767B" w:rsidP="0069767B">
      <w:pPr>
        <w:pStyle w:val="NormalHanging12a"/>
      </w:pPr>
      <w:r w:rsidRPr="00F60EF7">
        <w:t>14.</w:t>
      </w:r>
      <w:r w:rsidRPr="00F60EF7">
        <w:tab/>
        <w:t>Reitera a importância de salvaguardar as condições de concorrência equitativas no mercado único e insta os Estados-Membros a tomarem medidas para aprofundar o mercado único, eliminando os obstáculos internos;</w:t>
      </w:r>
    </w:p>
    <w:p w14:paraId="77872DDD" w14:textId="77777777" w:rsidR="0069767B" w:rsidRPr="00F60EF7" w:rsidRDefault="0069767B" w:rsidP="0069767B">
      <w:pPr>
        <w:pStyle w:val="Normal12a"/>
        <w:rPr>
          <w:b/>
          <w:bCs/>
          <w:i/>
          <w:iCs/>
        </w:rPr>
      </w:pPr>
      <w:r w:rsidRPr="00F60EF7">
        <w:rPr>
          <w:b/>
          <w:bCs/>
          <w:i/>
          <w:iCs/>
        </w:rPr>
        <w:t>Aplicação da revisão do quadro de governação económica da UE</w:t>
      </w:r>
    </w:p>
    <w:p w14:paraId="17F7631C" w14:textId="77777777" w:rsidR="0069767B" w:rsidRPr="00F60EF7" w:rsidRDefault="0069767B" w:rsidP="0069767B">
      <w:pPr>
        <w:pStyle w:val="NormalHanging12a"/>
      </w:pPr>
      <w:r w:rsidRPr="00F60EF7">
        <w:t>15.</w:t>
      </w:r>
      <w:r w:rsidRPr="00F60EF7">
        <w:tab/>
        <w:t xml:space="preserve">Recorda que o objetivo da reforma do quadro de governação económica é torná-lo mais simples, mais transparente e mais eficaz, com uma maior apropriação nacional e uma melhor aplicação, bem como melhorar a sua capacidade para ter em conta a heterogeneidade das situações orçamentais, da dívida pública e dos desafios económicos, e ajudar a superar os desafios de médio e longo prazo que a UE e os seus Estados-Membros enfrentam, nomeadamente através da promoção de políticas orçamentais </w:t>
      </w:r>
      <w:proofErr w:type="spellStart"/>
      <w:r w:rsidRPr="00F60EF7">
        <w:t>anticíclicas</w:t>
      </w:r>
      <w:proofErr w:type="spellEnd"/>
      <w:r w:rsidRPr="00F60EF7">
        <w:t>;</w:t>
      </w:r>
    </w:p>
    <w:p w14:paraId="08A1EB56" w14:textId="77777777" w:rsidR="0069767B" w:rsidRPr="00F60EF7" w:rsidRDefault="0069767B" w:rsidP="0069767B">
      <w:pPr>
        <w:pStyle w:val="NormalHanging12a"/>
      </w:pPr>
      <w:r w:rsidRPr="00F60EF7">
        <w:t>16.</w:t>
      </w:r>
      <w:r w:rsidRPr="00F60EF7">
        <w:tab/>
        <w:t>Salienta que, no âmbito do quadro de governação económica reformado, o crescimento das despesas líquidas é o único indicador operacional para acompanhar o cumprimento, por parte dos Estados-Membros, das respetivas recomendações do Conselho; salienta que muitos Estados-Membros continuarão a fazer face a uma capacidade orçamental insuficiente para satisfazer necessidades de investimento substanciais; toma nota de que a cláusula de derrogação nacional já foi ativada para as despesas com a defesa apenas um ano após a entrada em vigor das regras revistas, como resposta a curto prazo a acontecimentos extraordinários fora do controlo de um país; sublinha que a cláusula de derrogação nacional se destina a emergências temporárias específicas por país e não é adequada para dar resposta a necessidades estruturais a longo prazo;</w:t>
      </w:r>
    </w:p>
    <w:p w14:paraId="46CE04A1" w14:textId="77777777" w:rsidR="0069767B" w:rsidRPr="00F60EF7" w:rsidRDefault="0069767B" w:rsidP="0069767B">
      <w:pPr>
        <w:pStyle w:val="NormalHanging12a"/>
      </w:pPr>
      <w:r w:rsidRPr="00F60EF7">
        <w:t>17.</w:t>
      </w:r>
      <w:r w:rsidRPr="00F60EF7">
        <w:tab/>
        <w:t>Salienta que a Comissão alargou os seus poderes discricionários ao abrigo do quadro de governação económica reformado, nomeadamente através do processo subjacente aos planos orçamentais-estruturais de médio prazo; regista a conclusão do Conselho Orçamental Europeu de que a Comissão utilizou algum poder discricionário ao adiar ou decidir não dar início a procedimentos relativos aos défices excessivos; frisa que uma aplicação uniforme das regras orçamentais da UE é fundamental para manter a credibilidade do quadro de governação económica, assegurar a igualdade de tratamento dos Estados-Membros e defender uma abordagem coerente e genuinamente europeia;</w:t>
      </w:r>
    </w:p>
    <w:p w14:paraId="68946BC7" w14:textId="77777777" w:rsidR="0069767B" w:rsidRPr="00F60EF7" w:rsidRDefault="0069767B" w:rsidP="0069767B">
      <w:pPr>
        <w:pStyle w:val="NormalHanging12a"/>
      </w:pPr>
      <w:r w:rsidRPr="00F60EF7">
        <w:t>18.</w:t>
      </w:r>
      <w:r w:rsidRPr="00F60EF7">
        <w:tab/>
        <w:t>Toma nota das alterações específicas ao quadro de governação económica da UE, publicadas pela Comissão em 2 de outubro de 2025, com o objetivo de estabelecer coerência na sequência da mais recente atualização do quadro de governação económica;</w:t>
      </w:r>
    </w:p>
    <w:p w14:paraId="20F7A296" w14:textId="77777777" w:rsidR="0069767B" w:rsidRPr="00F60EF7" w:rsidRDefault="0069767B" w:rsidP="0069767B">
      <w:pPr>
        <w:pStyle w:val="NormalHanging12a"/>
      </w:pPr>
      <w:r w:rsidRPr="00F60EF7">
        <w:t>19.</w:t>
      </w:r>
      <w:r w:rsidRPr="00F60EF7">
        <w:tab/>
        <w:t>Observa com preocupação as conclusões do Conselho Orçamental Europeu de que cerca de metade das instituições orçamentais independentes não participaram formalmente na elaboração dos planos orçamentais-estruturais de médio prazo; considera que uma maior participação de instituições orçamentais independentes aumentaria a transparência e a supervisão externa num momento fundamental da transição;</w:t>
      </w:r>
    </w:p>
    <w:p w14:paraId="5725208B" w14:textId="77777777" w:rsidR="0069767B" w:rsidRPr="00F60EF7" w:rsidRDefault="0069767B" w:rsidP="0069767B">
      <w:pPr>
        <w:pStyle w:val="Normal12a"/>
      </w:pPr>
      <w:r w:rsidRPr="00F60EF7">
        <w:rPr>
          <w:b/>
          <w:i/>
        </w:rPr>
        <w:t>Orientação orçamental</w:t>
      </w:r>
    </w:p>
    <w:p w14:paraId="465E5C59" w14:textId="77777777" w:rsidR="0069767B" w:rsidRPr="00F60EF7" w:rsidRDefault="0069767B" w:rsidP="0069767B">
      <w:pPr>
        <w:pStyle w:val="NormalHanging12a"/>
      </w:pPr>
      <w:r w:rsidRPr="00F60EF7">
        <w:lastRenderedPageBreak/>
        <w:t>20.</w:t>
      </w:r>
      <w:r w:rsidRPr="00F60EF7">
        <w:tab/>
        <w:t>Salienta que o investimento público aumentou significativamente nos últimos anos, com cerca de metade do aumento entre 2019 e 2025 financiado pela UE, principalmente através do MRR; observa que estes benefícios deverão continuar para além de 2026, com importantes repercussões em todos os Estados-Membros, e que o impacto a longo prazo das reformas estruturais poderá aumentar a produção potencial da área do euro até 1,3 % do PIB no período 2020-2033, em comparação com um cenário sem o MRR; manifesta preocupação pelo facto de o MRR chegar ao seu termo em 2026 e pelo impacto que tal poderá ter na orientação orçamental global da UE; insta os Estados-Membros a concluírem a execução dos seus planos de recuperação e resiliência até agosto de 2026; relembra que a dívida emitida para financiar o MRR terá de ser reembolsada até 2058, por forma a garantir uma redução estável e previsível dos passivos;</w:t>
      </w:r>
    </w:p>
    <w:p w14:paraId="2D0992BB" w14:textId="77777777" w:rsidR="0069767B" w:rsidRPr="00F60EF7" w:rsidRDefault="0069767B" w:rsidP="0069767B">
      <w:pPr>
        <w:pStyle w:val="NormalHanging12a"/>
      </w:pPr>
      <w:r w:rsidRPr="00F60EF7">
        <w:t>21.</w:t>
      </w:r>
      <w:r w:rsidRPr="00F60EF7">
        <w:tab/>
        <w:t>Toma nota da recomendação da Comissão segundo a qual a orientação orçamental global dos Estados-Membros se deverá manter globalmente neutra em 2026, apesar das disparidades significativas entre os Estados-Membros;</w:t>
      </w:r>
    </w:p>
    <w:p w14:paraId="634EE5F3" w14:textId="77777777" w:rsidR="0069767B" w:rsidRPr="00F60EF7" w:rsidRDefault="0069767B" w:rsidP="0069767B">
      <w:pPr>
        <w:pStyle w:val="NormalHanging12a"/>
      </w:pPr>
      <w:r w:rsidRPr="00F60EF7">
        <w:t>22.</w:t>
      </w:r>
      <w:r w:rsidRPr="00F60EF7">
        <w:tab/>
        <w:t>Assinala que as receitas e as despesas públicas são essenciais para garantir a sustentabilidade dos orçamentos nacionais; recorda a recomendação do Conselho sobre a política económica da área do euro, de 17 de fevereiro de 2026, que solicita a redução dos desvios fiscais mediante um melhor cumprimento das obrigações fiscais, nomeadamente através do combate à elisão, à evasão fiscal e ao planeamento fiscal agressivo; salienta que uma aplicação deficiente na administração fiscal e na luta contra a evasão e a elisão fiscais compromete a sustentabilidade orçamental e contribui para os desequilíbrios macroeconómicos;</w:t>
      </w:r>
    </w:p>
    <w:p w14:paraId="64D88932" w14:textId="77777777" w:rsidR="0069767B" w:rsidRPr="00F60EF7" w:rsidRDefault="0069767B" w:rsidP="0069767B">
      <w:pPr>
        <w:pStyle w:val="NormalHanging12a"/>
      </w:pPr>
      <w:r w:rsidRPr="00F60EF7">
        <w:t>23.</w:t>
      </w:r>
      <w:r w:rsidRPr="00F60EF7">
        <w:tab/>
        <w:t>Toma nota da mudança política programática da Comissão no atual ciclo do Semestre Europeu, em que a Bússola para a Competitividade fornece orientações para o pacote do Semestre, em substituição da Análise Anual do Crescimento Sustentável; frisa que esta alteração reforça o orientação do quadro do Semestre Europeu; sublinha a importância da continuidade no que diz respeito às REP concebidas como compromissos de reforma plurianuais e a longo prazo e aos esforços dos Estados-Membros para cumprir os objetivos a longo prazo; exorta a Comissão a assegurar uma visão holística da competitividade europeia e a garantir que as prioridades de transição a longo prazo continuem a ser refletidas de forma coerente e constante nas REP ao longo dos sucessivos ciclos do Semestre Europeu;</w:t>
      </w:r>
    </w:p>
    <w:p w14:paraId="62142EE9" w14:textId="77777777" w:rsidR="0069767B" w:rsidRPr="00F60EF7" w:rsidRDefault="0069767B" w:rsidP="0069767B">
      <w:pPr>
        <w:pStyle w:val="Normal12a"/>
      </w:pPr>
      <w:r w:rsidRPr="00F60EF7">
        <w:rPr>
          <w:b/>
          <w:i/>
        </w:rPr>
        <w:t>Recomendações específicas por país</w:t>
      </w:r>
    </w:p>
    <w:p w14:paraId="3B588220" w14:textId="77777777" w:rsidR="0069767B" w:rsidRPr="00F60EF7" w:rsidRDefault="0069767B" w:rsidP="0069767B">
      <w:pPr>
        <w:pStyle w:val="NormalHanging12a"/>
      </w:pPr>
      <w:r w:rsidRPr="00F60EF7">
        <w:t>24.</w:t>
      </w:r>
      <w:r w:rsidRPr="00F60EF7">
        <w:tab/>
        <w:t xml:space="preserve">Observa que as REP para cada Estado-Membro contêm uma recomendação sobre política orçamental, incluindo reformas orçamentais-estruturais, se for caso disso; toma nota do compromisso da Comissão de utilizar o Semestre Europeu para promover a competitividade, a estabilidade, o crescimento económico, a sustentabilidade e a equidade social, bem como para integrar os Objetivos de Desenvolvimento Sustentável das Nações Unidas e do Pilar Europeu dos Direitos Sociais no Semestre Europeu, assinala que o Semestre Europeu é um instrumento fundamental para coordenar políticas macroeconómicas e orçamentais sólidas nos Estados-Membros, salvaguardando assim a estabilidade macroeconómica da União Económica e Monetária; salienta a importância das REP enquanto pedra angular da coordenação das políticas económicas europeias; recorda que as REP são medidas políticas que fazem também parte integrante dos planos orçamentais estruturais a médio prazo, dos planos </w:t>
      </w:r>
      <w:r w:rsidRPr="00F60EF7">
        <w:lastRenderedPageBreak/>
        <w:t>nacionais de recuperação e resiliência e da proposta anunciada relativa aos planos de parceria nacional e regional;</w:t>
      </w:r>
    </w:p>
    <w:p w14:paraId="4D84EB87" w14:textId="77777777" w:rsidR="0069767B" w:rsidRPr="00F60EF7" w:rsidRDefault="0069767B" w:rsidP="0069767B">
      <w:pPr>
        <w:pStyle w:val="NormalHanging12a"/>
      </w:pPr>
      <w:r w:rsidRPr="00F60EF7">
        <w:t>25.</w:t>
      </w:r>
      <w:r w:rsidRPr="00F60EF7">
        <w:tab/>
        <w:t>Recorda o papel das REP na coordenação das prioridades da UE; regista a falta de progressos na aplicação efetiva das REP; observa que, entre 2019 e 2023, 25,1 % das REP registaram pouco ou nenhum progresso; insta a Comissão a repensar a forma como as REP são elaboradas e como lhes é dado seguimento, em particular no que diz respeito ao seu futuro papel no acesso aos fundos da UE; recorda o seu pedido de reduzir o número de REP e de as tornar mais específicas;</w:t>
      </w:r>
    </w:p>
    <w:p w14:paraId="7F4C7514" w14:textId="47ED9794" w:rsidR="0069767B" w:rsidRPr="00F60EF7" w:rsidRDefault="0069767B" w:rsidP="0069767B">
      <w:pPr>
        <w:pStyle w:val="NormalHanging12a"/>
      </w:pPr>
      <w:r w:rsidRPr="00F60EF7">
        <w:t>26.</w:t>
      </w:r>
      <w:r w:rsidRPr="00F60EF7">
        <w:tab/>
        <w:t>Toma nota da ambição da Comissão de continuar a refletir nas REP as ações que são fundamentais para a União da Poupança e dos Investimentos, tal como anunciado na sua comunicação de 19 de março de 2025</w:t>
      </w:r>
      <w:r w:rsidR="00455BC2" w:rsidRPr="00F60EF7">
        <w:rPr>
          <w:rStyle w:val="FootnoteReference"/>
        </w:rPr>
        <w:footnoteReference w:id="10"/>
      </w:r>
      <w:r w:rsidRPr="00F60EF7">
        <w:t>;</w:t>
      </w:r>
    </w:p>
    <w:p w14:paraId="333474B5" w14:textId="77777777" w:rsidR="0069767B" w:rsidRPr="00F60EF7" w:rsidRDefault="0069767B" w:rsidP="0069767B">
      <w:pPr>
        <w:pStyle w:val="NormalHanging12a"/>
      </w:pPr>
      <w:r w:rsidRPr="00F60EF7">
        <w:t>27.</w:t>
      </w:r>
      <w:r w:rsidRPr="00F60EF7">
        <w:tab/>
        <w:t>Observa que as REP deverão desempenhar um papel mais determinante no próximo quadro financeiro plurianual para orientar o investimento e as reformas a nível nacional e regional; considera que a seleção das reformas e dos investimentos deve ser efetuada em função da sua eficácia para dar seguimento às REP pertinentes, a fim de alcançar uma transição justa para uma economia europeia verde e competitiva; sublinha que este processo deve ser acompanhado de um controlo democrático mais forte e de uma maior apropriação por parte dos Estados-Membros;</w:t>
      </w:r>
    </w:p>
    <w:p w14:paraId="7E6E01B7" w14:textId="77777777" w:rsidR="0069767B" w:rsidRPr="00F60EF7" w:rsidRDefault="0069767B" w:rsidP="0069767B">
      <w:pPr>
        <w:pStyle w:val="NormalHanging12a"/>
      </w:pPr>
      <w:r w:rsidRPr="00F60EF7">
        <w:t>28.</w:t>
      </w:r>
      <w:r w:rsidRPr="00F60EF7">
        <w:tab/>
        <w:t xml:space="preserve">Salienta a importância crescente das REP relacionadas com os planos de parceria nacionais e regionais; chama a atenção para o facto de não existir atualmente uma metodologia transparente ou </w:t>
      </w:r>
      <w:proofErr w:type="spellStart"/>
      <w:r w:rsidRPr="00F60EF7">
        <w:t>rastreável</w:t>
      </w:r>
      <w:proofErr w:type="spellEnd"/>
      <w:r w:rsidRPr="00F60EF7">
        <w:t xml:space="preserve"> para o desenvolvimento e a seleção das REP, nem clareza sobre a razão pela qual algumas são propostas e outras não, o que suscita preocupações quanto à responsabilização e à igualdade de tratamento dos Estados-Membros; insta a Comissão a clarificar os procedimentos e critérios de seleção subjacentes; frisa que todo o reforço global dos poderes discricionários da Comissão deve ser acompanhado de mecanismos de responsabilização </w:t>
      </w:r>
      <w:proofErr w:type="spellStart"/>
      <w:r w:rsidRPr="00F60EF7">
        <w:rPr>
          <w:i/>
          <w:iCs/>
        </w:rPr>
        <w:t>ex</w:t>
      </w:r>
      <w:proofErr w:type="spellEnd"/>
      <w:r w:rsidRPr="00F60EF7">
        <w:rPr>
          <w:i/>
          <w:iCs/>
        </w:rPr>
        <w:t xml:space="preserve"> </w:t>
      </w:r>
      <w:proofErr w:type="spellStart"/>
      <w:r w:rsidRPr="00F60EF7">
        <w:rPr>
          <w:i/>
          <w:iCs/>
        </w:rPr>
        <w:t>post</w:t>
      </w:r>
      <w:proofErr w:type="spellEnd"/>
      <w:r w:rsidRPr="00F60EF7">
        <w:t xml:space="preserve"> adequados e de uma melhoria substancial do fluxo de informações para o Parlamento;</w:t>
      </w:r>
    </w:p>
    <w:p w14:paraId="5D44D200" w14:textId="77777777" w:rsidR="0069767B" w:rsidRPr="00F60EF7" w:rsidRDefault="0069767B" w:rsidP="0069767B">
      <w:pPr>
        <w:pStyle w:val="NormalHanging12a"/>
      </w:pPr>
      <w:r w:rsidRPr="00F60EF7">
        <w:t>29.</w:t>
      </w:r>
      <w:r w:rsidRPr="00F60EF7">
        <w:tab/>
        <w:t>Observa que as REP de 2025 se centraram mais na competitividade e na simplificação, em consonância com as prioridades identificadas nas Bússola para a Competitividade, ao mesmo tempo que destacam a necessidade de impulsionar a excelência científica, a investigação e a inovação, bem como o desenvolvimento tecnológico, como motores essenciais da produtividade e da resiliência a longo prazo; destaca o facto de haver menos REP dedicadas às políticas sociais e climáticas; observa que, para alguns Estados-Membros, as REP incluem uma recomendação no sentido de eliminar progressivamente os subsídios aos combustíveis fósseis;</w:t>
      </w:r>
    </w:p>
    <w:p w14:paraId="3439220B" w14:textId="77777777" w:rsidR="0069767B" w:rsidRPr="00F60EF7" w:rsidRDefault="0069767B" w:rsidP="0069767B">
      <w:pPr>
        <w:pStyle w:val="NormalHanging12a"/>
      </w:pPr>
      <w:r w:rsidRPr="00F60EF7">
        <w:t>30.</w:t>
      </w:r>
      <w:r w:rsidRPr="00F60EF7">
        <w:tab/>
        <w:t xml:space="preserve">Observa que a Comissão considera que a recomendação relativa à área do euro é, antes de mais, um instrumento de orientação para os debates do Eurogrupo; convida, no entanto, a Comissão a dar seguimento às recomendações relativas à área do euro, nomeadamente tendo-as em conta na elaboração das REP; lamenta que, em 2025, a Comissão não tenha publicado uma panorâmica da aplicação das recomendações relativas à área do euro, como fazia no âmbito dos seus relatórios sobre a área do euro; </w:t>
      </w:r>
      <w:r w:rsidRPr="00F60EF7">
        <w:lastRenderedPageBreak/>
        <w:t>observa que, em 2025, as REP não incluíram diretamente quaisquer recomendações relacionadas com as alterações climáticas;</w:t>
      </w:r>
    </w:p>
    <w:p w14:paraId="1FF67E4F" w14:textId="77777777" w:rsidR="0069767B" w:rsidRPr="00F60EF7" w:rsidRDefault="0069767B" w:rsidP="0069767B">
      <w:pPr>
        <w:pStyle w:val="Normal12a"/>
      </w:pPr>
      <w:r w:rsidRPr="00F60EF7">
        <w:rPr>
          <w:b/>
          <w:i/>
        </w:rPr>
        <w:t>Colmatar o défice de investimento</w:t>
      </w:r>
    </w:p>
    <w:p w14:paraId="4E5861EF" w14:textId="77777777" w:rsidR="0069767B" w:rsidRPr="00F60EF7" w:rsidRDefault="0069767B" w:rsidP="0069767B">
      <w:pPr>
        <w:pStyle w:val="NormalHanging12a"/>
      </w:pPr>
      <w:r w:rsidRPr="00F60EF7">
        <w:t>31.</w:t>
      </w:r>
      <w:r w:rsidRPr="00F60EF7">
        <w:tab/>
        <w:t xml:space="preserve">Recorda que o relatório </w:t>
      </w:r>
      <w:proofErr w:type="spellStart"/>
      <w:r w:rsidRPr="00F60EF7">
        <w:t>Draghi</w:t>
      </w:r>
      <w:proofErr w:type="spellEnd"/>
      <w:r w:rsidRPr="00F60EF7">
        <w:t xml:space="preserve"> demonstrou claramente a necessidade de aumentar o investimento público e privado e de levar a cabo reformas ambiciosas para impulsionar a competitividade da UE; insta a Comissão e os Estados-Membros a apresentarem uma estratégia para satisfazer as necessidades de investimento para além de 2026;</w:t>
      </w:r>
    </w:p>
    <w:p w14:paraId="2FB1E15F" w14:textId="77777777" w:rsidR="0069767B" w:rsidRPr="00F60EF7" w:rsidRDefault="0069767B" w:rsidP="0069767B">
      <w:pPr>
        <w:pStyle w:val="NormalHanging12a"/>
      </w:pPr>
      <w:r w:rsidRPr="00F60EF7">
        <w:t>32.</w:t>
      </w:r>
      <w:r w:rsidRPr="00F60EF7">
        <w:tab/>
        <w:t>Considera que o quadro de governação económica da UE deve ser complementado por instrumentos e ferramentas a nível da UE, se for caso disso, a fim de minimizar os custos para os contribuintes da UE e maximizar a eficiência no fornecimento de bens públicos europeus e responder a crises à escala da União, como a atual crise no domínio da segurança e da defesa; observa que os títulos de dívida da UE podem servir de referência, reforçando assim a integração dos mercados financeiros da UE; preconiza a introdução de novos recursos próprios para o financiamento das políticas da União; apoia a criação do Fundo Europeu de Competitividade e do Fundo Europeu para Empresas em Fase de Expansão;</w:t>
      </w:r>
    </w:p>
    <w:p w14:paraId="561FC14B" w14:textId="77777777" w:rsidR="0069767B" w:rsidRPr="00F60EF7" w:rsidRDefault="0069767B" w:rsidP="0069767B">
      <w:pPr>
        <w:pStyle w:val="NormalHanging12a"/>
      </w:pPr>
      <w:r w:rsidRPr="00F60EF7">
        <w:t>33.</w:t>
      </w:r>
      <w:r w:rsidRPr="00F60EF7">
        <w:tab/>
        <w:t>Sublinha o acordo do Conselho Europeu no sentido de conceder à Ucrânia um empréstimo de 90 mil milhões de EUR para 2026 e 2027, baseado na contração de empréstimos pela UE nos mercados de capitais e apoiado pela margem de manobra do orçamento da UE;</w:t>
      </w:r>
    </w:p>
    <w:p w14:paraId="1B47348A" w14:textId="21C27538" w:rsidR="0069767B" w:rsidRPr="00F60EF7" w:rsidRDefault="0069767B" w:rsidP="0069767B">
      <w:pPr>
        <w:pStyle w:val="NormalHanging12a"/>
      </w:pPr>
      <w:r w:rsidRPr="00F60EF7">
        <w:t>34.</w:t>
      </w:r>
      <w:r w:rsidRPr="00F60EF7">
        <w:tab/>
        <w:t>Observa que a evolução do ambiente geopolítico exige ainda mais unidade e solidariedade entre os Estados-Membros, especialmente quando se têm em conta as preocupações de segurança da União e dos seus Estados-Membros; considera que o reforço da segurança da Europa através da redução das dependências estratégicas continua a ser essencial para salvaguardar a resiliência a longo prazo da União; apoia os esforços envidados pela Comissão no sentido de uma abordagem mais coordenada da defesa; observa que o Instrumento de Ação para a Segurança da Europa (SAFE) cria um mecanismo de empréstimo de 150 mil milhões de EUR para apoiar os investimentos dos Estados-Membros na defesa; lamenta, no entanto, que o Instrumento SAFE se baseie no artigo 122.º do TFUE, limitando o controlo parlamentar; congratula-se com o facto de o indicador de despesas líquidas excluir todo o cofinanciamento nacional nos programas financiados pela União, o que proporciona aos Estados-Membros uma maior margem de manobra orçamental para investir nas prioridades comuns da UE, tal como previsto no Regulamento (UE) 2024/1263</w:t>
      </w:r>
      <w:r w:rsidR="00455BC2" w:rsidRPr="00F60EF7">
        <w:rPr>
          <w:rStyle w:val="FootnoteReference"/>
        </w:rPr>
        <w:footnoteReference w:id="11"/>
      </w:r>
      <w:r w:rsidRPr="00F60EF7">
        <w:t>, contribuindo assim para reforçar as sinergias entre o orçamento da União e os orçamentos nacionais e, consequentemente, para reduzir a fragmentação e aumentar a eficácia global da despesa pública nalguns domínios, como a defesa; frisa que o compromisso dos Estados-Membros de aumentar as despesas com a defesa não deve ser feito em detrimento das outras prioridades comuns da UE;</w:t>
      </w:r>
    </w:p>
    <w:p w14:paraId="15B740E4" w14:textId="77777777" w:rsidR="0069767B" w:rsidRPr="00F60EF7" w:rsidRDefault="0069767B" w:rsidP="0069767B">
      <w:pPr>
        <w:pStyle w:val="NormalHanging12a"/>
      </w:pPr>
      <w:r w:rsidRPr="00F60EF7">
        <w:t>35.</w:t>
      </w:r>
      <w:r w:rsidRPr="00F60EF7">
        <w:tab/>
        <w:t xml:space="preserve">Observa que 16 Estados-Membros ativaram a cláusula de derrogação nacional para as despesas com a defesa; sublinha que tal proporciona aos Estados-Membros flexibilidade </w:t>
      </w:r>
      <w:r w:rsidRPr="00F60EF7">
        <w:lastRenderedPageBreak/>
        <w:t>para aumentar as despesas com a defesa, sem necessidade imediata de financiar esses aumentos através de cortes nas despesas ou medidas de aumento das receitas; constata que esta flexibilidade concede, assim, aos Estados-Membros o tempo necessário para terem em conta o aumento das despesas com a defesa nos orçamentos nacionais. salienta que a participação parcial reduz significativamente as despesas adicionais previstas com a defesa de 650 mil milhões de EUR para cerca de 297 a 337 mil milhões de EUR;</w:t>
      </w:r>
    </w:p>
    <w:p w14:paraId="32412B7E" w14:textId="77777777" w:rsidR="0069767B" w:rsidRPr="00F60EF7" w:rsidRDefault="0069767B" w:rsidP="0069767B">
      <w:pPr>
        <w:pStyle w:val="NormalHanging12a"/>
      </w:pPr>
      <w:r w:rsidRPr="00F60EF7">
        <w:t>36.</w:t>
      </w:r>
      <w:r w:rsidRPr="00F60EF7">
        <w:tab/>
        <w:t>Adverte que as despesas com a defesa são, por natureza, investimentos consumptivos e não aumentam, por si só, o potencial produtivo de uma economia; considera, por conseguinte, que as despesas com a defesa não devem ser financiadas por um aumento da emissão de dívida a longo prazo;</w:t>
      </w:r>
    </w:p>
    <w:p w14:paraId="092E5140" w14:textId="77777777" w:rsidR="0069767B" w:rsidRPr="00F60EF7" w:rsidRDefault="0069767B" w:rsidP="0069767B">
      <w:pPr>
        <w:pStyle w:val="NormalHanging12a"/>
      </w:pPr>
      <w:r w:rsidRPr="00F60EF7">
        <w:t>37.</w:t>
      </w:r>
      <w:r w:rsidRPr="00F60EF7">
        <w:tab/>
        <w:t>Salienta a importância de aumentar a coerência e a cooperação em matéria de investimento na defesa entre os Estados-Membros, em particular no que diz respeito aos facilitadores estratégicos ou aos sistemas de armas estratégicos que são demasiado dispendiosos para cada Estado-Membro, tendo em conta a necessidade premente de reforçar o setor europeu da defesa e garantir a segurança a longo prazo e a autonomia estratégica;</w:t>
      </w:r>
    </w:p>
    <w:p w14:paraId="50EFBADF" w14:textId="77777777" w:rsidR="0069767B" w:rsidRPr="00F60EF7" w:rsidRDefault="0069767B" w:rsidP="0069767B">
      <w:pPr>
        <w:pStyle w:val="NormalHanging12a"/>
      </w:pPr>
      <w:r w:rsidRPr="00F60EF7">
        <w:t>38.</w:t>
      </w:r>
      <w:r w:rsidRPr="00F60EF7">
        <w:tab/>
        <w:t>Recorda que a Comissão nunca lançou um procedimento por desequilíbrio excessivo, apesar de alguns Estados-Membros apresentarem frequentemente desequilíbrios nas contas correntes; observa que a Comissão aferirá a existência de desequilíbrios macroeconómicos nos sete Estados-Membros selecionados para apreciações aprofundadas no quadro do seu Relatório sobre o Mecanismo de Alerta de 2026;</w:t>
      </w:r>
    </w:p>
    <w:p w14:paraId="17E0E6D0" w14:textId="77777777" w:rsidR="0069767B" w:rsidRPr="00F60EF7" w:rsidRDefault="0069767B" w:rsidP="0069767B">
      <w:pPr>
        <w:pStyle w:val="NormalCenter12a"/>
      </w:pPr>
      <w:r w:rsidRPr="00F60EF7">
        <w:t>°</w:t>
      </w:r>
    </w:p>
    <w:p w14:paraId="2A037F53" w14:textId="77777777" w:rsidR="0069767B" w:rsidRPr="00F60EF7" w:rsidRDefault="0069767B" w:rsidP="0069767B">
      <w:pPr>
        <w:pStyle w:val="NormalCenter12a"/>
      </w:pPr>
      <w:r w:rsidRPr="00F60EF7">
        <w:t>°</w:t>
      </w:r>
      <w:r w:rsidRPr="00F60EF7">
        <w:tab/>
        <w:t>°</w:t>
      </w:r>
    </w:p>
    <w:p w14:paraId="63384ABF" w14:textId="06A1F552" w:rsidR="002C31C8" w:rsidRPr="00F60EF7" w:rsidRDefault="0069767B" w:rsidP="002C31C8">
      <w:pPr>
        <w:pStyle w:val="NormalHanging12a"/>
      </w:pPr>
      <w:r w:rsidRPr="00F60EF7">
        <w:t>39.</w:t>
      </w:r>
      <w:r w:rsidRPr="00F60EF7">
        <w:tab/>
        <w:t>Encarrega a sua Presidente de transmitir a presente resolução ao Conselho e à Comissão.</w:t>
      </w:r>
    </w:p>
    <w:p w14:paraId="5C5DB947" w14:textId="0D90483B" w:rsidR="00E365E1" w:rsidRPr="00F60EF7" w:rsidRDefault="00E365E1" w:rsidP="00614288"/>
    <w:sectPr w:rsidR="00E365E1" w:rsidRPr="00F60EF7" w:rsidSect="002C31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9ACAE" w14:textId="77777777" w:rsidR="00614288" w:rsidRPr="002C31C8" w:rsidRDefault="00614288">
      <w:r w:rsidRPr="002C31C8">
        <w:separator/>
      </w:r>
    </w:p>
  </w:endnote>
  <w:endnote w:type="continuationSeparator" w:id="0">
    <w:p w14:paraId="3D9CEB85" w14:textId="77777777" w:rsidR="00614288" w:rsidRPr="002C31C8" w:rsidRDefault="00614288">
      <w:r w:rsidRPr="002C31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2D7B7" w14:textId="77777777" w:rsidR="00064002" w:rsidRPr="002C31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D9D8" w14:textId="77777777" w:rsidR="00064002" w:rsidRPr="002C31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795E" w14:textId="77777777" w:rsidR="00064002" w:rsidRPr="002C31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1A03" w14:textId="77777777" w:rsidR="00614288" w:rsidRPr="002C31C8" w:rsidRDefault="00614288">
      <w:r w:rsidRPr="002C31C8">
        <w:separator/>
      </w:r>
    </w:p>
  </w:footnote>
  <w:footnote w:type="continuationSeparator" w:id="0">
    <w:p w14:paraId="5E853CA5" w14:textId="77777777" w:rsidR="00614288" w:rsidRPr="002C31C8" w:rsidRDefault="00614288">
      <w:r w:rsidRPr="002C31C8">
        <w:continuationSeparator/>
      </w:r>
    </w:p>
  </w:footnote>
  <w:footnote w:id="1">
    <w:p w14:paraId="3DD2D760" w14:textId="48316617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 243 de 9.7.2021, ELI: </w:t>
      </w:r>
      <w:hyperlink r:id="rId1" w:tgtFrame="http://data.europa.eu/eli/reg/2021/1119/oj" w:history="1">
        <w:r w:rsidRPr="00E401FC">
          <w:rPr>
            <w:rStyle w:val="Hyperlink"/>
            <w:sz w:val="24"/>
            <w:lang w:val="fi-FI"/>
          </w:rPr>
          <w:t>http://data.europa.eu/eli/reg/2021/1119/oj</w:t>
        </w:r>
      </w:hyperlink>
      <w:r w:rsidRPr="00E401FC">
        <w:rPr>
          <w:sz w:val="24"/>
          <w:lang w:val="fi-FI"/>
        </w:rPr>
        <w:t>.</w:t>
      </w:r>
    </w:p>
  </w:footnote>
  <w:footnote w:id="2">
    <w:p w14:paraId="5B565024" w14:textId="0D4493C3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L, 2024/1263, 30.4.2024, ELI: </w:t>
      </w:r>
      <w:hyperlink r:id="rId2" w:tgtFrame="http://data.europa.eu/eli/reg/2024/1263/oj" w:history="1">
        <w:r w:rsidRPr="00E401FC">
          <w:rPr>
            <w:rStyle w:val="Hyperlink"/>
            <w:sz w:val="24"/>
            <w:lang w:val="fi-FI"/>
          </w:rPr>
          <w:t>http://data.europa.eu/eli/reg/2024/1263/oj</w:t>
        </w:r>
      </w:hyperlink>
      <w:r w:rsidRPr="00E401FC">
        <w:rPr>
          <w:sz w:val="24"/>
          <w:lang w:val="fi-FI"/>
        </w:rPr>
        <w:t>.</w:t>
      </w:r>
    </w:p>
  </w:footnote>
  <w:footnote w:id="3">
    <w:p w14:paraId="48BD20F0" w14:textId="43B2F8AF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L, 2024/1264, 30.4.2024, ELI: </w:t>
      </w:r>
      <w:hyperlink r:id="rId3" w:tgtFrame="http://data.europa.eu/eli/reg/2024/1264/oj" w:history="1">
        <w:r w:rsidRPr="00E401FC">
          <w:rPr>
            <w:rStyle w:val="Hyperlink"/>
            <w:sz w:val="24"/>
            <w:lang w:val="fi-FI"/>
          </w:rPr>
          <w:t>http://data.europa.eu/eli/reg/2024/1264/oj</w:t>
        </w:r>
      </w:hyperlink>
      <w:r w:rsidRPr="00E401FC">
        <w:rPr>
          <w:sz w:val="24"/>
          <w:lang w:val="fi-FI"/>
        </w:rPr>
        <w:t>.</w:t>
      </w:r>
    </w:p>
  </w:footnote>
  <w:footnote w:id="4">
    <w:p w14:paraId="7EAAC9F5" w14:textId="643535E3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L, 2024/1265, 30.4.2024, ELI: </w:t>
      </w:r>
      <w:hyperlink r:id="rId4" w:tgtFrame="http://data.europa.eu/eli/dir/2024/1265/oj" w:history="1">
        <w:r w:rsidRPr="00E401FC">
          <w:rPr>
            <w:rStyle w:val="Hyperlink"/>
            <w:sz w:val="24"/>
            <w:lang w:val="fi-FI"/>
          </w:rPr>
          <w:t>http://data.europa.eu/eli/dir/2024/1265/oj</w:t>
        </w:r>
      </w:hyperlink>
      <w:r w:rsidRPr="00E401FC">
        <w:rPr>
          <w:sz w:val="24"/>
          <w:lang w:val="fi-FI"/>
        </w:rPr>
        <w:t>.</w:t>
      </w:r>
    </w:p>
  </w:footnote>
  <w:footnote w:id="5">
    <w:p w14:paraId="507E1054" w14:textId="5686FA0D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 306 de 23.11.2011, p. 1, ELI: </w:t>
      </w:r>
      <w:hyperlink r:id="rId5" w:tgtFrame="http://data.europa.eu/eli/reg/2011/1173/oj" w:history="1">
        <w:r w:rsidRPr="00E401FC">
          <w:rPr>
            <w:rStyle w:val="Hyperlink"/>
            <w:sz w:val="24"/>
            <w:lang w:val="fi-FI"/>
          </w:rPr>
          <w:t>http://data.europa.eu/eli/reg/2011/1173/oj</w:t>
        </w:r>
      </w:hyperlink>
      <w:r w:rsidRPr="00E401FC">
        <w:rPr>
          <w:sz w:val="24"/>
          <w:lang w:val="fi-FI"/>
        </w:rPr>
        <w:t>.</w:t>
      </w:r>
    </w:p>
  </w:footnote>
  <w:footnote w:id="6">
    <w:p w14:paraId="51C06980" w14:textId="1DF09460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 306 de 23.11.2011, p. 8, ELI: </w:t>
      </w:r>
      <w:hyperlink r:id="rId6" w:tgtFrame="http://data.europa.eu/eli/reg/2011/1174/oj" w:history="1">
        <w:r w:rsidRPr="00E401FC">
          <w:rPr>
            <w:rStyle w:val="Hyperlink"/>
            <w:sz w:val="24"/>
            <w:lang w:val="fi-FI"/>
          </w:rPr>
          <w:t>http://data.europa.eu/eli/reg/2011/1174/oj</w:t>
        </w:r>
      </w:hyperlink>
      <w:r w:rsidRPr="00E401FC">
        <w:rPr>
          <w:sz w:val="24"/>
          <w:lang w:val="fi-FI"/>
        </w:rPr>
        <w:t>.</w:t>
      </w:r>
    </w:p>
  </w:footnote>
  <w:footnote w:id="7">
    <w:p w14:paraId="3EAE2C8A" w14:textId="1B104514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 306 de 23.11.2011, p. 25, ELI: </w:t>
      </w:r>
      <w:hyperlink r:id="rId7" w:tgtFrame="http://data.europa.eu/eli/reg/2011/1176/oj" w:history="1">
        <w:r w:rsidRPr="00E401FC">
          <w:rPr>
            <w:rStyle w:val="Hyperlink"/>
            <w:sz w:val="24"/>
            <w:lang w:val="fi-FI"/>
          </w:rPr>
          <w:t>http://data.europa.eu/eli/reg/2011/1176/oj</w:t>
        </w:r>
      </w:hyperlink>
      <w:r w:rsidRPr="00E401FC">
        <w:rPr>
          <w:sz w:val="24"/>
          <w:lang w:val="fi-FI"/>
        </w:rPr>
        <w:t>.</w:t>
      </w:r>
    </w:p>
  </w:footnote>
  <w:footnote w:id="8">
    <w:p w14:paraId="4DF1E127" w14:textId="0D800466" w:rsidR="00455BC2" w:rsidRPr="00E401FC" w:rsidRDefault="00455BC2" w:rsidP="002C31C8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E401FC">
        <w:rPr>
          <w:sz w:val="24"/>
          <w:vertAlign w:val="superscript"/>
          <w:lang w:val="fi-FI"/>
        </w:rPr>
        <w:t xml:space="preserve"> </w:t>
      </w:r>
      <w:r w:rsidRPr="00E401FC">
        <w:rPr>
          <w:sz w:val="24"/>
          <w:vertAlign w:val="superscript"/>
          <w:lang w:val="fi-FI"/>
        </w:rPr>
        <w:tab/>
      </w:r>
      <w:r w:rsidRPr="00E401FC">
        <w:rPr>
          <w:sz w:val="24"/>
          <w:lang w:val="fi-FI"/>
        </w:rPr>
        <w:t xml:space="preserve">JO L 140 de 27.5.2013, p. 1, ELI: </w:t>
      </w:r>
      <w:hyperlink r:id="rId8" w:tgtFrame="http://data.europa.eu/eli/reg/2013/472/oj" w:history="1">
        <w:r w:rsidRPr="00E401FC">
          <w:rPr>
            <w:rStyle w:val="Hyperlink"/>
            <w:sz w:val="24"/>
            <w:lang w:val="fi-FI"/>
          </w:rPr>
          <w:t>http://data.europa.eu/eli/reg/2013/472/oj</w:t>
        </w:r>
      </w:hyperlink>
      <w:r w:rsidRPr="00E401FC">
        <w:rPr>
          <w:sz w:val="24"/>
          <w:lang w:val="fi-FI"/>
        </w:rPr>
        <w:t>.</w:t>
      </w:r>
    </w:p>
  </w:footnote>
  <w:footnote w:id="9">
    <w:p w14:paraId="22685247" w14:textId="6EA45610" w:rsidR="00455BC2" w:rsidRPr="002C31C8" w:rsidRDefault="00455BC2" w:rsidP="002C31C8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2C31C8">
        <w:rPr>
          <w:sz w:val="24"/>
          <w:vertAlign w:val="superscript"/>
          <w:lang w:val="pt-PT"/>
        </w:rPr>
        <w:t xml:space="preserve"> </w:t>
      </w:r>
      <w:r w:rsidRPr="002C31C8">
        <w:rPr>
          <w:sz w:val="24"/>
          <w:vertAlign w:val="superscript"/>
          <w:lang w:val="pt-PT"/>
        </w:rPr>
        <w:tab/>
      </w:r>
      <w:r w:rsidRPr="002C31C8">
        <w:rPr>
          <w:sz w:val="24"/>
          <w:lang w:val="pt-PT"/>
        </w:rPr>
        <w:t xml:space="preserve">JO L 140 de 27.5.2013, p. 11, ELI: </w:t>
      </w:r>
      <w:hyperlink r:id="rId9" w:tgtFrame="http://data.europa.eu/eli/reg/2013/473/oj" w:history="1">
        <w:r w:rsidRPr="002C31C8">
          <w:rPr>
            <w:rStyle w:val="Hyperlink"/>
            <w:sz w:val="24"/>
            <w:lang w:val="pt-PT"/>
          </w:rPr>
          <w:t>http://data.europa.eu/eli/reg/2013/473/oj</w:t>
        </w:r>
      </w:hyperlink>
      <w:r w:rsidRPr="002C31C8">
        <w:rPr>
          <w:sz w:val="24"/>
          <w:lang w:val="pt-PT"/>
        </w:rPr>
        <w:t>.</w:t>
      </w:r>
    </w:p>
  </w:footnote>
  <w:footnote w:id="10">
    <w:p w14:paraId="60B98343" w14:textId="32CBFE8E" w:rsidR="00455BC2" w:rsidRPr="002C31C8" w:rsidRDefault="00455BC2" w:rsidP="002C31C8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2C31C8">
        <w:rPr>
          <w:sz w:val="24"/>
          <w:vertAlign w:val="superscript"/>
          <w:lang w:val="pt-PT"/>
        </w:rPr>
        <w:t xml:space="preserve"> </w:t>
      </w:r>
      <w:r w:rsidRPr="002C31C8">
        <w:rPr>
          <w:sz w:val="24"/>
          <w:vertAlign w:val="superscript"/>
          <w:lang w:val="pt-PT"/>
        </w:rPr>
        <w:tab/>
      </w:r>
      <w:r w:rsidRPr="002C31C8">
        <w:rPr>
          <w:sz w:val="24"/>
          <w:lang w:val="pt-PT"/>
        </w:rPr>
        <w:t>Comunicação da Comissão, de 19 de março de 2025, intitulada «União da Poupança e dos Investimentos — Uma estratégia para promover o património dos cidadãos e a competitividade económica na UE» (COM(2025)0124)</w:t>
      </w:r>
      <w:r>
        <w:rPr>
          <w:sz w:val="24"/>
          <w:lang w:val="pt-PT"/>
        </w:rPr>
        <w:t>.</w:t>
      </w:r>
    </w:p>
  </w:footnote>
  <w:footnote w:id="11">
    <w:p w14:paraId="23EEF890" w14:textId="748A3134" w:rsidR="00455BC2" w:rsidRPr="002C31C8" w:rsidRDefault="00455BC2" w:rsidP="002C31C8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2C31C8">
        <w:rPr>
          <w:sz w:val="24"/>
          <w:vertAlign w:val="superscript"/>
          <w:lang w:val="pt-PT"/>
        </w:rPr>
        <w:t xml:space="preserve"> </w:t>
      </w:r>
      <w:r w:rsidRPr="002C31C8">
        <w:rPr>
          <w:sz w:val="24"/>
          <w:vertAlign w:val="superscript"/>
          <w:lang w:val="pt-PT"/>
        </w:rPr>
        <w:tab/>
      </w:r>
      <w:r w:rsidRPr="002C31C8">
        <w:rPr>
          <w:sz w:val="24"/>
          <w:lang w:val="pt-PT"/>
        </w:rPr>
        <w:t xml:space="preserve">Regulamento (UE) 2024/1263 do Parlamento Europeu e do Conselho, de 29 de abril de 2024, relativo à coordenação eficaz das políticas económicas e à supervisão orçamental multilateral e que revoga o Regulamento (CE) n.º 1466/97 do Conselho (JO L, 2024/1263, 30.4.2024, ELI: </w:t>
      </w:r>
      <w:hyperlink r:id="rId10" w:tgtFrame="http://data.europa.eu/eli/reg/2024/1263/oj" w:history="1">
        <w:r w:rsidRPr="002C31C8">
          <w:rPr>
            <w:rStyle w:val="Hyperlink"/>
            <w:sz w:val="24"/>
            <w:lang w:val="pt-PT"/>
          </w:rPr>
          <w:t>http://data.europa.eu/eli/reg/2024/1263/oj</w:t>
        </w:r>
      </w:hyperlink>
      <w:r w:rsidRPr="002C31C8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ECFB1" w14:textId="77777777" w:rsidR="00064002" w:rsidRPr="002C31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9216D" w14:textId="77777777" w:rsidR="00064002" w:rsidRPr="002C31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4985" w14:textId="77777777" w:rsidR="00064002" w:rsidRPr="002C31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7146528">
    <w:abstractNumId w:val="9"/>
  </w:num>
  <w:num w:numId="2" w16cid:durableId="166602375">
    <w:abstractNumId w:val="9"/>
  </w:num>
  <w:num w:numId="3" w16cid:durableId="1106534384">
    <w:abstractNumId w:val="7"/>
  </w:num>
  <w:num w:numId="4" w16cid:durableId="628324176">
    <w:abstractNumId w:val="7"/>
  </w:num>
  <w:num w:numId="5" w16cid:durableId="1445996160">
    <w:abstractNumId w:val="6"/>
  </w:num>
  <w:num w:numId="6" w16cid:durableId="1023898409">
    <w:abstractNumId w:val="6"/>
  </w:num>
  <w:num w:numId="7" w16cid:durableId="1467351358">
    <w:abstractNumId w:val="5"/>
  </w:num>
  <w:num w:numId="8" w16cid:durableId="1972511002">
    <w:abstractNumId w:val="5"/>
  </w:num>
  <w:num w:numId="9" w16cid:durableId="839542424">
    <w:abstractNumId w:val="4"/>
  </w:num>
  <w:num w:numId="10" w16cid:durableId="78865282">
    <w:abstractNumId w:val="4"/>
  </w:num>
  <w:num w:numId="11" w16cid:durableId="1267926951">
    <w:abstractNumId w:val="8"/>
  </w:num>
  <w:num w:numId="12" w16cid:durableId="1662276511">
    <w:abstractNumId w:val="8"/>
  </w:num>
  <w:num w:numId="13" w16cid:durableId="343437355">
    <w:abstractNumId w:val="3"/>
  </w:num>
  <w:num w:numId="14" w16cid:durableId="1588150907">
    <w:abstractNumId w:val="3"/>
  </w:num>
  <w:num w:numId="15" w16cid:durableId="1412890838">
    <w:abstractNumId w:val="2"/>
  </w:num>
  <w:num w:numId="16" w16cid:durableId="755249621">
    <w:abstractNumId w:val="2"/>
  </w:num>
  <w:num w:numId="17" w16cid:durableId="1120612861">
    <w:abstractNumId w:val="1"/>
  </w:num>
  <w:num w:numId="18" w16cid:durableId="300501537">
    <w:abstractNumId w:val="1"/>
  </w:num>
  <w:num w:numId="19" w16cid:durableId="733897905">
    <w:abstractNumId w:val="0"/>
  </w:num>
  <w:num w:numId="20" w16cid:durableId="1730956133">
    <w:abstractNumId w:val="0"/>
  </w:num>
  <w:num w:numId="21" w16cid:durableId="782722839">
    <w:abstractNumId w:val="9"/>
  </w:num>
  <w:num w:numId="22" w16cid:durableId="2061589981">
    <w:abstractNumId w:val="7"/>
  </w:num>
  <w:num w:numId="23" w16cid:durableId="1683386824">
    <w:abstractNumId w:val="6"/>
  </w:num>
  <w:num w:numId="24" w16cid:durableId="127169200">
    <w:abstractNumId w:val="5"/>
  </w:num>
  <w:num w:numId="25" w16cid:durableId="825629810">
    <w:abstractNumId w:val="4"/>
  </w:num>
  <w:num w:numId="26" w16cid:durableId="1774979861">
    <w:abstractNumId w:val="8"/>
  </w:num>
  <w:num w:numId="27" w16cid:durableId="382950135">
    <w:abstractNumId w:val="3"/>
  </w:num>
  <w:num w:numId="28" w16cid:durableId="1660689477">
    <w:abstractNumId w:val="2"/>
  </w:num>
  <w:num w:numId="29" w16cid:durableId="58597139">
    <w:abstractNumId w:val="1"/>
  </w:num>
  <w:num w:numId="30" w16cid:durableId="832380806">
    <w:abstractNumId w:val="0"/>
  </w:num>
  <w:num w:numId="31" w16cid:durableId="486867217">
    <w:abstractNumId w:val="9"/>
  </w:num>
  <w:num w:numId="32" w16cid:durableId="318340868">
    <w:abstractNumId w:val="7"/>
  </w:num>
  <w:num w:numId="33" w16cid:durableId="1531991649">
    <w:abstractNumId w:val="6"/>
  </w:num>
  <w:num w:numId="34" w16cid:durableId="615604410">
    <w:abstractNumId w:val="5"/>
  </w:num>
  <w:num w:numId="35" w16cid:durableId="1533612368">
    <w:abstractNumId w:val="4"/>
  </w:num>
  <w:num w:numId="36" w16cid:durableId="1213156089">
    <w:abstractNumId w:val="8"/>
  </w:num>
  <w:num w:numId="37" w16cid:durableId="952395396">
    <w:abstractNumId w:val="3"/>
  </w:num>
  <w:num w:numId="38" w16cid:durableId="1833787829">
    <w:abstractNumId w:val="2"/>
  </w:num>
  <w:num w:numId="39" w16cid:durableId="1040668770">
    <w:abstractNumId w:val="1"/>
  </w:num>
  <w:num w:numId="40" w16cid:durableId="630595093">
    <w:abstractNumId w:val="0"/>
  </w:num>
  <w:num w:numId="41" w16cid:durableId="686180238">
    <w:abstractNumId w:val="10"/>
  </w:num>
  <w:num w:numId="42" w16cid:durableId="333845754">
    <w:abstractNumId w:val="10"/>
  </w:num>
  <w:num w:numId="43" w16cid:durableId="1919288139">
    <w:abstractNumId w:val="10"/>
  </w:num>
  <w:num w:numId="44" w16cid:durableId="13783600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6/2026"/>
    <w:docVar w:name="dvlangue" w:val="PT"/>
    <w:docVar w:name="dvnumam" w:val="47"/>
    <w:docVar w:name="dvpe" w:val="779.614"/>
    <w:docVar w:name="dvrapporteur" w:val="Relator: "/>
    <w:docVar w:name="dvtitre" w:val="Resolução do Parlamento Europeu, de ... de ... de 2026,_x000d__x000a_ sobre o Semestre Europeu para a coordenação das políticas económicas 2026(2025/2214(INI))"/>
  </w:docVars>
  <w:rsids>
    <w:rsidRoot w:val="006142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B5C"/>
    <w:rsid w:val="001F1BB9"/>
    <w:rsid w:val="001F32AE"/>
    <w:rsid w:val="002767FF"/>
    <w:rsid w:val="002B18FE"/>
    <w:rsid w:val="002B5493"/>
    <w:rsid w:val="002C31C8"/>
    <w:rsid w:val="00343214"/>
    <w:rsid w:val="00361C00"/>
    <w:rsid w:val="00395FA1"/>
    <w:rsid w:val="003E15D4"/>
    <w:rsid w:val="00411CCE"/>
    <w:rsid w:val="0041666E"/>
    <w:rsid w:val="00421060"/>
    <w:rsid w:val="00455BC2"/>
    <w:rsid w:val="00471C19"/>
    <w:rsid w:val="004867E3"/>
    <w:rsid w:val="00494A28"/>
    <w:rsid w:val="004C0004"/>
    <w:rsid w:val="004C5D52"/>
    <w:rsid w:val="004E237A"/>
    <w:rsid w:val="0050519A"/>
    <w:rsid w:val="005072A1"/>
    <w:rsid w:val="00514517"/>
    <w:rsid w:val="00545827"/>
    <w:rsid w:val="00560270"/>
    <w:rsid w:val="00565717"/>
    <w:rsid w:val="005C2568"/>
    <w:rsid w:val="005F1B17"/>
    <w:rsid w:val="006037C0"/>
    <w:rsid w:val="00614288"/>
    <w:rsid w:val="006631B6"/>
    <w:rsid w:val="00680577"/>
    <w:rsid w:val="0069767B"/>
    <w:rsid w:val="006F74FA"/>
    <w:rsid w:val="00731ADD"/>
    <w:rsid w:val="00734777"/>
    <w:rsid w:val="00747932"/>
    <w:rsid w:val="00751A4A"/>
    <w:rsid w:val="00756632"/>
    <w:rsid w:val="00762C74"/>
    <w:rsid w:val="00764A36"/>
    <w:rsid w:val="00786EC0"/>
    <w:rsid w:val="007D1690"/>
    <w:rsid w:val="007E22AD"/>
    <w:rsid w:val="00817416"/>
    <w:rsid w:val="00842779"/>
    <w:rsid w:val="00865F67"/>
    <w:rsid w:val="008713C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1F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EF7"/>
    <w:rsid w:val="00F74202"/>
    <w:rsid w:val="00F87713"/>
    <w:rsid w:val="00F92C0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D3DD8"/>
  <w15:chartTrackingRefBased/>
  <w15:docId w15:val="{763BD96E-ED27-4AF5-8887-37DAFE10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9767B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9767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9767B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9767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9767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9767B"/>
    <w:rPr>
      <w:color w:val="0000FF"/>
      <w:u w:val="single"/>
    </w:rPr>
  </w:style>
  <w:style w:type="paragraph" w:styleId="Revision">
    <w:name w:val="Revision"/>
    <w:hidden/>
    <w:uiPriority w:val="99"/>
    <w:semiHidden/>
    <w:rsid w:val="008713C0"/>
    <w:rPr>
      <w:sz w:val="24"/>
      <w:lang w:val="pt-PT"/>
    </w:rPr>
  </w:style>
  <w:style w:type="character" w:styleId="CommentReference">
    <w:name w:val="annotation reference"/>
    <w:basedOn w:val="DefaultParagraphFont"/>
    <w:rsid w:val="00F92C0F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2C0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2C0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92C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2C0F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55B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472/oj" TargetMode="External"/><Relationship Id="rId3" Type="http://schemas.openxmlformats.org/officeDocument/2006/relationships/hyperlink" Target="http://data.europa.eu/eli/reg/2024/1264/oj" TargetMode="External"/><Relationship Id="rId7" Type="http://schemas.openxmlformats.org/officeDocument/2006/relationships/hyperlink" Target="http://data.europa.eu/eli/reg/2011/1176/oj" TargetMode="External"/><Relationship Id="rId2" Type="http://schemas.openxmlformats.org/officeDocument/2006/relationships/hyperlink" Target="http://data.europa.eu/eli/reg/2024/1263/oj" TargetMode="External"/><Relationship Id="rId1" Type="http://schemas.openxmlformats.org/officeDocument/2006/relationships/hyperlink" Target="http://data.europa.eu/eli/reg/2021/1119/oj" TargetMode="External"/><Relationship Id="rId6" Type="http://schemas.openxmlformats.org/officeDocument/2006/relationships/hyperlink" Target="http://data.europa.eu/eli/reg/2011/1174/oj" TargetMode="External"/><Relationship Id="rId5" Type="http://schemas.openxmlformats.org/officeDocument/2006/relationships/hyperlink" Target="http://data.europa.eu/eli/reg/2011/1173/oj" TargetMode="External"/><Relationship Id="rId10" Type="http://schemas.openxmlformats.org/officeDocument/2006/relationships/hyperlink" Target="http://data.europa.eu/eli/reg/2024/1263/oj" TargetMode="External"/><Relationship Id="rId4" Type="http://schemas.openxmlformats.org/officeDocument/2006/relationships/hyperlink" Target="http://data.europa.eu/eli/dir/2024/1265/oj" TargetMode="External"/><Relationship Id="rId9" Type="http://schemas.openxmlformats.org/officeDocument/2006/relationships/hyperlink" Target="http://data.europa.eu/eli/reg/2013/4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4671</Words>
  <Characters>25550</Characters>
  <Application>Microsoft Office Word</Application>
  <DocSecurity>0</DocSecurity>
  <Lines>212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2026-03-11T14:29:00Z</dcterms:created>
  <dcterms:modified xsi:type="dcterms:W3CDTF">2026-03-11T14:29:00Z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A10-0036/2026</vt:lpwstr>
  </property>
  <property fmtid="{D5CDD505-2E9C-101B-9397-08002B2CF9AE}" pid="4" name="&lt;Type&gt;">
    <vt:lpwstr>RR</vt:lpwstr>
  </property>
</Properties>
</file>