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7149" w14:paraId="16C3A0A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8B7786" w14:textId="77777777" w:rsidR="00751A4A" w:rsidRPr="00657149" w:rsidRDefault="00023A9A" w:rsidP="0010095E">
            <w:pPr>
              <w:pStyle w:val="EPName"/>
            </w:pPr>
            <w:r w:rsidRPr="00657149">
              <w:t>Európsky parlament</w:t>
            </w:r>
          </w:p>
          <w:p w14:paraId="5B751403" w14:textId="77777777" w:rsidR="00751A4A" w:rsidRPr="0065714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7149">
              <w:t>2024</w:t>
            </w:r>
            <w:r w:rsidR="00817416" w:rsidRPr="00657149">
              <w:t>-202</w:t>
            </w:r>
            <w:r w:rsidRPr="00657149">
              <w:t>9</w:t>
            </w:r>
          </w:p>
        </w:tc>
        <w:tc>
          <w:tcPr>
            <w:tcW w:w="2268" w:type="dxa"/>
            <w:shd w:val="clear" w:color="auto" w:fill="auto"/>
          </w:tcPr>
          <w:p w14:paraId="358DAA1B" w14:textId="77777777" w:rsidR="00751A4A" w:rsidRPr="00657149" w:rsidRDefault="00187494" w:rsidP="0010095E">
            <w:pPr>
              <w:pStyle w:val="EPLogo"/>
            </w:pPr>
            <w:r w:rsidRPr="00657149">
              <w:rPr>
                <w:noProof/>
                <w:lang w:eastAsia="ja-JP"/>
              </w:rPr>
              <w:drawing>
                <wp:inline distT="0" distB="0" distL="0" distR="0" wp14:anchorId="78F705DB" wp14:editId="37A88D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F80900" w14:textId="77777777" w:rsidR="00D058B8" w:rsidRPr="00657149" w:rsidRDefault="00D058B8" w:rsidP="004C5D52">
      <w:pPr>
        <w:pStyle w:val="LineTop"/>
      </w:pPr>
    </w:p>
    <w:p w14:paraId="6B7E4460" w14:textId="77777777" w:rsidR="00680577" w:rsidRPr="00657149" w:rsidRDefault="00023A9A" w:rsidP="00680577">
      <w:pPr>
        <w:pStyle w:val="EPBodyTA1"/>
      </w:pPr>
      <w:r w:rsidRPr="00657149">
        <w:t>PRIJATÉ TEXTY</w:t>
      </w:r>
    </w:p>
    <w:p w14:paraId="66120EFC" w14:textId="77777777" w:rsidR="00D058B8" w:rsidRPr="00657149" w:rsidRDefault="00D058B8" w:rsidP="00D058B8">
      <w:pPr>
        <w:pStyle w:val="LineBottom"/>
      </w:pPr>
    </w:p>
    <w:p w14:paraId="0A016D3E" w14:textId="73C892CD" w:rsidR="006D6393" w:rsidRPr="00657149" w:rsidRDefault="00023A9A" w:rsidP="006D6393">
      <w:pPr>
        <w:pStyle w:val="ATHeading1"/>
      </w:pPr>
      <w:bookmarkStart w:id="0" w:name="TANumber"/>
      <w:r w:rsidRPr="00657149">
        <w:t>P10_TA(2026)00</w:t>
      </w:r>
      <w:r w:rsidR="00575A0E" w:rsidRPr="00657149">
        <w:t>7</w:t>
      </w:r>
      <w:r w:rsidR="006D6393" w:rsidRPr="00657149">
        <w:t>5</w:t>
      </w:r>
      <w:bookmarkEnd w:id="0"/>
    </w:p>
    <w:p w14:paraId="6B4CA341" w14:textId="77777777" w:rsidR="00023A9A" w:rsidRPr="00657149" w:rsidRDefault="00023A9A" w:rsidP="00023A9A">
      <w:pPr>
        <w:pStyle w:val="ATHeading2"/>
      </w:pPr>
      <w:bookmarkStart w:id="1" w:name="title"/>
      <w:r w:rsidRPr="00657149">
        <w:t>Európsky semester pre koordináciu hospodárskych politík 2026</w:t>
      </w:r>
      <w:bookmarkEnd w:id="1"/>
    </w:p>
    <w:p w14:paraId="761FE2FB" w14:textId="77777777" w:rsidR="00023A9A" w:rsidRPr="00657149" w:rsidRDefault="00023A9A" w:rsidP="00023A9A">
      <w:pPr>
        <w:rPr>
          <w:i/>
          <w:vanish/>
        </w:rPr>
      </w:pPr>
      <w:r w:rsidRPr="00657149">
        <w:rPr>
          <w:i/>
        </w:rPr>
        <w:fldChar w:fldCharType="begin"/>
      </w:r>
      <w:r w:rsidRPr="00657149">
        <w:rPr>
          <w:i/>
        </w:rPr>
        <w:instrText xml:space="preserve"> TC"(</w:instrText>
      </w:r>
      <w:bookmarkStart w:id="2" w:name="DocNumber"/>
      <w:r w:rsidRPr="00657149">
        <w:rPr>
          <w:i/>
        </w:rPr>
        <w:instrText>A10-0036/2026</w:instrText>
      </w:r>
      <w:bookmarkEnd w:id="2"/>
      <w:r w:rsidRPr="00657149">
        <w:rPr>
          <w:i/>
        </w:rPr>
        <w:instrText xml:space="preserve"> - Spravodajkyňa: Kira Marie Peter-Hansen)"\l3 \n&gt; \* MERGEFORMAT </w:instrText>
      </w:r>
      <w:r w:rsidRPr="00657149">
        <w:rPr>
          <w:i/>
        </w:rPr>
        <w:fldChar w:fldCharType="end"/>
      </w:r>
    </w:p>
    <w:p w14:paraId="4053A674" w14:textId="77777777" w:rsidR="00023A9A" w:rsidRPr="00657149" w:rsidRDefault="00023A9A" w:rsidP="00023A9A">
      <w:pPr>
        <w:rPr>
          <w:vanish/>
        </w:rPr>
      </w:pPr>
      <w:bookmarkStart w:id="3" w:name="Commission"/>
      <w:r w:rsidRPr="00657149">
        <w:rPr>
          <w:vanish/>
        </w:rPr>
        <w:t>Výbor pre hospodárske a menové veci</w:t>
      </w:r>
      <w:bookmarkEnd w:id="3"/>
    </w:p>
    <w:p w14:paraId="64257FF0" w14:textId="77777777" w:rsidR="00023A9A" w:rsidRPr="00657149" w:rsidRDefault="00023A9A" w:rsidP="00023A9A">
      <w:pPr>
        <w:rPr>
          <w:vanish/>
        </w:rPr>
      </w:pPr>
      <w:bookmarkStart w:id="4" w:name="PE"/>
      <w:r w:rsidRPr="00657149">
        <w:rPr>
          <w:vanish/>
        </w:rPr>
        <w:t>PE779.614</w:t>
      </w:r>
      <w:bookmarkEnd w:id="4"/>
    </w:p>
    <w:p w14:paraId="0DAA0530" w14:textId="6B362DCA" w:rsidR="00023A9A" w:rsidRPr="00657149" w:rsidRDefault="00023A9A" w:rsidP="00023A9A">
      <w:pPr>
        <w:pStyle w:val="ATHeading3"/>
      </w:pPr>
      <w:bookmarkStart w:id="5" w:name="Sujet"/>
      <w:r w:rsidRPr="00657149">
        <w:t xml:space="preserve">Uznesenie Európskeho parlamentu z </w:t>
      </w:r>
      <w:r w:rsidR="00575A0E" w:rsidRPr="00657149">
        <w:t>11</w:t>
      </w:r>
      <w:r w:rsidRPr="00657149">
        <w:t xml:space="preserve">. </w:t>
      </w:r>
      <w:r w:rsidR="006B4334" w:rsidRPr="00657149">
        <w:t xml:space="preserve">marca </w:t>
      </w:r>
      <w:r w:rsidRPr="00657149">
        <w:t>2026 o európskom semestri pre koordináciu hospodárskych politík 2026</w:t>
      </w:r>
      <w:bookmarkEnd w:id="5"/>
      <w:r w:rsidRPr="00657149">
        <w:t xml:space="preserve"> </w:t>
      </w:r>
      <w:bookmarkStart w:id="6" w:name="References"/>
      <w:r w:rsidRPr="00657149">
        <w:t>(2025/2214(INI))</w:t>
      </w:r>
      <w:bookmarkEnd w:id="6"/>
    </w:p>
    <w:p w14:paraId="11EB37E9" w14:textId="77777777" w:rsidR="00990856" w:rsidRPr="00657149" w:rsidRDefault="00990856" w:rsidP="00990856">
      <w:pPr>
        <w:pStyle w:val="Normal12"/>
      </w:pPr>
      <w:r w:rsidRPr="00657149">
        <w:rPr>
          <w:i/>
        </w:rPr>
        <w:t>Európsky parlament</w:t>
      </w:r>
      <w:r w:rsidRPr="00657149">
        <w:t>,</w:t>
      </w:r>
    </w:p>
    <w:p w14:paraId="07CC9A9F" w14:textId="06758810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Zmluvu o fungovaní Európskej únie (</w:t>
      </w:r>
      <w:r w:rsidR="006B4334" w:rsidRPr="00657149">
        <w:t>ďalej len „</w:t>
      </w:r>
      <w:r w:rsidRPr="00657149">
        <w:t>ZFEÚ</w:t>
      </w:r>
      <w:r w:rsidR="006B4334" w:rsidRPr="00657149">
        <w:t>“</w:t>
      </w:r>
      <w:r w:rsidRPr="00657149">
        <w:t>), najmä na jej články 121, 126 a 136,</w:t>
      </w:r>
    </w:p>
    <w:p w14:paraId="4F548959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Protokol č. 1 k Zmluve o Európskej únii (ďalej len „Zmluva o EÚ“) a ZFEÚ o úlohe národných parlamentov v Európskej únii,</w:t>
      </w:r>
    </w:p>
    <w:p w14:paraId="7925EF06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Protokol č. 2 k Zmluve o EÚ a ZFEÚ o uplatňovaní zásad subsidiarity a proporcionality,</w:t>
      </w:r>
    </w:p>
    <w:p w14:paraId="3F4FB543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Parížsku dohodu Konferencie zmluvných strán Rámcového dohovoru OSN o zmene klímy z 12. decembra 2015 a na ciele OSN v oblasti udržateľného rozvoja,</w:t>
      </w:r>
    </w:p>
    <w:p w14:paraId="6FE99D62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nariadenie Európskeho parlamentu a Rady (EÚ) 2021/1119 z 30. júna 2021, ktorým sa stanovuje rámec na dosiahnutie klimatickej neutrality a menia nariadenia (ES) č. 401/2009 a (EÚ) 2018/1999 (európsky právny predpis v oblasti klímy)</w:t>
      </w:r>
      <w:r w:rsidRPr="00657149">
        <w:rPr>
          <w:rStyle w:val="FootnoteReference"/>
        </w:rPr>
        <w:footnoteReference w:customMarkFollows="1" w:id="1"/>
        <w:t>1</w:t>
      </w:r>
      <w:r w:rsidRPr="00657149">
        <w:t>,</w:t>
      </w:r>
    </w:p>
    <w:p w14:paraId="7047B4D4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Protokol č. 12 k Zmluve o EÚ a ZFEÚ o postupe pri nadmernom deficite,</w:t>
      </w:r>
    </w:p>
    <w:p w14:paraId="09F12F84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Zmluvu o stabilite, koordinácii a správe v hospodárskej a menovej únii,</w:t>
      </w:r>
    </w:p>
    <w:p w14:paraId="04B8903B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nariadenie Európskeho parlamentu a Rady (EÚ) 2024/1263 z 29. apríla 2024 o účinnej koordinácii hospodárskych politík a mnohostrannom rozpočtovom dohľade a o zrušení nariadenia Rady (ES) č. 1466/97</w:t>
      </w:r>
      <w:r w:rsidRPr="00657149">
        <w:rPr>
          <w:rStyle w:val="FootnoteReference"/>
        </w:rPr>
        <w:footnoteReference w:customMarkFollows="1" w:id="2"/>
        <w:t>2</w:t>
      </w:r>
      <w:r w:rsidRPr="00657149">
        <w:t>,</w:t>
      </w:r>
    </w:p>
    <w:p w14:paraId="3781E088" w14:textId="77777777" w:rsidR="00990856" w:rsidRPr="00657149" w:rsidRDefault="00990856" w:rsidP="00990856">
      <w:pPr>
        <w:pStyle w:val="NormalHanging"/>
      </w:pPr>
      <w:r w:rsidRPr="00657149">
        <w:lastRenderedPageBreak/>
        <w:t>–</w:t>
      </w:r>
      <w:r w:rsidRPr="00657149">
        <w:tab/>
        <w:t>so zreteľom na nariadenie Rady (EÚ) 2024/1264 z 29. apríla 2024, ktorým sa mení nariadenie (ES) č. 1467/97 o urýchľovaní a objasňovaní vykonania postupu pri nadmernom schodku</w:t>
      </w:r>
      <w:r w:rsidRPr="00657149">
        <w:rPr>
          <w:rStyle w:val="FootnoteReference"/>
        </w:rPr>
        <w:footnoteReference w:customMarkFollows="1" w:id="3"/>
        <w:t>3</w:t>
      </w:r>
      <w:r w:rsidRPr="00657149">
        <w:t>,</w:t>
      </w:r>
    </w:p>
    <w:p w14:paraId="0C8F849F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smernicu Rady (EÚ) 2024/1265 z 29. apríla 2024, ktorou sa mení smernica 2011/85/EÚ o požiadavkách na rozpočtové rámce členských štátov</w:t>
      </w:r>
      <w:r w:rsidRPr="00657149">
        <w:rPr>
          <w:rStyle w:val="FootnoteReference"/>
        </w:rPr>
        <w:footnoteReference w:customMarkFollows="1" w:id="4"/>
        <w:t>4</w:t>
      </w:r>
      <w:r w:rsidRPr="00657149">
        <w:t>,</w:t>
      </w:r>
    </w:p>
    <w:p w14:paraId="78DF789D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nariadenie Európskeho parlamentu a Rady (EÚ) č. 1173/2011 zo 16. novembra 2011 o účinnom presadzovaní rozpočtového dohľadu v eurozóne</w:t>
      </w:r>
      <w:r w:rsidRPr="00657149">
        <w:rPr>
          <w:rStyle w:val="FootnoteReference"/>
        </w:rPr>
        <w:footnoteReference w:customMarkFollows="1" w:id="5"/>
        <w:t>5</w:t>
      </w:r>
      <w:r w:rsidRPr="00657149">
        <w:t>,</w:t>
      </w:r>
    </w:p>
    <w:p w14:paraId="3023095C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nariadenie Európskeho parlamentu a Rady (EÚ) č. 1174/2011 zo 16. novembra 2011 o opatreniach na presadzovanie vykonávania nápravy nadmernej makroekonomickej nerovnováhy v rámci eurozóny</w:t>
      </w:r>
      <w:r w:rsidRPr="00657149">
        <w:rPr>
          <w:rStyle w:val="FootnoteReference"/>
        </w:rPr>
        <w:footnoteReference w:customMarkFollows="1" w:id="6"/>
        <w:t>6</w:t>
      </w:r>
      <w:r w:rsidRPr="00657149">
        <w:t>,</w:t>
      </w:r>
    </w:p>
    <w:p w14:paraId="4B2ADEAB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nariadenie Európskeho parlamentu a Rady (EÚ) č. 1176/2011 zo 16. novembra 2011 o prevencii a náprave makroekonomických nerovnováh</w:t>
      </w:r>
      <w:r w:rsidRPr="00657149">
        <w:rPr>
          <w:rStyle w:val="FootnoteReference"/>
        </w:rPr>
        <w:footnoteReference w:customMarkFollows="1" w:id="7"/>
        <w:t>7</w:t>
      </w:r>
      <w:r w:rsidRPr="00657149">
        <w:t>,</w:t>
      </w:r>
    </w:p>
    <w:p w14:paraId="46AD3491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nariadenie Európskeho parlamentu a Rady (EÚ) č. 472/2013 z 21. mája 2013 o sprísnení hospodárskeho a rozpočtového dohľadu nad členskými štátmi v eurozóne, ktoré majú závažné ťažkosti v súvislosti so svojou finančnou stabilitou, alebo im takéto ťažkosti hrozia</w:t>
      </w:r>
      <w:r w:rsidRPr="00657149">
        <w:rPr>
          <w:rStyle w:val="FootnoteReference"/>
        </w:rPr>
        <w:footnoteReference w:customMarkFollows="1" w:id="8"/>
        <w:t>8</w:t>
      </w:r>
      <w:r w:rsidRPr="00657149">
        <w:t>,</w:t>
      </w:r>
    </w:p>
    <w:p w14:paraId="7DC66E79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nariadenie Európskeho parlamentu a Rady (EÚ) č. 473/2013 z 21. mája 2013 o spoločných ustanoveniach o monitorovaní a posudzovaní návrhov rozpočtových plánov a zabezpečení nápravy nadmerného deficitu členských štátov v eurozóne</w:t>
      </w:r>
      <w:r w:rsidRPr="00657149">
        <w:rPr>
          <w:rStyle w:val="FootnoteReference"/>
        </w:rPr>
        <w:footnoteReference w:customMarkFollows="1" w:id="9"/>
        <w:t>9</w:t>
      </w:r>
      <w:r w:rsidRPr="00657149">
        <w:t>,</w:t>
      </w:r>
    </w:p>
    <w:p w14:paraId="408902F4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hospodársku prognózu Komisie z jari 2025 zverejnenú 19. mája 2025,</w:t>
      </w:r>
    </w:p>
    <w:p w14:paraId="6343332A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hospodársku prognózu Komisie z jesene 2025 zverejnenú 17. novembra 2025,</w:t>
      </w:r>
    </w:p>
    <w:p w14:paraId="240EBB02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jesenný balík európskeho semestra 2026, ktorý Komisia zverejnila 25. novembra 2025,</w:t>
      </w:r>
    </w:p>
    <w:p w14:paraId="64291304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Monitor udržateľnosti dlhovej služby 2024 vypracovaný Komisiou 17. marca 2025,</w:t>
      </w:r>
    </w:p>
    <w:p w14:paraId="16CB71BF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oznámenie Komisie z 19. marca 2025 s názvom Zohľadnenie zvýšených výdavkov na obranu v rámci Paktu stability a rastu (C(2025)2000),</w:t>
      </w:r>
    </w:p>
    <w:p w14:paraId="15D77871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výročnú správu Európskej fiškálnej rady za rok 2025 uverejnenú 22. októbra 2025,</w:t>
      </w:r>
    </w:p>
    <w:p w14:paraId="0634488B" w14:textId="77777777" w:rsidR="00990856" w:rsidRPr="00657149" w:rsidRDefault="00990856" w:rsidP="00990856">
      <w:pPr>
        <w:pStyle w:val="NormalHanging"/>
      </w:pPr>
      <w:r w:rsidRPr="00657149">
        <w:lastRenderedPageBreak/>
        <w:t>–</w:t>
      </w:r>
      <w:r w:rsidRPr="00657149">
        <w:tab/>
        <w:t xml:space="preserve">so zreteľom na správu </w:t>
      </w:r>
      <w:proofErr w:type="spellStart"/>
      <w:r w:rsidRPr="00657149">
        <w:t>Maria</w:t>
      </w:r>
      <w:proofErr w:type="spellEnd"/>
      <w:r w:rsidRPr="00657149">
        <w:t xml:space="preserve"> </w:t>
      </w:r>
      <w:proofErr w:type="spellStart"/>
      <w:r w:rsidRPr="00657149">
        <w:t>Draghiho</w:t>
      </w:r>
      <w:proofErr w:type="spellEnd"/>
      <w:r w:rsidRPr="00657149">
        <w:t xml:space="preserve"> z 9. septembra 2024 s názvom Budúcnosť európskej konkurencieschopnosti (</w:t>
      </w:r>
      <w:proofErr w:type="spellStart"/>
      <w:r w:rsidRPr="00657149">
        <w:t>Draghiho</w:t>
      </w:r>
      <w:proofErr w:type="spellEnd"/>
      <w:r w:rsidRPr="00657149">
        <w:t xml:space="preserve"> správa),</w:t>
      </w:r>
    </w:p>
    <w:p w14:paraId="1ECFA689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spoločné oznámenie Komisie a vysokého predstaviteľa Únie pre zahraničné veci a bezpečnostnú politiku z 19. marca 2025 s názvom Spoločná biela kniha o európskej obrannej pripravenosti 2030 (JOIN(2025)0120),</w:t>
      </w:r>
    </w:p>
    <w:p w14:paraId="1F34856D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 xml:space="preserve">so zreteľom na správu Spoločného výskumného centra s názvom Meranie udržateľného a inkluzívneho blahobytu: prístup založený na </w:t>
      </w:r>
      <w:proofErr w:type="spellStart"/>
      <w:r w:rsidRPr="00657149">
        <w:t>multidimenzionálnom</w:t>
      </w:r>
      <w:proofErr w:type="spellEnd"/>
      <w:r w:rsidRPr="00657149">
        <w:t xml:space="preserve"> prehľade (</w:t>
      </w:r>
      <w:proofErr w:type="spellStart"/>
      <w:r w:rsidRPr="00657149">
        <w:t>Measuring</w:t>
      </w:r>
      <w:proofErr w:type="spellEnd"/>
      <w:r w:rsidRPr="00657149">
        <w:t xml:space="preserve"> </w:t>
      </w:r>
      <w:proofErr w:type="spellStart"/>
      <w:r w:rsidRPr="00657149">
        <w:t>sustainable</w:t>
      </w:r>
      <w:proofErr w:type="spellEnd"/>
      <w:r w:rsidRPr="00657149">
        <w:t xml:space="preserve"> and </w:t>
      </w:r>
      <w:proofErr w:type="spellStart"/>
      <w:r w:rsidRPr="00657149">
        <w:t>inclusive</w:t>
      </w:r>
      <w:proofErr w:type="spellEnd"/>
      <w:r w:rsidRPr="00657149">
        <w:t xml:space="preserve"> </w:t>
      </w:r>
      <w:proofErr w:type="spellStart"/>
      <w:r w:rsidRPr="00657149">
        <w:t>well-being</w:t>
      </w:r>
      <w:proofErr w:type="spellEnd"/>
      <w:r w:rsidRPr="00657149">
        <w:t xml:space="preserve">: a </w:t>
      </w:r>
      <w:proofErr w:type="spellStart"/>
      <w:r w:rsidRPr="00657149">
        <w:t>multidimensional</w:t>
      </w:r>
      <w:proofErr w:type="spellEnd"/>
      <w:r w:rsidRPr="00657149">
        <w:t xml:space="preserve"> </w:t>
      </w:r>
      <w:proofErr w:type="spellStart"/>
      <w:r w:rsidRPr="00657149">
        <w:t>dashboard</w:t>
      </w:r>
      <w:proofErr w:type="spellEnd"/>
      <w:r w:rsidRPr="00657149">
        <w:t xml:space="preserve"> </w:t>
      </w:r>
      <w:proofErr w:type="spellStart"/>
      <w:r w:rsidRPr="00657149">
        <w:t>approach</w:t>
      </w:r>
      <w:proofErr w:type="spellEnd"/>
      <w:r w:rsidRPr="00657149">
        <w:t>), ktorá bola uverejnená 28. januára 2025,</w:t>
      </w:r>
    </w:p>
    <w:p w14:paraId="3CEF6E28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 xml:space="preserve">so zreteľom na </w:t>
      </w:r>
      <w:proofErr w:type="spellStart"/>
      <w:r w:rsidRPr="00657149">
        <w:t>medziinštitucionálne</w:t>
      </w:r>
      <w:proofErr w:type="spellEnd"/>
      <w:r w:rsidRPr="00657149">
        <w:t xml:space="preserve"> vyhlásenie Európskeho piliera sociálnych práv z 13. decembra 2017,</w:t>
      </w:r>
    </w:p>
    <w:p w14:paraId="4861B9EA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vyhlásenie z La </w:t>
      </w:r>
      <w:proofErr w:type="spellStart"/>
      <w:r w:rsidRPr="00657149">
        <w:t>Hulpe</w:t>
      </w:r>
      <w:proofErr w:type="spellEnd"/>
      <w:r w:rsidRPr="00657149">
        <w:t xml:space="preserve"> o budúcnosti Európskeho piliera sociálnych práv zo 16. apríla 2024,</w:t>
      </w:r>
    </w:p>
    <w:p w14:paraId="6826277D" w14:textId="380BE96D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 xml:space="preserve">so zreteľom na sociálny záväzok Rady, Komisie, </w:t>
      </w:r>
      <w:r w:rsidR="009B2343" w:rsidRPr="00657149">
        <w:t>Európskeho p</w:t>
      </w:r>
      <w:r w:rsidRPr="00657149">
        <w:t>arlamentu a sociálnych partnerov z Porta zo 7. mája 2021,</w:t>
      </w:r>
    </w:p>
    <w:p w14:paraId="1AC5CC51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článok 55 rokovacieho poriadku,</w:t>
      </w:r>
    </w:p>
    <w:p w14:paraId="313BF41A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stanovisko Výboru pre rozpočet,</w:t>
      </w:r>
    </w:p>
    <w:p w14:paraId="64105785" w14:textId="77777777" w:rsidR="00990856" w:rsidRPr="00657149" w:rsidRDefault="00990856" w:rsidP="00990856">
      <w:pPr>
        <w:pStyle w:val="NormalHanging"/>
      </w:pPr>
      <w:r w:rsidRPr="00657149">
        <w:t>–</w:t>
      </w:r>
      <w:r w:rsidRPr="00657149">
        <w:tab/>
        <w:t>so zreteľom na správu Výboru pre hospodárske a menové veci (A10-0036/2026),</w:t>
      </w:r>
    </w:p>
    <w:p w14:paraId="61FA6D7E" w14:textId="77777777" w:rsidR="00990856" w:rsidRPr="00657149" w:rsidRDefault="00990856" w:rsidP="00990856">
      <w:pPr>
        <w:pStyle w:val="NormalHanging"/>
      </w:pPr>
      <w:r w:rsidRPr="00657149">
        <w:t>A.</w:t>
      </w:r>
      <w:r w:rsidRPr="00657149">
        <w:tab/>
        <w:t>keďže európsky semester zohráva dôležitú úlohu pri koordinácii a zosúlaďovaní hospodárskych a rozpočtových politík v členských štátoch s cieľom zabezpečiť makroekonomickú stabilitu hospodárskej a menovej únie a dosiahnuť sociálne spravodlivý prechod na udržateľné hospodárstvo;</w:t>
      </w:r>
    </w:p>
    <w:p w14:paraId="5F47755B" w14:textId="77777777" w:rsidR="00990856" w:rsidRPr="00657149" w:rsidRDefault="00990856" w:rsidP="00990856">
      <w:pPr>
        <w:pStyle w:val="NormalHanging"/>
      </w:pPr>
      <w:r w:rsidRPr="00657149">
        <w:t>B.</w:t>
      </w:r>
      <w:r w:rsidRPr="00657149">
        <w:tab/>
        <w:t>keďže odporúčania európskeho semestra v roku 2026 budú zohrávať zásadnú úlohu pri tvorbe plánov národných a regionálnych partnerstiev, ktoré majú vypracovať členské štáty;</w:t>
      </w:r>
    </w:p>
    <w:p w14:paraId="536E0431" w14:textId="77777777" w:rsidR="00990856" w:rsidRPr="00657149" w:rsidRDefault="00990856" w:rsidP="00990856">
      <w:pPr>
        <w:pStyle w:val="NormalHanging"/>
      </w:pPr>
      <w:r w:rsidRPr="00657149">
        <w:t>C.</w:t>
      </w:r>
      <w:r w:rsidRPr="00657149">
        <w:tab/>
        <w:t>keďže odporúčania pre jednotlivé krajiny v rámci európskeho semestra pravidelne zahŕňajú škrty v sociálnych výdavkoch, pričom sotva riešia zvyšovanie príjmov;</w:t>
      </w:r>
    </w:p>
    <w:p w14:paraId="3EA3A75D" w14:textId="77777777" w:rsidR="00990856" w:rsidRPr="00657149" w:rsidRDefault="00990856" w:rsidP="00990856">
      <w:pPr>
        <w:pStyle w:val="NormalHanging"/>
      </w:pPr>
      <w:r w:rsidRPr="00657149">
        <w:t>D.</w:t>
      </w:r>
      <w:r w:rsidRPr="00657149">
        <w:tab/>
        <w:t>keďže hospodársky výhľad je naďalej neistý, najmä v dôsledku invázie Ruska na Ukrajinu a neistoty spôsobenej protekcionistickými politikami, clami a obchodným napätím, ktoré majú negatívny vplyv na hospodárstvo;</w:t>
      </w:r>
    </w:p>
    <w:p w14:paraId="27587347" w14:textId="77777777" w:rsidR="00990856" w:rsidRPr="00657149" w:rsidRDefault="00990856" w:rsidP="00990856">
      <w:pPr>
        <w:pStyle w:val="NormalHanging"/>
      </w:pPr>
      <w:r w:rsidRPr="00657149">
        <w:t>E.</w:t>
      </w:r>
      <w:r w:rsidRPr="00657149">
        <w:tab/>
        <w:t>keďže podľa hospodárskej prognózy Komisie z jesene 2025 sa očakáva, že rast HDP v EÚ sa bude približovať potenciálnemu rastu, pričom plná zamestnanosť a inflácia budú blízko cieľovej úrovne, hoci inflácia zostáva v niektorých členských štátoch zvýšená;</w:t>
      </w:r>
    </w:p>
    <w:p w14:paraId="074B3221" w14:textId="77777777" w:rsidR="00990856" w:rsidRPr="00657149" w:rsidRDefault="00990856" w:rsidP="00990856">
      <w:pPr>
        <w:pStyle w:val="NormalHanging"/>
      </w:pPr>
      <w:r w:rsidRPr="00657149">
        <w:t>F.</w:t>
      </w:r>
      <w:r w:rsidRPr="00657149">
        <w:tab/>
        <w:t>keďže pre EÚ ako celok Komisia v rokoch 2025 až 2027 prognózuje rast na úrovni 1,4 % až 1,5 %, zatiaľ čo v eurozóne sa očakáva nižšia dynamika (1,2 % až 1,4 %); keďže podľa očakávaní klesne potenciálny rast v EÚ z približne 1,5 % v roku 2024 na 1,3 % v roku 2027 (v eurozóne z 1,4 % na 1,2 %), a to najmä v dôsledku nepriaznivých demografických trendov;</w:t>
      </w:r>
    </w:p>
    <w:p w14:paraId="6ACECC77" w14:textId="77777777" w:rsidR="00990856" w:rsidRPr="00657149" w:rsidRDefault="00990856" w:rsidP="00990856">
      <w:pPr>
        <w:pStyle w:val="NormalHanging"/>
      </w:pPr>
      <w:r w:rsidRPr="00657149">
        <w:lastRenderedPageBreak/>
        <w:t>G.</w:t>
      </w:r>
      <w:r w:rsidRPr="00657149">
        <w:tab/>
        <w:t xml:space="preserve">keďže EÚ má obrovské investičné potreby vrátane dodatočných ročných investícií vo výške 800 miliárd EUR, ktoré </w:t>
      </w:r>
      <w:proofErr w:type="spellStart"/>
      <w:r w:rsidRPr="00657149">
        <w:t>Draghiho</w:t>
      </w:r>
      <w:proofErr w:type="spellEnd"/>
      <w:r w:rsidRPr="00657149">
        <w:t xml:space="preserve"> správa považuje za potrebné na posilnenie konkurencieschopnosti a produktivity Európy, čo zahŕňa 450 miliárd EUR len na energetickú transformáciu – z toho 260 miliárd EUR by podľa </w:t>
      </w:r>
      <w:proofErr w:type="spellStart"/>
      <w:r w:rsidRPr="00657149">
        <w:t>Institut</w:t>
      </w:r>
      <w:proofErr w:type="spellEnd"/>
      <w:r w:rsidRPr="00657149">
        <w:t xml:space="preserve"> </w:t>
      </w:r>
      <w:proofErr w:type="spellStart"/>
      <w:r w:rsidRPr="00657149">
        <w:t>Rousseau</w:t>
      </w:r>
      <w:proofErr w:type="spellEnd"/>
      <w:r w:rsidRPr="00657149">
        <w:t xml:space="preserve"> malo pochádzať z verejného sektora; keďže v rámci plánu </w:t>
      </w:r>
      <w:proofErr w:type="spellStart"/>
      <w:r w:rsidRPr="00657149">
        <w:t>ReArm</w:t>
      </w:r>
      <w:proofErr w:type="spellEnd"/>
      <w:r w:rsidRPr="00657149">
        <w:t xml:space="preserve"> </w:t>
      </w:r>
      <w:proofErr w:type="spellStart"/>
      <w:r w:rsidRPr="00657149">
        <w:t>Europe</w:t>
      </w:r>
      <w:proofErr w:type="spellEnd"/>
      <w:r w:rsidRPr="00657149">
        <w:t>/Pripravenosť 2030 sa počíta s ďalšími dodatočnými investíciami vo výške 800 miliárd EUR na výdavky na obranu; keďže pre tieto investičné ciele nie sú k dispozícii zodpovedajúce nové vlastné zdroje, v dôsledku čoho Únia nemá fiškálnu kapacitu, aby stanovené ciele splnila; keďže tieto potreby nemožno uspokojiť len verejným financovaním;</w:t>
      </w:r>
    </w:p>
    <w:p w14:paraId="1A86DF14" w14:textId="77777777" w:rsidR="00990856" w:rsidRPr="00657149" w:rsidRDefault="00990856" w:rsidP="00990856">
      <w:pPr>
        <w:pStyle w:val="NormalHanging"/>
      </w:pPr>
      <w:r w:rsidRPr="00657149">
        <w:t>H.</w:t>
      </w:r>
      <w:r w:rsidRPr="00657149">
        <w:tab/>
        <w:t>keďže EÚ čelí veľkým výzvam, od neustálych hrozieb na jej východných hraniciach spojených s útočnou vojnou Ruska proti Ukrajine až po geopolitickú nestabilitu a obchodnú neistotu, pričom dlhodobé výzvy, ako je ekologická a digitálna transformácia, pretrvávajú;</w:t>
      </w:r>
    </w:p>
    <w:p w14:paraId="4328C0D5" w14:textId="77777777" w:rsidR="00990856" w:rsidRPr="00657149" w:rsidRDefault="00990856" w:rsidP="00990856">
      <w:pPr>
        <w:pStyle w:val="NormalHanging"/>
      </w:pPr>
      <w:r w:rsidRPr="00657149">
        <w:t>I.</w:t>
      </w:r>
      <w:r w:rsidRPr="00657149">
        <w:tab/>
        <w:t>keďže v ZFEÚ sa stanovujú referenčné hodnoty do 3 % pre deficit verejných financií a 60 % pre pomer dlhu k HDP; keďže celkový deficit EÚ a pomer verejného dlhu k HDP zostávajú nad týmito referenčnými hodnotami; keďže celkový deficit aj pomer verejného dlhu k HDP sa v rámci EÚ líšia, pričom jednotlivé členské štáty sú v značne rozdielnej situácii;</w:t>
      </w:r>
    </w:p>
    <w:p w14:paraId="0D7A788F" w14:textId="77777777" w:rsidR="00990856" w:rsidRPr="00657149" w:rsidRDefault="00990856" w:rsidP="00990856">
      <w:pPr>
        <w:pStyle w:val="NormalHanging"/>
      </w:pPr>
      <w:r w:rsidRPr="00657149">
        <w:t>J.</w:t>
      </w:r>
      <w:r w:rsidRPr="00657149">
        <w:tab/>
        <w:t>keďže Rada od zavedenia tohto postupu v roku 2011 nezačala žiadne postupy týkajúce sa nadmerných makroekonomických nerovnováh;</w:t>
      </w:r>
    </w:p>
    <w:p w14:paraId="2E6FBCE0" w14:textId="3C06CA8C" w:rsidR="00990856" w:rsidRPr="00657149" w:rsidRDefault="00990856" w:rsidP="00990856">
      <w:pPr>
        <w:pStyle w:val="NormalHanging"/>
      </w:pPr>
      <w:r w:rsidRPr="00657149">
        <w:t>K.</w:t>
      </w:r>
      <w:r w:rsidRPr="00657149">
        <w:tab/>
        <w:t xml:space="preserve">keďže súčasná Komisia je odhodlaná byť „investičnou Komisiou“ a spolieha sa na podporu </w:t>
      </w:r>
      <w:r w:rsidR="009B2343" w:rsidRPr="00657149">
        <w:t>Európskeho p</w:t>
      </w:r>
      <w:r w:rsidRPr="00657149">
        <w:t xml:space="preserve">arlamentu ako </w:t>
      </w:r>
      <w:proofErr w:type="spellStart"/>
      <w:r w:rsidRPr="00657149">
        <w:t>spoluzákonodarcu</w:t>
      </w:r>
      <w:proofErr w:type="spellEnd"/>
      <w:r w:rsidRPr="00657149">
        <w:t xml:space="preserve"> pri prijímaní významných opatrení na zvýšenie investícií EÚ na úroveň zodpovedajúcu potrebám ekologickej a digitálnej transformácie; keďže Komisia zatiaľ nenavrhla primeranú reakciu na obrovské investičné požiadavky Únie, najmä vzhľadom na ukončenie Mechanizmu na podporu obnovy a odolnosti koncom roka 2026;</w:t>
      </w:r>
    </w:p>
    <w:p w14:paraId="0FAD9653" w14:textId="5E17CC9C" w:rsidR="00990856" w:rsidRPr="00657149" w:rsidRDefault="00990856" w:rsidP="00990856">
      <w:pPr>
        <w:pStyle w:val="NormalHanging"/>
      </w:pPr>
      <w:r w:rsidRPr="00657149">
        <w:t>L.</w:t>
      </w:r>
      <w:r w:rsidRPr="00657149">
        <w:tab/>
        <w:t xml:space="preserve">keďže minulé krízy vrátane pandémie </w:t>
      </w:r>
      <w:r w:rsidR="009B2343" w:rsidRPr="00657149">
        <w:t xml:space="preserve">ochorenia </w:t>
      </w:r>
      <w:r w:rsidRPr="00657149">
        <w:t xml:space="preserve">COVID-19 ukázali, že spoločná a koordinovaná európska reakcia posilňuje Úniu; keďže v konkurenčnom </w:t>
      </w:r>
      <w:proofErr w:type="spellStart"/>
      <w:r w:rsidRPr="00657149">
        <w:t>geoekonomickom</w:t>
      </w:r>
      <w:proofErr w:type="spellEnd"/>
      <w:r w:rsidRPr="00657149">
        <w:t xml:space="preserve"> prostredí môže Európa chrániť svoje záujmy a hodnoty, len keď bude jednotná, čo zdôrazňuje potrebu spoľahlivého rámca makroekonomickej politiky a ešte užšej koordinácie hospodárskych a sociálnych politík prostredníctvom európskeho semestra;</w:t>
      </w:r>
    </w:p>
    <w:p w14:paraId="116CA36E" w14:textId="77777777" w:rsidR="00990856" w:rsidRPr="00657149" w:rsidRDefault="00990856" w:rsidP="00990856">
      <w:pPr>
        <w:pStyle w:val="Normal12a"/>
      </w:pPr>
      <w:r w:rsidRPr="00657149">
        <w:rPr>
          <w:b/>
          <w:i/>
        </w:rPr>
        <w:t>Hospodárske vyhliadky EÚ</w:t>
      </w:r>
    </w:p>
    <w:p w14:paraId="0FC66C0F" w14:textId="1AC95828" w:rsidR="00990856" w:rsidRPr="00657149" w:rsidRDefault="00990856" w:rsidP="00990856">
      <w:pPr>
        <w:pStyle w:val="NormalHanging12a"/>
      </w:pPr>
      <w:r w:rsidRPr="00657149">
        <w:t>1.</w:t>
      </w:r>
      <w:r w:rsidRPr="00657149">
        <w:tab/>
        <w:t xml:space="preserve">konštatuje, že za posledných päť rokov EÚ čelila veľkým výzvam vrátane vypuknutia pandémie </w:t>
      </w:r>
      <w:r w:rsidR="009B2343" w:rsidRPr="00657149">
        <w:t xml:space="preserve">ochorenia </w:t>
      </w:r>
      <w:r w:rsidRPr="00657149">
        <w:t xml:space="preserve">COVID-19 a nezákonnej a neodôvodnenej vojny Ruska proti Ukrajine, ktoré mali významné hospodárske dôsledky; berie na vedomie rýchlosť a vplyv </w:t>
      </w:r>
      <w:proofErr w:type="spellStart"/>
      <w:r w:rsidRPr="00657149">
        <w:t>celoúnijných</w:t>
      </w:r>
      <w:proofErr w:type="spellEnd"/>
      <w:r w:rsidRPr="00657149">
        <w:t xml:space="preserve"> iniciatív a nástrojov, pokiaľ ide o riešenie hospodárskych a sociálnych dôsledkov vonkajších otrasov, najmä Mechanizmu na podporu obnovy a odolnosti a európskeho nástroja dočasnej podpory na zmiernenie rizík nezamestnanosti v núdzovej situácii (SURE);</w:t>
      </w:r>
    </w:p>
    <w:p w14:paraId="4A2C3EA9" w14:textId="77777777" w:rsidR="00990856" w:rsidRPr="00657149" w:rsidRDefault="00990856" w:rsidP="00990856">
      <w:pPr>
        <w:pStyle w:val="NormalHanging12a"/>
      </w:pPr>
      <w:r w:rsidRPr="00657149">
        <w:t>2.</w:t>
      </w:r>
      <w:r w:rsidRPr="00657149">
        <w:tab/>
        <w:t xml:space="preserve">konštatuje, že podľa hospodárskej prognózy Komisie z jesene 2025, ktorá bola zverejnená 17. novembra 2025, sa očakáva, že HDP EÚ sa v roku 2025 zvýši o 1,4 % v porovnaní s rokom 2024 a o 1,4 % v roku 2026; konštatuje, že na základe tejto </w:t>
      </w:r>
      <w:r w:rsidRPr="00657149">
        <w:lastRenderedPageBreak/>
        <w:t>prognózy EÚ stále zaostáva za Spojenými štátmi a Čínou, pokiaľ ide o očakávania rastu; zdôrazňuje, že napriek značným výzvam eurozóna a EÚ preukázali odolnosť;</w:t>
      </w:r>
    </w:p>
    <w:p w14:paraId="1E6CB09D" w14:textId="77777777" w:rsidR="00990856" w:rsidRPr="00657149" w:rsidRDefault="00990856" w:rsidP="00990856">
      <w:pPr>
        <w:pStyle w:val="NormalHanging12a"/>
      </w:pPr>
      <w:r w:rsidRPr="00657149">
        <w:t>3.</w:t>
      </w:r>
      <w:r w:rsidRPr="00657149">
        <w:tab/>
        <w:t>konštatuje, že potenciálny rast, ktorý predstavuje mieru rastu, ktorú hospodárstvo dokáže udržať bez nadmernej inflácie, má klesnúť z 1,5 % v roku 2024 na 1,3 % v roku 2027 v EÚ a z 1,4 % na 1,2 % v eurozóne vzhľadom na spomalenie rastu obyvateľstva v produktívnom veku; domnieva sa, že tieto úrovne potenciálneho rastu sú príliš nízke na zvládnutie výziev, ktorým bude európske hospodárstvo čeliť v nadchádzajúcich rokoch;</w:t>
      </w:r>
    </w:p>
    <w:p w14:paraId="4AC03AFF" w14:textId="77777777" w:rsidR="00990856" w:rsidRPr="00657149" w:rsidRDefault="00990856" w:rsidP="00990856">
      <w:pPr>
        <w:pStyle w:val="NormalHanging12a"/>
      </w:pPr>
      <w:r w:rsidRPr="00657149">
        <w:t>4.</w:t>
      </w:r>
      <w:r w:rsidRPr="00657149">
        <w:tab/>
        <w:t>konštatuje, že podľa hospodárskej prognózy Komisie z jesene 2025 sa predpokladá zvýšenie celkového deficitu eurozóny z 3,1 % HDP v roku 2024 na 3,2 % HDP v roku 2025; konštatuje, že na základe súčasných politík sa v roku 2026 očakáva zvýšenie deficitu na 3,3 % HDP;</w:t>
      </w:r>
    </w:p>
    <w:p w14:paraId="4BA418CF" w14:textId="77777777" w:rsidR="00990856" w:rsidRPr="00657149" w:rsidRDefault="00990856" w:rsidP="00990856">
      <w:pPr>
        <w:pStyle w:val="NormalHanging12a"/>
      </w:pPr>
      <w:r w:rsidRPr="00657149">
        <w:t>5.</w:t>
      </w:r>
      <w:r w:rsidRPr="00657149">
        <w:tab/>
        <w:t>konštatuje, že v 12 členských štátoch sa v roku 2027 očakáva deficit vyšší ako 3 % HDP a že na 10 členských štátov sa vzťahuje postup pri nadmernom deficite;</w:t>
      </w:r>
    </w:p>
    <w:p w14:paraId="7158A4AC" w14:textId="77777777" w:rsidR="00990856" w:rsidRPr="00657149" w:rsidRDefault="00990856" w:rsidP="00990856">
      <w:pPr>
        <w:pStyle w:val="NormalHanging12a"/>
      </w:pPr>
      <w:r w:rsidRPr="00657149">
        <w:t>6.</w:t>
      </w:r>
      <w:r w:rsidRPr="00657149">
        <w:tab/>
        <w:t>konštatuje, že pomer hrubého verejného dlhu k HDP v EÚ podľa očakávaní dosiahne v roku 2025 úroveň 82,8 % a predpokladá sa, že v roku 2026 sa zvýši na 83,8 % a v roku 2027 na 84,5 %, čo je nad referenčnou hodnotou 60 % pre jednotlivé členské štáty zakotvenou v zmluvách; konštatuje, že verejný dlh v eurozóne sa podľa prognóz zvýši na 89,8 % v roku 2026 a na 90,4 % v roku 2027; konštatuje, že úrovne dlhu sa v jednotlivých členských štátoch výrazne líšia;</w:t>
      </w:r>
    </w:p>
    <w:p w14:paraId="70B254C4" w14:textId="77777777" w:rsidR="00990856" w:rsidRPr="00657149" w:rsidRDefault="00990856" w:rsidP="00990856">
      <w:pPr>
        <w:pStyle w:val="NormalHanging12a"/>
      </w:pPr>
      <w:r w:rsidRPr="00657149">
        <w:t>7.</w:t>
      </w:r>
      <w:r w:rsidRPr="00657149">
        <w:tab/>
        <w:t>vyzýva členské štáty, aby uskutočňovali obozretné fiškálne politiky s cieľom zabezpečiť udržateľnosť verejného dlhu;</w:t>
      </w:r>
    </w:p>
    <w:p w14:paraId="046ACDD4" w14:textId="77777777" w:rsidR="00990856" w:rsidRPr="00657149" w:rsidRDefault="00990856" w:rsidP="00990856">
      <w:pPr>
        <w:pStyle w:val="NormalHanging12a"/>
      </w:pPr>
      <w:r w:rsidRPr="00657149">
        <w:t>8.</w:t>
      </w:r>
      <w:r w:rsidRPr="00657149">
        <w:tab/>
        <w:t>pripomína, že extrémne poveternostné javy majú významný vplyv na verejné financie; uvedomuje si, že vplyv a frekvencia extrémnych poveternostných javov sa v nadchádzajúcich rokoch bude len zvyšovať;</w:t>
      </w:r>
    </w:p>
    <w:p w14:paraId="106703C7" w14:textId="77777777" w:rsidR="00990856" w:rsidRPr="00657149" w:rsidRDefault="00990856" w:rsidP="00990856">
      <w:pPr>
        <w:pStyle w:val="NormalHanging12a"/>
      </w:pPr>
      <w:r w:rsidRPr="00657149">
        <w:t>9.</w:t>
      </w:r>
      <w:r w:rsidRPr="00657149">
        <w:tab/>
        <w:t>víta skutočnosť, že inflácia v eurozóne sa znížila na cieľovú úroveň Európskej centrálnej banky po tom, ako v októbri 2022 dosiahla svoj vrchol na úrovni 10,6 %; konštatuje však, že inflácia zostáva v jednotlivých členských štátoch na rôznych úrovniach, pričom niektoré z nich majú vyššie úrovne vrátane tých s energeticky náročnými priemyselnými odvetviami; konštatuje, že jadrová inflácia aj inflačné očakávania zostávajú nad cieľovou úrovňou; zdôrazňuje pretrvávajúci vplyv inflácie cien potravín a energií na európske domácnosti; konštatuje, že inflácia ovplyvňuje príjmové skupiny nerovnomerne, pričom najviac postihuje domácnosti s nízkymi príjmami;</w:t>
      </w:r>
    </w:p>
    <w:p w14:paraId="5B08A0E3" w14:textId="77777777" w:rsidR="00990856" w:rsidRPr="00657149" w:rsidRDefault="00990856" w:rsidP="00990856">
      <w:pPr>
        <w:pStyle w:val="NormalHanging12a"/>
      </w:pPr>
      <w:r w:rsidRPr="00657149">
        <w:t>10.</w:t>
      </w:r>
      <w:r w:rsidRPr="00657149">
        <w:tab/>
        <w:t xml:space="preserve">vyjadruje znepokojenie nad tým, že nedostatočné súkromné a verejné investície pravdepodobne brzdia udržateľný rast a konkurencieschopnosť v Európe a bránia EÚ v plnení spoločných priorít stanovených v strategickom programe EÚ na roky 2024 – 2029; zdôrazňuje, že členské štáty musia zintenzívniť úsilie o odstránenie prekážok a mobilizáciu väčších súkromných investícií v súlade so stratégiou Komisie týkajúcou sa únie úspor a investícií; uznáva politický cieľ Komisie zjednodušiť regulačný rámec a výrazne znížiť administratívnu záťaž s cieľom podporiť súkromné investície; zdôrazňuje, že na zvýšenie potenciálneho rastu EÚ sú naliehavo potrebné investície do oblastí, ako je výskum a vývoj, infraštruktúra a inovácie; trvá na kľúčovej úlohe </w:t>
      </w:r>
      <w:r w:rsidRPr="00657149">
        <w:lastRenderedPageBreak/>
        <w:t>budúceho viacročného finančného rámca nielen pri poskytovaní verejných investícií, ale aj pri pomoci s mobilizáciou súkromných investícií, a v tejto súvislosti zdôrazňuje, že finančné nástroje a rozpočtové záruky sú silné a účinné nástroje na dosiahnutie kritických politických cieľov EÚ, ako aj finančné nástroje pripravené na použitie v celej EÚ;</w:t>
      </w:r>
    </w:p>
    <w:p w14:paraId="75111C1F" w14:textId="77777777" w:rsidR="00990856" w:rsidRPr="00657149" w:rsidRDefault="00990856" w:rsidP="00990856">
      <w:pPr>
        <w:pStyle w:val="NormalHanging12a"/>
      </w:pPr>
      <w:r w:rsidRPr="00657149">
        <w:t>11.</w:t>
      </w:r>
      <w:r w:rsidRPr="00657149">
        <w:tab/>
        <w:t>konštatuje, že v európskej makroekonomickej správe Komisie sa cenová dostupnosť bývania uznáva ako makroekonomická a sociálna otázka, najmä vzhľadom na to, že vedie k potenciálnemu obmedzeniu mobility pracovnej sily a dlhodobému oslabeniu rastu produktivity;</w:t>
      </w:r>
    </w:p>
    <w:p w14:paraId="2C70D48A" w14:textId="47B97096" w:rsidR="00990856" w:rsidRPr="00657149" w:rsidRDefault="00990856" w:rsidP="00990856">
      <w:pPr>
        <w:pStyle w:val="NormalHanging12a"/>
      </w:pPr>
      <w:r w:rsidRPr="00657149">
        <w:t>12.</w:t>
      </w:r>
      <w:r w:rsidRPr="00657149">
        <w:tab/>
        <w:t xml:space="preserve">zdôrazňuje, že konzistentná a </w:t>
      </w:r>
      <w:r w:rsidR="005F2A8B" w:rsidRPr="00657149">
        <w:t xml:space="preserve">cielená </w:t>
      </w:r>
      <w:r w:rsidRPr="00657149">
        <w:t>priemyselná politika je nevyhnutná na podporu technologickej transformácie EÚ a bezpečných, odolných dodávateľských reťazcov pri súčasnom zachovaní konkurencieschopných a nenarušených trhov;</w:t>
      </w:r>
    </w:p>
    <w:p w14:paraId="7F966E99" w14:textId="77777777" w:rsidR="00990856" w:rsidRPr="00657149" w:rsidRDefault="00990856" w:rsidP="00990856">
      <w:pPr>
        <w:pStyle w:val="NormalHanging12a"/>
      </w:pPr>
      <w:r w:rsidRPr="00657149">
        <w:t>13.</w:t>
      </w:r>
      <w:r w:rsidRPr="00657149">
        <w:tab/>
        <w:t>konštatuje, že miera zamestnanosti v EÚ dosiahla v priemere rekordne vysokú úroveň, čo odráža dynamický trh práce vo väčšine členských štátov; vyzdvihuje začlenenie rámca sociálnej konvergencie do európskeho semestra; zdôrazňuje, že model odborného vzdelávania a prípravy sa ukázal ako úspešný v členských štátoch, ktoré sa preň rozhodli; vyjadruje poľutovanie nad tým, že medzi členskými štátmi existujú veľké rozdiely v miere nezamestnanosti, najmä pokiaľ ide o mladých ľudí;</w:t>
      </w:r>
    </w:p>
    <w:p w14:paraId="491DD3D3" w14:textId="77777777" w:rsidR="00990856" w:rsidRPr="00657149" w:rsidRDefault="00990856" w:rsidP="00990856">
      <w:pPr>
        <w:pStyle w:val="NormalHanging12a"/>
      </w:pPr>
      <w:r w:rsidRPr="00657149">
        <w:t>14.</w:t>
      </w:r>
      <w:r w:rsidRPr="00657149">
        <w:tab/>
        <w:t>opakuje, že je dôležité zabezpečiť rovnaké podmienky na jednotnom trhu, a vyzýva členské štáty, aby prijali opatrenia na prehĺbenie jednotného trhu odstránením vnútorných prekážok;</w:t>
      </w:r>
    </w:p>
    <w:p w14:paraId="18542364" w14:textId="77777777" w:rsidR="00990856" w:rsidRPr="00657149" w:rsidRDefault="00990856" w:rsidP="00990856">
      <w:pPr>
        <w:pStyle w:val="Normal12a"/>
        <w:rPr>
          <w:b/>
          <w:bCs/>
          <w:i/>
          <w:iCs/>
        </w:rPr>
      </w:pPr>
      <w:r w:rsidRPr="00657149">
        <w:rPr>
          <w:b/>
          <w:bCs/>
          <w:i/>
          <w:iCs/>
        </w:rPr>
        <w:t>Uplatňovanie revidovaného rámca správy hospodárskych záležitostí EÚ</w:t>
      </w:r>
    </w:p>
    <w:p w14:paraId="6EDE6FB8" w14:textId="77777777" w:rsidR="00990856" w:rsidRPr="00657149" w:rsidRDefault="00990856" w:rsidP="00990856">
      <w:pPr>
        <w:pStyle w:val="NormalHanging12a"/>
      </w:pPr>
      <w:r w:rsidRPr="00657149">
        <w:t>15.</w:t>
      </w:r>
      <w:r w:rsidRPr="00657149">
        <w:tab/>
        <w:t xml:space="preserve">pripomína, že účelom reformy rámca správy hospodárskych záležitostí je jeho zjednodušenie, zvýšenie transparentnosti a zefektívnenie s väčšou národnou zodpovednosťou a lepším presadzovaním, zlepšenie jeho schopnosti prispôsobiť sa rôznorodosti fiškálnych pozícií, verejného dlhu a hospodárskych výziev a pomoc pri riešení strednodobých a dlhodobých výziev, ktorým čelí EÚ a jej členské štáty, a to aj podporou </w:t>
      </w:r>
      <w:proofErr w:type="spellStart"/>
      <w:r w:rsidRPr="00657149">
        <w:t>proticyklických</w:t>
      </w:r>
      <w:proofErr w:type="spellEnd"/>
      <w:r w:rsidRPr="00657149">
        <w:t xml:space="preserve"> fiškálnych politík;</w:t>
      </w:r>
    </w:p>
    <w:p w14:paraId="6670CF1E" w14:textId="77777777" w:rsidR="00990856" w:rsidRPr="00657149" w:rsidRDefault="00990856" w:rsidP="00990856">
      <w:pPr>
        <w:pStyle w:val="NormalHanging12a"/>
      </w:pPr>
      <w:r w:rsidRPr="00657149">
        <w:t>16.</w:t>
      </w:r>
      <w:r w:rsidRPr="00657149">
        <w:tab/>
        <w:t>zdôrazňuje, že v reformovanom rámci správy hospodárskych záležitostí je rast čistých výdavkov jediným operačným ukazovateľom na monitorovanie dodržiavania príslušných odporúčaní Rady členskými štátmi; poukazuje na to, že mnohé členské štáty budú stále čeliť nedostatočnej fiškálnej kapacite na uspokojenie značných investičných potrieb; konštatuje, že národná úniková doložka už bola aktivovaná pre výdavky na obranu len rok po nadobudnutí účinnosti revidovaných pravidiel ako krátkodobá reakcia na mimoriadne udalosti mimo kontroly príslušnej krajiny; zdôrazňuje, že táto doložka je určená pre dočasné núdzové situácie v jednotlivých krajinách a nie je vhodná na riešenie dlhodobých štrukturálnych potrieb;</w:t>
      </w:r>
    </w:p>
    <w:p w14:paraId="10C693AF" w14:textId="77777777" w:rsidR="00990856" w:rsidRPr="00657149" w:rsidRDefault="00990856" w:rsidP="00990856">
      <w:pPr>
        <w:pStyle w:val="NormalHanging12a"/>
      </w:pPr>
      <w:r w:rsidRPr="00657149">
        <w:t>17.</w:t>
      </w:r>
      <w:r w:rsidRPr="00657149">
        <w:tab/>
        <w:t xml:space="preserve">zdôrazňuje, že Komisia rozšírila svoje </w:t>
      </w:r>
      <w:proofErr w:type="spellStart"/>
      <w:r w:rsidRPr="00657149">
        <w:t>diskrečné</w:t>
      </w:r>
      <w:proofErr w:type="spellEnd"/>
      <w:r w:rsidRPr="00657149">
        <w:t xml:space="preserve"> právomoci v reformovanom rámci správy hospodárskych záležitostí, najmä prostredníctvom procesu, ktorý je základom strednodobých fiškálno-štrukturálnych plánov; berie na vedomie zistenie Európskej fiškálnej rady, že Komisia využila určitú voľnosť pri odďaľovaní alebo rozhodovaní o nezačatí postupov pri nadmernom deficite; zdôrazňuje, že rovnomerné uplatňovanie fiškálnych pravidiel EÚ má zásadný význam pre zachovanie dôveryhodnosti rámca </w:t>
      </w:r>
      <w:r w:rsidRPr="00657149">
        <w:lastRenderedPageBreak/>
        <w:t>správy hospodárskych záležitostí, zabezpečenie rovnakého zaobchádzania s členskými štátmi a presadzovanie súdržného a skutočne európskeho prístupu;</w:t>
      </w:r>
    </w:p>
    <w:p w14:paraId="2D1C55A0" w14:textId="77777777" w:rsidR="00990856" w:rsidRPr="00657149" w:rsidRDefault="00990856" w:rsidP="00990856">
      <w:pPr>
        <w:pStyle w:val="NormalHanging12a"/>
      </w:pPr>
      <w:r w:rsidRPr="00657149">
        <w:t>18.</w:t>
      </w:r>
      <w:r w:rsidRPr="00657149">
        <w:tab/>
        <w:t>berie na vedomie cielené zmeny rámca správy hospodárskych záležitostí EÚ, ktoré Komisia uverejnila 2. októbra 2025 a ktorých cieľom je zabezpečiť konzistentnosť po najnovšej aktualizácii rámca správy hospodárskych záležitostí;</w:t>
      </w:r>
    </w:p>
    <w:p w14:paraId="330DA5AE" w14:textId="77777777" w:rsidR="00990856" w:rsidRPr="00657149" w:rsidRDefault="00990856" w:rsidP="00990856">
      <w:pPr>
        <w:pStyle w:val="NormalHanging12a"/>
      </w:pPr>
      <w:r w:rsidRPr="00657149">
        <w:t>19.</w:t>
      </w:r>
      <w:r w:rsidRPr="00657149">
        <w:tab/>
        <w:t>so znepokojením berie na vedomie zistenia Európskej fiškálnej rady, že približne polovica nezávislých fiškálnych inštitúcií sa formálne nepodieľala na príprave strednodobých fiškálno-štrukturálnych plánov; zastáva názor, že väčšia účasť nezávislých fiškálnych inštitúcií by zvýšila transparentnosť a vonkajší dohľad v kľúčovom momente transformácie;</w:t>
      </w:r>
    </w:p>
    <w:p w14:paraId="2D99D3C9" w14:textId="77777777" w:rsidR="00990856" w:rsidRPr="00657149" w:rsidRDefault="00990856" w:rsidP="00990856">
      <w:pPr>
        <w:pStyle w:val="Normal12a"/>
      </w:pPr>
      <w:r w:rsidRPr="00657149">
        <w:rPr>
          <w:b/>
          <w:i/>
        </w:rPr>
        <w:t>Zámery fiškálnej politiky</w:t>
      </w:r>
    </w:p>
    <w:p w14:paraId="015E9C1E" w14:textId="77777777" w:rsidR="00990856" w:rsidRPr="00657149" w:rsidRDefault="00990856" w:rsidP="00990856">
      <w:pPr>
        <w:pStyle w:val="NormalHanging12a"/>
      </w:pPr>
      <w:r w:rsidRPr="00657149">
        <w:t>20.</w:t>
      </w:r>
      <w:r w:rsidRPr="00657149">
        <w:tab/>
        <w:t>zdôrazňuje, že verejné investície sa v posledných rokoch výrazne zvýšili, pričom približne polovicu zvýšenia v rokoch 2019 až 2025 financovala EÚ, najmä prostredníctvom Mechanizmu na podporu obnovy a odolnosti; konštatuje, že podľa očakávaní budú tieto prínosy pokračovať aj po roku 2026 s významnými účinkami presahovania medzi členskými štátmi a že dlhodobý vplyv štrukturálnych reforiem by mohol zvýšiť potenciálnu produkciu eurozóny v období 2020 – 2033 až o 1,3 % HDP v porovnaní so scenárom bez Mechanizmu na podporu obnovy a odolnosti; vyjadruje znepokojenie nad tým, že Mechanizmus na podporu obnovy a odolnosti sa končí v roku 2026, a nad vplyvom, ktorý by to mohlo mať na celkové zámery fiškálnej politiky EÚ; naliehavo vyzýva členské štáty, aby dokončili vykonávanie svojich plánov obnovy a odolnosti do augusta 2026; pripomína, že dlh vydaný na financovanie Mechanizmu na podporu obnovy a odolnosti sa má splatiť do roku 2058, a to spôsobom, ktorý zabezpečí stabilné a predvídateľné znižovanie záväzkov;</w:t>
      </w:r>
    </w:p>
    <w:p w14:paraId="2597D310" w14:textId="77777777" w:rsidR="00990856" w:rsidRPr="00657149" w:rsidRDefault="00990856" w:rsidP="00990856">
      <w:pPr>
        <w:pStyle w:val="NormalHanging12a"/>
      </w:pPr>
      <w:r w:rsidRPr="00657149">
        <w:t>21.</w:t>
      </w:r>
      <w:r w:rsidRPr="00657149">
        <w:tab/>
        <w:t>berie na vedomie odporúčanie Komisie, aby celkové zámery fiškálnej politiky členských štátov zostali v roku 2026 vo všeobecnosti neutrálne, a to aj napriek značným rozdielom medzi členskými štátmi;</w:t>
      </w:r>
    </w:p>
    <w:p w14:paraId="4C88CE13" w14:textId="77777777" w:rsidR="00990856" w:rsidRPr="00657149" w:rsidRDefault="00990856" w:rsidP="00990856">
      <w:pPr>
        <w:pStyle w:val="NormalHanging12a"/>
      </w:pPr>
      <w:r w:rsidRPr="00657149">
        <w:t>22.</w:t>
      </w:r>
      <w:r w:rsidRPr="00657149">
        <w:tab/>
        <w:t>zdôrazňuje, že verejné príjmy a verejné výdavky sú nevyhnutné na zabezpečenie udržateľnosti vnútroštátnych rozpočtov; pripomína odporúčanie Rady zo 17. februára 2026 týkajúce sa hospodárskej politiky eurozóny, v ktorom vyzýva na znižovanie daňových medzier prostredníctvom zlepšovania daňovej disciplíny, a to aj riešením problému vyhýbania sa daňovým povinnostiam a daňovým únikom a bojom proti agresívnemu daňovému plánovaniu; zdôrazňuje, že nedostatočné presadzovanie v daňovej správe a v boji proti daňovým únikom a vyhýbaniu sa daňovým povinnostiam oslabuje fiškálnu udržateľnosť a prispieva k makroekonomickým nerovnováham;</w:t>
      </w:r>
    </w:p>
    <w:p w14:paraId="37569C43" w14:textId="77777777" w:rsidR="00990856" w:rsidRPr="00657149" w:rsidRDefault="00990856" w:rsidP="00990856">
      <w:pPr>
        <w:pStyle w:val="NormalHanging12a"/>
      </w:pPr>
      <w:r w:rsidRPr="00657149">
        <w:t>23.</w:t>
      </w:r>
      <w:r w:rsidRPr="00657149">
        <w:tab/>
        <w:t>berie na vedomie programovú zmenu politiky Komisie v súčasnom cykle európskeho semestra, v rámci ktorej namiesto ročného prieskumu udržateľného rastu poskytuje Kompas konkurencieschopnosti usmernenia pre balík semestra; zdôrazňuje, že táto zmena posilňuje zameranie rámca semestra; poukazuje na význam kontinuity, pokiaľ ide o odporúčania pre jednotlivé krajiny navrhnuté ako viacročné a dlhodobé reformné záväzky a o úsilie členských štátov o dosiahnutie dlhodobých cieľov; vyzýva Komisiu, aby zaistila holistickú víziu európskej konkurencieschopnosti a zabezpečila, že dlhodobé priority transformácie sa budú naďalej dôsledne a súdržne odzrkadľovať v odporúčaniach pre jednotlivé krajiny v rámci po sebe nasledujúcich cyklov semestra;</w:t>
      </w:r>
    </w:p>
    <w:p w14:paraId="10B580F9" w14:textId="77777777" w:rsidR="00990856" w:rsidRPr="00657149" w:rsidRDefault="00990856" w:rsidP="00990856">
      <w:pPr>
        <w:pStyle w:val="Normal12a"/>
      </w:pPr>
      <w:r w:rsidRPr="00657149">
        <w:rPr>
          <w:b/>
          <w:i/>
        </w:rPr>
        <w:lastRenderedPageBreak/>
        <w:t>Odporúčania pre jednotlivé krajiny</w:t>
      </w:r>
    </w:p>
    <w:p w14:paraId="1E2180A3" w14:textId="77777777" w:rsidR="00990856" w:rsidRPr="00657149" w:rsidRDefault="00990856" w:rsidP="00990856">
      <w:pPr>
        <w:pStyle w:val="NormalHanging12a"/>
      </w:pPr>
      <w:r w:rsidRPr="00657149">
        <w:t>24.</w:t>
      </w:r>
      <w:r w:rsidRPr="00657149">
        <w:tab/>
        <w:t>konštatuje, že odporúčania pre jednotlivé členské štáty obsahujú odporúčanie týkajúce sa fiškálnej politiky vrátane prípadných fiškálno-štrukturálnych reforiem; berie na vedomie záväzok Komisie využívať európsky semester na podporu konkurencieschopnosti, stability, hospodárskeho rastu, udržateľnosti a sociálnej spravodlivosti a začleniť do európskeho semestra ciele OSN v oblasti udržateľného rozvoja a Európsky pilier sociálnych práv; zdôrazňuje, že semester je kľúčovým nástrojom koordinácie zdravých makroekonomických a rozpočtových politík v členských štátoch, čím sa zabezpečuje makroekonomická stabilita hospodárskej a menovej únie; poukazuje na význam odporúčaní pre jednotlivé krajiny ako základného kameňa koordinácie európskej hospodárskej politiky; pripomína, že odporúčania pre jednotlivé krajiny sú politické opatrenia, ktoré tiež tvoria neoddeliteľnú súčasť strednodobých fiškálno-štrukturálnych plánov, národných plánov obnovy a odolnosti a avizovaného návrhu plánov národných a regionálnych partnerstiev;</w:t>
      </w:r>
    </w:p>
    <w:p w14:paraId="0650BF31" w14:textId="77777777" w:rsidR="00990856" w:rsidRPr="00657149" w:rsidRDefault="00990856" w:rsidP="00990856">
      <w:pPr>
        <w:pStyle w:val="NormalHanging12a"/>
      </w:pPr>
      <w:r w:rsidRPr="00657149">
        <w:t>25.</w:t>
      </w:r>
      <w:r w:rsidRPr="00657149">
        <w:tab/>
        <w:t>pripomína úlohu odporúčaní pre jednotlivé krajiny pri koordinácii priorít EÚ; konštatuje nedostatočný pokrok pri účinnom vykonávaní odporúčaní pre jednotlivé krajiny; konštatuje, že v rokoch 2019 až 2023 sa v súvislosti s 25,1 % odporúčaní pre jednotlivé krajiny nedosiahol žiadny alebo sa dosiahol len obmedzený pokrok; vyzýva Komisiu, aby prehodnotila spôsob, akým sa odporúčania pre jednotlivé krajiny vypracúvajú a sledujú, najmä pokiaľ ide o ich budúcu úlohu v prístupe k finančným prostriedkom EÚ; pripomína svoju požiadavku, aby sa počet odporúčaní pre jednotlivé krajiny zredukoval a aby boli cielenejšie;</w:t>
      </w:r>
    </w:p>
    <w:p w14:paraId="62C36356" w14:textId="77777777" w:rsidR="00990856" w:rsidRPr="00657149" w:rsidRDefault="00990856" w:rsidP="00990856">
      <w:pPr>
        <w:pStyle w:val="NormalHanging12a"/>
      </w:pPr>
      <w:r w:rsidRPr="00657149">
        <w:t>26.</w:t>
      </w:r>
      <w:r w:rsidRPr="00657149">
        <w:tab/>
        <w:t>berie na vedomie ambíciu Komisie ďalej premietať do odporúčaní pre jednotlivé krajiny opatrenia, ktoré majú zásadný význam pre úniu úspor a investícií, ako sa uvádza v oznámení Komisie z 19. marca 2025</w:t>
      </w:r>
      <w:r w:rsidRPr="00657149">
        <w:rPr>
          <w:rStyle w:val="FootnoteReference"/>
        </w:rPr>
        <w:footnoteReference w:customMarkFollows="1" w:id="10"/>
        <w:t>10</w:t>
      </w:r>
      <w:r w:rsidRPr="00657149">
        <w:t>;</w:t>
      </w:r>
    </w:p>
    <w:p w14:paraId="7CC6BE58" w14:textId="77777777" w:rsidR="00990856" w:rsidRPr="00657149" w:rsidRDefault="00990856" w:rsidP="00990856">
      <w:pPr>
        <w:pStyle w:val="NormalHanging12a"/>
      </w:pPr>
      <w:r w:rsidRPr="00657149">
        <w:t>27.</w:t>
      </w:r>
      <w:r w:rsidRPr="00657149">
        <w:tab/>
        <w:t>konštatuje, že odporúčania pre jednotlivé krajiny majú v budúcom viacročnom finančnom rámci zohrávať významnejšiu úlohu pri usmerňovaní investícií a reforiem na vnútroštátnej a regionálnej úrovni; zastáva názor, že výber reforiem a investícií by sa mal riadiť ich účinnosťou pri plnení príslušných odporúčaní pre jednotlivé krajiny na dosiahnutie spravodlivého prechodu na ekologické a konkurencieschopné európske hospodárstvo; zdôrazňuje, že tento proces musí sprevádzať prísnejšia demokratická kontrola a väčšia zodpovednosť členských štátov;</w:t>
      </w:r>
    </w:p>
    <w:p w14:paraId="6F812995" w14:textId="55496F3E" w:rsidR="00990856" w:rsidRPr="00657149" w:rsidRDefault="00990856" w:rsidP="00990856">
      <w:pPr>
        <w:pStyle w:val="NormalHanging12a"/>
      </w:pPr>
      <w:r w:rsidRPr="00657149">
        <w:t>28.</w:t>
      </w:r>
      <w:r w:rsidRPr="00657149">
        <w:tab/>
        <w:t xml:space="preserve">kladie dôraz na rastúci význam odporúčaní pre jednotlivé krajiny v súvislosti s plánmi národných a regionálnych partnerstiev; poukazuje na skutočnosť, že v súčasnosti neexistuje transparentná alebo sledovateľná metodika vypracovania a výberu odporúčaní pre jednotlivé krajiny, ani nie je jasné, prečo sú niektoré navrhnuté a iné nie, čo vyvoláva obavy týkajúce sa zodpovednosti a rovnakého zaobchádzania s členskými štátmi; vyzýva Komisiu, aby objasnila príslušné postupy a výberové kritériá; zdôrazňuje, že akékoľvek celkové rozšírenie </w:t>
      </w:r>
      <w:proofErr w:type="spellStart"/>
      <w:r w:rsidRPr="00657149">
        <w:t>diskrečnej</w:t>
      </w:r>
      <w:proofErr w:type="spellEnd"/>
      <w:r w:rsidRPr="00657149">
        <w:t xml:space="preserve"> právomoci Komisie musí byť sprevádzané zodpovedajúcimi mechanizmami zodpovednosti ex post a výrazným zlepšením toku informácií smerom k</w:t>
      </w:r>
      <w:r w:rsidR="009B2343" w:rsidRPr="00657149">
        <w:t> Európskemu p</w:t>
      </w:r>
      <w:r w:rsidRPr="00657149">
        <w:t>arlamentu;</w:t>
      </w:r>
    </w:p>
    <w:p w14:paraId="49251D75" w14:textId="77777777" w:rsidR="00990856" w:rsidRPr="00657149" w:rsidRDefault="00990856" w:rsidP="00990856">
      <w:pPr>
        <w:pStyle w:val="NormalHanging12a"/>
      </w:pPr>
      <w:r w:rsidRPr="00657149">
        <w:lastRenderedPageBreak/>
        <w:t>29.</w:t>
      </w:r>
      <w:r w:rsidRPr="00657149">
        <w:tab/>
        <w:t xml:space="preserve">konštatuje, že odporúčania pre jednotlivé krajiny na rok 2025 sa viac zameriavali na konkurencieschopnosť a zjednodušenie v súlade s prioritami stanovenými v Kompase konkurencieschopnosti, pričom sa v nich zároveň zdôraznila potreba posilniť vedeckú </w:t>
      </w:r>
      <w:proofErr w:type="spellStart"/>
      <w:r w:rsidRPr="00657149">
        <w:t>excelentnosť</w:t>
      </w:r>
      <w:proofErr w:type="spellEnd"/>
      <w:r w:rsidRPr="00657149">
        <w:t>, výskum, inovácie a technologický rozvoj ako kľúčové faktory dlhodobej produktivity a odolnosti; poukazuje na to, že len málo odporúčaní pre jednotlivé krajiny sa venuje sociálnej politike a politike v oblasti klímy; konštatuje, že odporúčania pre jednotlivé krajiny zahŕňajú v prípade niektorých členských štátov odporúčanie postupne zrušiť dotácie na fosílne palivá;</w:t>
      </w:r>
    </w:p>
    <w:p w14:paraId="2FE7F3BC" w14:textId="77777777" w:rsidR="00990856" w:rsidRPr="00657149" w:rsidRDefault="00990856" w:rsidP="00990856">
      <w:pPr>
        <w:pStyle w:val="NormalHanging12a"/>
      </w:pPr>
      <w:r w:rsidRPr="00657149">
        <w:t>30.</w:t>
      </w:r>
      <w:r w:rsidRPr="00657149">
        <w:tab/>
        <w:t xml:space="preserve">konštatuje, že Komisia považuje odporúčanie pre eurozónu v prvom rade za riadiaci nástroj pre diskusie </w:t>
      </w:r>
      <w:proofErr w:type="spellStart"/>
      <w:r w:rsidRPr="00657149">
        <w:t>Euroskupiny</w:t>
      </w:r>
      <w:proofErr w:type="spellEnd"/>
      <w:r w:rsidRPr="00657149">
        <w:t>; vyzýva však Komisiu, aby nadviazala na odporúčania pre eurozónu, a to aj ich zohľadnením pri vypracúvaní odporúčaní pre jednotlivé krajiny; vyjadruje poľutovanie nad tým, že v roku 2025 Komisia nezverejnila prehľad o vykonávaní odporúčaní pre eurozónu, ako to robila v rámci svojich správ o eurozóne; konštatuje, že v roku 2025 odporúčania pre jednotlivé krajiny priamo neobsahovali žiadne odporúčania týkajúce sa zmeny klímy;</w:t>
      </w:r>
    </w:p>
    <w:p w14:paraId="707E5227" w14:textId="77777777" w:rsidR="00990856" w:rsidRPr="00657149" w:rsidRDefault="00990856" w:rsidP="00990856">
      <w:pPr>
        <w:pStyle w:val="Normal12a"/>
      </w:pPr>
      <w:r w:rsidRPr="00657149">
        <w:rPr>
          <w:b/>
          <w:i/>
        </w:rPr>
        <w:t>Preklenutie nedostatku investícií</w:t>
      </w:r>
    </w:p>
    <w:p w14:paraId="3922A0B9" w14:textId="77777777" w:rsidR="00990856" w:rsidRPr="00657149" w:rsidRDefault="00990856" w:rsidP="00990856">
      <w:pPr>
        <w:pStyle w:val="NormalHanging12a"/>
      </w:pPr>
      <w:r w:rsidRPr="00657149">
        <w:t>31.</w:t>
      </w:r>
      <w:r w:rsidRPr="00657149">
        <w:tab/>
        <w:t xml:space="preserve">pripomína, že </w:t>
      </w:r>
      <w:proofErr w:type="spellStart"/>
      <w:r w:rsidRPr="00657149">
        <w:t>Draghiho</w:t>
      </w:r>
      <w:proofErr w:type="spellEnd"/>
      <w:r w:rsidRPr="00657149">
        <w:t xml:space="preserve"> správa dôrazne poukázala na potrebu zvýšiť verejné a súkromné investície a uskutočniť ambiciózne reformy na posilnenie konkurencieschopnosti EÚ; vyzýva Komisiu a členské štáty, aby predložili stratégiu na uspokojenie investičných potrieb po roku 2026;</w:t>
      </w:r>
    </w:p>
    <w:p w14:paraId="007CAB1C" w14:textId="77777777" w:rsidR="00990856" w:rsidRPr="00657149" w:rsidRDefault="00990856" w:rsidP="00990856">
      <w:pPr>
        <w:pStyle w:val="NormalHanging12a"/>
      </w:pPr>
      <w:r w:rsidRPr="00657149">
        <w:t>32.</w:t>
      </w:r>
      <w:r w:rsidRPr="00657149">
        <w:tab/>
        <w:t xml:space="preserve">domnieva sa, že rámec správy hospodárskych záležitostí EÚ by sa mal v prípade potreby doplniť o nástroje a prostriedky na úrovni EÚ s cieľom minimalizovať náklady pre daňovníkov EÚ, maximalizovať efektívnosť pri poskytovaní európskych verejných statkov a reagovať na krízy v celej Únii, ako je prebiehajúca kríza v oblasti bezpečnosti a obrany; konštatuje, že dlhové cenné papiere EÚ by mohli slúžiť ako referenčná hodnota, čím by sa posilnila integrácia finančných trhov EÚ; požaduje zavedenie nových vlastných zdrojov na financovanie politík Únie; podporuje vytvorenie Európskeho fondu pre konkurencieschopnosť a Európskeho fondu pre </w:t>
      </w:r>
      <w:proofErr w:type="spellStart"/>
      <w:r w:rsidRPr="00657149">
        <w:t>scaleupy</w:t>
      </w:r>
      <w:proofErr w:type="spellEnd"/>
      <w:r w:rsidRPr="00657149">
        <w:t>;</w:t>
      </w:r>
    </w:p>
    <w:p w14:paraId="49BCF2BD" w14:textId="77777777" w:rsidR="00990856" w:rsidRPr="00657149" w:rsidRDefault="00990856" w:rsidP="00990856">
      <w:pPr>
        <w:pStyle w:val="NormalHanging12a"/>
      </w:pPr>
      <w:r w:rsidRPr="00657149">
        <w:t>33.</w:t>
      </w:r>
      <w:r w:rsidRPr="00657149">
        <w:tab/>
        <w:t>poukazuje na dohodu Európskej rady o poskytnutí úveru Ukrajine vo výške 90 miliárd EUR na roky 2026 a 2027 na základe pôžičiek EÚ na kapitálových trhoch zabezpečených manévrovacím priestorom v rámci rozpočtu EÚ;</w:t>
      </w:r>
    </w:p>
    <w:p w14:paraId="70B924E2" w14:textId="77777777" w:rsidR="00990856" w:rsidRPr="00657149" w:rsidRDefault="00990856" w:rsidP="00990856">
      <w:pPr>
        <w:pStyle w:val="NormalHanging12a"/>
      </w:pPr>
      <w:r w:rsidRPr="00657149">
        <w:t>34.</w:t>
      </w:r>
      <w:r w:rsidRPr="00657149">
        <w:tab/>
        <w:t xml:space="preserve">konštatuje, že vyvíjajúce sa geopolitické prostredie si vyžaduje ešte väčšiu jednotu a solidaritu medzi členskými štátmi, najmä vzhľadom na bezpečnostné obavy EÚ a jej členských štátov; domnieva sa, že posilnenie bezpečnosti Európy znížením strategických závislostí je naďalej nevyhnutné na zabezpečenie dlhodobej odolnosti Únie; podporuje úsilie Komisie o posun smerom ku koordinovanejšiemu prístupu k obrane; konštatuje, že Nástroj bezpečnostnej akcie pre Európu (SAFE) zriaďuje úverový nástroj vo výške 150 miliárd EUR na podporu investícií členských štátov do obrany; vyjadruje však poľutovanie nad tým, že nástroj SAFE bol založený na článku 122 ZFEÚ, čo obmedzuje parlamentný dohľad; víta skutočnosť, že ukazovateľ čistých výdavkov vylučuje všetko vnútroštátne spolufinancovanie programov financovaných EÚ, čím poskytuje členským štátom väčší fiškálny priestor na investovanie do </w:t>
      </w:r>
      <w:r w:rsidRPr="00657149">
        <w:lastRenderedPageBreak/>
        <w:t>spoločných priorít EÚ, ako sa stanovuje v nariadení (EÚ) 2024/1263</w:t>
      </w:r>
      <w:r w:rsidRPr="00657149">
        <w:rPr>
          <w:rStyle w:val="FootnoteReference"/>
        </w:rPr>
        <w:footnoteReference w:customMarkFollows="1" w:id="11"/>
        <w:t>11</w:t>
      </w:r>
      <w:r w:rsidRPr="00657149">
        <w:t>, a tým pomáha posilniť synergie medzi rozpočtom EÚ a vnútroštátnymi rozpočtami, čo znižuje fragmentáciu a zvyšuje celkovú efektívnosť verejných výdavkov v niektorých oblastiach, ako je obrana; zdôrazňuje, že záväzok členských štátov zvýšiť výdavky na obranu by nemal byť na úkor iných spoločných priorít EÚ;</w:t>
      </w:r>
    </w:p>
    <w:p w14:paraId="09C8F0CF" w14:textId="77777777" w:rsidR="00990856" w:rsidRPr="00657149" w:rsidRDefault="00990856" w:rsidP="00990856">
      <w:pPr>
        <w:pStyle w:val="NormalHanging12a"/>
      </w:pPr>
      <w:r w:rsidRPr="00657149">
        <w:t>35.</w:t>
      </w:r>
      <w:r w:rsidRPr="00657149">
        <w:tab/>
        <w:t>konštatuje, že 16 členských štátov aktivovalo národnú únikovú doložku pre výdavky na obranu; zdôrazňuje, že to poskytuje členským štátom flexibilitu na zvýšenie výdavkov na obranu bez okamžitej potreby financovať takéto zvýšenia prostredníctvom škrtov vo výdavkoch alebo opatrení na zvýšenie príjmov; konštatuje, že vďaka tejto flexibilite majú členské štáty čas potrebný na zohľadnenie vyšších výdavkov na obranu v rámci vnútroštátnych rozpočtov; zdôrazňuje, že čiastočná účasť výrazne znižuje predpokladané dodatočné výdavky na obranu zo 650 miliárd EUR na približne 297 – 337 miliárd EUR;</w:t>
      </w:r>
    </w:p>
    <w:p w14:paraId="7CCAEEAA" w14:textId="77777777" w:rsidR="00990856" w:rsidRPr="00657149" w:rsidRDefault="00990856" w:rsidP="00990856">
      <w:pPr>
        <w:pStyle w:val="NormalHanging12a"/>
      </w:pPr>
      <w:r w:rsidRPr="00657149">
        <w:t>36.</w:t>
      </w:r>
      <w:r w:rsidRPr="00657149">
        <w:tab/>
        <w:t>upozorňuje, že výdavky na obranu sú svojou povahou spotrebné investície a samy osebe nezvyšujú potenciálny produkt hospodárstva; domnieva sa, že výdavky na obranu by sa preto v dlhodobom horizonte nemali financovať prostredníctvom zvýšenej emisie dlhopisov;</w:t>
      </w:r>
    </w:p>
    <w:p w14:paraId="1032FC2D" w14:textId="77777777" w:rsidR="00990856" w:rsidRPr="00657149" w:rsidRDefault="00990856" w:rsidP="00990856">
      <w:pPr>
        <w:pStyle w:val="NormalHanging12a"/>
      </w:pPr>
      <w:r w:rsidRPr="00657149">
        <w:t>37.</w:t>
      </w:r>
      <w:r w:rsidRPr="00657149">
        <w:tab/>
        <w:t>zdôrazňuje, že je dôležité zvýšiť súdržnosť a spoluprácu v oblasti investícií do obrany vo všetkých členských štátoch, najmä pokiaľ ide o strategických poskytovateľov alebo strategické zbraňové systémy, ktoré sú pre jednotlivé členské štáty príliš nákladné, a to vzhľadom na naliehavú potrebu rozšíriť európsky obranný sektor a zabezpečiť dlhodobú bezpečnosť a strategickú autonómiu;</w:t>
      </w:r>
    </w:p>
    <w:p w14:paraId="0F010D1D" w14:textId="77777777" w:rsidR="00990856" w:rsidRPr="00657149" w:rsidRDefault="00990856" w:rsidP="00990856">
      <w:pPr>
        <w:pStyle w:val="NormalHanging12a"/>
      </w:pPr>
      <w:r w:rsidRPr="00657149">
        <w:t>38.</w:t>
      </w:r>
      <w:r w:rsidRPr="00657149">
        <w:tab/>
        <w:t>pripomína, že Komisia nikdy nezačala postup pri nadmernej nerovnováhe napriek tomu, že niektoré členské štáty opakovane vykazujú nerovnováhy vo svojich bežných účtoch; konštatuje, že Komisia vo svojej správe o mechanizme varovania na rok 2026 posúdi existenciu makroekonomických nerovnováh v siedmich členských štátoch vybraných na hĺbkové preskúmanie;</w:t>
      </w:r>
    </w:p>
    <w:p w14:paraId="4B76C919" w14:textId="270D9CB9" w:rsidR="009B2343" w:rsidRPr="00657149" w:rsidRDefault="009B2343" w:rsidP="009B2343">
      <w:pPr>
        <w:pStyle w:val="NormalHanging12a"/>
        <w:ind w:left="0" w:firstLine="0"/>
        <w:jc w:val="center"/>
      </w:pPr>
      <w:r w:rsidRPr="00657149">
        <w:t>°</w:t>
      </w:r>
    </w:p>
    <w:p w14:paraId="17CA28EC" w14:textId="4190ADF7" w:rsidR="009B2343" w:rsidRPr="00657149" w:rsidRDefault="009B2343" w:rsidP="009B2343">
      <w:pPr>
        <w:pStyle w:val="NormalHanging12a"/>
        <w:ind w:left="0" w:firstLine="0"/>
        <w:jc w:val="center"/>
      </w:pPr>
      <w:r w:rsidRPr="00657149">
        <w:t>°     °</w:t>
      </w:r>
    </w:p>
    <w:p w14:paraId="4A2D362C" w14:textId="76C731D1" w:rsidR="00E365E1" w:rsidRPr="00657149" w:rsidRDefault="00990856" w:rsidP="009B2343">
      <w:pPr>
        <w:pStyle w:val="NormalHanging12a"/>
      </w:pPr>
      <w:r w:rsidRPr="00657149">
        <w:t>39.</w:t>
      </w:r>
      <w:r w:rsidRPr="00657149">
        <w:tab/>
        <w:t>poveruje svoju predsedníčku, aby postúpila toto uznesenie Rade a Komisii.</w:t>
      </w:r>
    </w:p>
    <w:sectPr w:rsidR="00E365E1" w:rsidRPr="00657149" w:rsidSect="00683B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DF7B4" w14:textId="77777777" w:rsidR="00023A9A" w:rsidRPr="00683BBB" w:rsidRDefault="00023A9A">
      <w:r w:rsidRPr="00683BBB">
        <w:separator/>
      </w:r>
    </w:p>
  </w:endnote>
  <w:endnote w:type="continuationSeparator" w:id="0">
    <w:p w14:paraId="43658575" w14:textId="77777777" w:rsidR="00023A9A" w:rsidRPr="00683BBB" w:rsidRDefault="00023A9A">
      <w:r w:rsidRPr="00683B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49714" w14:textId="77777777" w:rsidR="00064002" w:rsidRPr="00683B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14CDC" w14:textId="77777777" w:rsidR="00064002" w:rsidRPr="00683B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3F01F" w14:textId="77777777" w:rsidR="00064002" w:rsidRPr="00683B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ED372" w14:textId="77777777" w:rsidR="00023A9A" w:rsidRPr="00683BBB" w:rsidRDefault="00023A9A">
      <w:r w:rsidRPr="00683BBB">
        <w:separator/>
      </w:r>
    </w:p>
  </w:footnote>
  <w:footnote w:type="continuationSeparator" w:id="0">
    <w:p w14:paraId="2C69DE9E" w14:textId="77777777" w:rsidR="00023A9A" w:rsidRPr="00683BBB" w:rsidRDefault="00023A9A">
      <w:r w:rsidRPr="00683BBB">
        <w:continuationSeparator/>
      </w:r>
    </w:p>
  </w:footnote>
  <w:footnote w:id="1">
    <w:p w14:paraId="45953642" w14:textId="2F76889A" w:rsidR="00990856" w:rsidRPr="00683BBB" w:rsidRDefault="00990856" w:rsidP="00683BBB">
      <w:pPr>
        <w:pStyle w:val="FootnoteText"/>
        <w:ind w:left="567" w:hanging="567"/>
        <w:rPr>
          <w:sz w:val="24"/>
          <w:lang w:val="sk-SK"/>
        </w:rPr>
      </w:pPr>
      <w:r w:rsidRPr="00683BBB">
        <w:rPr>
          <w:sz w:val="24"/>
          <w:vertAlign w:val="superscript"/>
          <w:lang w:val="sk-SK"/>
        </w:rPr>
        <w:t>1</w:t>
      </w:r>
      <w:r w:rsidR="00683BBB" w:rsidRPr="00683BBB">
        <w:rPr>
          <w:sz w:val="24"/>
          <w:vertAlign w:val="superscript"/>
          <w:lang w:val="sk-SK"/>
        </w:rPr>
        <w:t xml:space="preserve"> </w:t>
      </w:r>
      <w:r w:rsidR="00683BBB" w:rsidRPr="00683BBB">
        <w:rPr>
          <w:sz w:val="24"/>
          <w:vertAlign w:val="superscript"/>
          <w:lang w:val="sk-SK"/>
        </w:rPr>
        <w:tab/>
      </w:r>
      <w:r w:rsidRPr="00683BBB">
        <w:rPr>
          <w:sz w:val="24"/>
          <w:lang w:val="sk-SK"/>
        </w:rPr>
        <w:t xml:space="preserve">Ú. v. EÚ L 243, 9.7.2021, ELI: </w:t>
      </w:r>
      <w:hyperlink r:id="rId1" w:tgtFrame="http://data.europa.eu/eli/reg/2021/1119/oj" w:history="1">
        <w:r w:rsidRPr="00683BBB">
          <w:rPr>
            <w:rStyle w:val="Hyperlink"/>
            <w:sz w:val="24"/>
            <w:lang w:val="sk-SK"/>
          </w:rPr>
          <w:t>http://data.europa.eu/eli/reg/2021/1119/oj</w:t>
        </w:r>
      </w:hyperlink>
      <w:r w:rsidRPr="00683BBB">
        <w:rPr>
          <w:sz w:val="24"/>
          <w:lang w:val="sk-SK"/>
        </w:rPr>
        <w:t>.</w:t>
      </w:r>
    </w:p>
  </w:footnote>
  <w:footnote w:id="2">
    <w:p w14:paraId="084F6184" w14:textId="1CD1DE34" w:rsidR="00990856" w:rsidRPr="00683BBB" w:rsidRDefault="00990856" w:rsidP="00683BBB">
      <w:pPr>
        <w:pStyle w:val="FootnoteText"/>
        <w:ind w:left="567" w:hanging="567"/>
        <w:rPr>
          <w:sz w:val="24"/>
          <w:lang w:val="sk-SK"/>
        </w:rPr>
      </w:pPr>
      <w:r w:rsidRPr="00683BBB">
        <w:rPr>
          <w:sz w:val="24"/>
          <w:vertAlign w:val="superscript"/>
          <w:lang w:val="sk-SK"/>
        </w:rPr>
        <w:t>2</w:t>
      </w:r>
      <w:r w:rsidR="00683BBB" w:rsidRPr="00683BBB">
        <w:rPr>
          <w:sz w:val="24"/>
          <w:vertAlign w:val="superscript"/>
          <w:lang w:val="sk-SK"/>
        </w:rPr>
        <w:t xml:space="preserve"> </w:t>
      </w:r>
      <w:r w:rsidR="00683BBB" w:rsidRPr="00683BBB">
        <w:rPr>
          <w:sz w:val="24"/>
          <w:vertAlign w:val="superscript"/>
          <w:lang w:val="sk-SK"/>
        </w:rPr>
        <w:tab/>
      </w:r>
      <w:r w:rsidRPr="00683BBB">
        <w:rPr>
          <w:sz w:val="24"/>
          <w:lang w:val="sk-SK"/>
        </w:rPr>
        <w:t xml:space="preserve">Ú. v. </w:t>
      </w:r>
      <w:r w:rsidRPr="00683BBB">
        <w:rPr>
          <w:sz w:val="24"/>
          <w:lang w:val="sk-SK"/>
        </w:rPr>
        <w:t>EÚ L</w:t>
      </w:r>
      <w:r w:rsidR="00F93611">
        <w:rPr>
          <w:sz w:val="24"/>
          <w:lang w:val="sk-SK"/>
        </w:rPr>
        <w:t>,</w:t>
      </w:r>
      <w:r w:rsidRPr="00683BBB">
        <w:rPr>
          <w:sz w:val="24"/>
          <w:lang w:val="sk-SK"/>
        </w:rPr>
        <w:t xml:space="preserve"> 2024/1263, 30.4.2024, ELI: </w:t>
      </w:r>
      <w:hyperlink r:id="rId2" w:tgtFrame="http://data.europa.eu/eli/reg/2024/1263/oj" w:history="1">
        <w:r w:rsidRPr="00683BBB">
          <w:rPr>
            <w:rStyle w:val="Hyperlink"/>
            <w:sz w:val="24"/>
            <w:lang w:val="sk-SK"/>
          </w:rPr>
          <w:t>http://data.europa.eu/eli/reg/2024/1263/oj</w:t>
        </w:r>
      </w:hyperlink>
      <w:r w:rsidRPr="00683BBB">
        <w:rPr>
          <w:sz w:val="24"/>
          <w:lang w:val="sk-SK"/>
        </w:rPr>
        <w:t>.</w:t>
      </w:r>
    </w:p>
  </w:footnote>
  <w:footnote w:id="3">
    <w:p w14:paraId="685CA8C4" w14:textId="5D85B94F" w:rsidR="00990856" w:rsidRPr="00683BBB" w:rsidRDefault="00990856" w:rsidP="00683BBB">
      <w:pPr>
        <w:pStyle w:val="FootnoteText"/>
        <w:ind w:left="567" w:hanging="567"/>
        <w:rPr>
          <w:sz w:val="24"/>
          <w:lang w:val="sk-SK"/>
        </w:rPr>
      </w:pPr>
      <w:r w:rsidRPr="00683BBB">
        <w:rPr>
          <w:sz w:val="24"/>
          <w:vertAlign w:val="superscript"/>
          <w:lang w:val="sk-SK"/>
        </w:rPr>
        <w:t>3</w:t>
      </w:r>
      <w:r w:rsidR="00683BBB" w:rsidRPr="00683BBB">
        <w:rPr>
          <w:sz w:val="24"/>
          <w:vertAlign w:val="superscript"/>
          <w:lang w:val="sk-SK"/>
        </w:rPr>
        <w:t xml:space="preserve"> </w:t>
      </w:r>
      <w:r w:rsidR="00683BBB" w:rsidRPr="00683BBB">
        <w:rPr>
          <w:sz w:val="24"/>
          <w:vertAlign w:val="superscript"/>
          <w:lang w:val="sk-SK"/>
        </w:rPr>
        <w:tab/>
      </w:r>
      <w:r w:rsidRPr="00683BBB">
        <w:rPr>
          <w:sz w:val="24"/>
          <w:lang w:val="sk-SK"/>
        </w:rPr>
        <w:t xml:space="preserve">Ú. v. </w:t>
      </w:r>
      <w:r w:rsidRPr="00683BBB">
        <w:rPr>
          <w:sz w:val="24"/>
          <w:lang w:val="sk-SK"/>
        </w:rPr>
        <w:t>EÚ L</w:t>
      </w:r>
      <w:r w:rsidR="00F93611">
        <w:rPr>
          <w:sz w:val="24"/>
          <w:lang w:val="sk-SK"/>
        </w:rPr>
        <w:t>,</w:t>
      </w:r>
      <w:r w:rsidRPr="00683BBB">
        <w:rPr>
          <w:sz w:val="24"/>
          <w:lang w:val="sk-SK"/>
        </w:rPr>
        <w:t xml:space="preserve"> 2024/1264, 30.4.2024, ELI: </w:t>
      </w:r>
      <w:hyperlink r:id="rId3" w:tgtFrame="http://data.europa.eu/eli/reg/2024/1264/oj" w:history="1">
        <w:r w:rsidRPr="00683BBB">
          <w:rPr>
            <w:rStyle w:val="Hyperlink"/>
            <w:sz w:val="24"/>
            <w:lang w:val="sk-SK"/>
          </w:rPr>
          <w:t>http://data.europa.eu/eli/reg/2024/1264/oj</w:t>
        </w:r>
      </w:hyperlink>
      <w:r w:rsidRPr="00683BBB">
        <w:rPr>
          <w:sz w:val="24"/>
          <w:lang w:val="sk-SK"/>
        </w:rPr>
        <w:t>.</w:t>
      </w:r>
    </w:p>
  </w:footnote>
  <w:footnote w:id="4">
    <w:p w14:paraId="45C360A9" w14:textId="649FB8D3" w:rsidR="00990856" w:rsidRPr="00683BBB" w:rsidRDefault="00990856" w:rsidP="00683BBB">
      <w:pPr>
        <w:pStyle w:val="FootnoteText"/>
        <w:ind w:left="567" w:hanging="567"/>
        <w:rPr>
          <w:sz w:val="24"/>
          <w:lang w:val="sk-SK"/>
        </w:rPr>
      </w:pPr>
      <w:r w:rsidRPr="00683BBB">
        <w:rPr>
          <w:sz w:val="24"/>
          <w:vertAlign w:val="superscript"/>
          <w:lang w:val="sk-SK"/>
        </w:rPr>
        <w:t>4</w:t>
      </w:r>
      <w:r w:rsidR="00683BBB" w:rsidRPr="00683BBB">
        <w:rPr>
          <w:sz w:val="24"/>
          <w:vertAlign w:val="superscript"/>
          <w:lang w:val="sk-SK"/>
        </w:rPr>
        <w:t xml:space="preserve"> </w:t>
      </w:r>
      <w:r w:rsidR="00683BBB" w:rsidRPr="00683BBB">
        <w:rPr>
          <w:sz w:val="24"/>
          <w:vertAlign w:val="superscript"/>
          <w:lang w:val="sk-SK"/>
        </w:rPr>
        <w:tab/>
      </w:r>
      <w:r w:rsidRPr="00683BBB">
        <w:rPr>
          <w:sz w:val="24"/>
          <w:lang w:val="sk-SK"/>
        </w:rPr>
        <w:t xml:space="preserve">Ú. v. </w:t>
      </w:r>
      <w:r w:rsidRPr="00683BBB">
        <w:rPr>
          <w:sz w:val="24"/>
          <w:lang w:val="sk-SK"/>
        </w:rPr>
        <w:t>EÚ L</w:t>
      </w:r>
      <w:r w:rsidR="00F93611">
        <w:rPr>
          <w:sz w:val="24"/>
          <w:lang w:val="sk-SK"/>
        </w:rPr>
        <w:t>,</w:t>
      </w:r>
      <w:r w:rsidRPr="00683BBB">
        <w:rPr>
          <w:sz w:val="24"/>
          <w:lang w:val="sk-SK"/>
        </w:rPr>
        <w:t xml:space="preserve"> 2024/1265, 30.4.2024, ELI: </w:t>
      </w:r>
      <w:hyperlink r:id="rId4" w:tgtFrame="http://data.europa.eu/eli/dir/2024/1265/oj" w:history="1">
        <w:r w:rsidRPr="00683BBB">
          <w:rPr>
            <w:rStyle w:val="Hyperlink"/>
            <w:sz w:val="24"/>
            <w:lang w:val="sk-SK"/>
          </w:rPr>
          <w:t>http://data.europa.eu/eli/dir/2024/1265/oj</w:t>
        </w:r>
      </w:hyperlink>
      <w:r w:rsidRPr="00683BBB">
        <w:rPr>
          <w:sz w:val="24"/>
          <w:lang w:val="sk-SK"/>
        </w:rPr>
        <w:t>.</w:t>
      </w:r>
    </w:p>
  </w:footnote>
  <w:footnote w:id="5">
    <w:p w14:paraId="73601E17" w14:textId="79125B43" w:rsidR="00990856" w:rsidRPr="00683BBB" w:rsidRDefault="00990856" w:rsidP="00683BBB">
      <w:pPr>
        <w:pStyle w:val="FootnoteText"/>
        <w:ind w:left="567" w:hanging="567"/>
        <w:rPr>
          <w:sz w:val="24"/>
          <w:lang w:val="sk-SK"/>
        </w:rPr>
      </w:pPr>
      <w:r w:rsidRPr="00683BBB">
        <w:rPr>
          <w:sz w:val="24"/>
          <w:vertAlign w:val="superscript"/>
          <w:lang w:val="sk-SK"/>
        </w:rPr>
        <w:t>5</w:t>
      </w:r>
      <w:r w:rsidR="00683BBB" w:rsidRPr="00683BBB">
        <w:rPr>
          <w:sz w:val="24"/>
          <w:vertAlign w:val="superscript"/>
          <w:lang w:val="sk-SK"/>
        </w:rPr>
        <w:t xml:space="preserve"> </w:t>
      </w:r>
      <w:r w:rsidR="00683BBB" w:rsidRPr="00683BBB">
        <w:rPr>
          <w:sz w:val="24"/>
          <w:vertAlign w:val="superscript"/>
          <w:lang w:val="sk-SK"/>
        </w:rPr>
        <w:tab/>
      </w:r>
      <w:r w:rsidRPr="00683BBB">
        <w:rPr>
          <w:sz w:val="24"/>
          <w:lang w:val="sk-SK"/>
        </w:rPr>
        <w:t xml:space="preserve">Ú. v. EÚ L 306, 23.11.2011, s. </w:t>
      </w:r>
      <w:r w:rsidRPr="00683BBB">
        <w:rPr>
          <w:sz w:val="24"/>
          <w:lang w:val="sk-SK"/>
        </w:rPr>
        <w:t xml:space="preserve">1, ELI: </w:t>
      </w:r>
      <w:hyperlink r:id="rId5" w:tgtFrame="http://data.europa.eu/eli/reg/2011/1173/oj" w:history="1">
        <w:r w:rsidRPr="00683BBB">
          <w:rPr>
            <w:rStyle w:val="Hyperlink"/>
            <w:sz w:val="24"/>
            <w:lang w:val="sk-SK"/>
          </w:rPr>
          <w:t>http://data.europa.eu/eli/reg/2011/1173/oj</w:t>
        </w:r>
      </w:hyperlink>
      <w:r w:rsidRPr="00683BBB">
        <w:rPr>
          <w:sz w:val="24"/>
          <w:lang w:val="sk-SK"/>
        </w:rPr>
        <w:t>.</w:t>
      </w:r>
    </w:p>
  </w:footnote>
  <w:footnote w:id="6">
    <w:p w14:paraId="496F4B5F" w14:textId="5CA95CDE" w:rsidR="00990856" w:rsidRPr="00683BBB" w:rsidRDefault="00990856" w:rsidP="00683BBB">
      <w:pPr>
        <w:pStyle w:val="FootnoteText"/>
        <w:ind w:left="567" w:hanging="567"/>
        <w:rPr>
          <w:sz w:val="24"/>
          <w:lang w:val="sk-SK"/>
        </w:rPr>
      </w:pPr>
      <w:r w:rsidRPr="00683BBB">
        <w:rPr>
          <w:sz w:val="24"/>
          <w:vertAlign w:val="superscript"/>
          <w:lang w:val="sk-SK"/>
        </w:rPr>
        <w:t>6</w:t>
      </w:r>
      <w:r w:rsidR="00683BBB" w:rsidRPr="00683BBB">
        <w:rPr>
          <w:sz w:val="24"/>
          <w:vertAlign w:val="superscript"/>
          <w:lang w:val="sk-SK"/>
        </w:rPr>
        <w:t xml:space="preserve"> </w:t>
      </w:r>
      <w:r w:rsidR="00683BBB" w:rsidRPr="00683BBB">
        <w:rPr>
          <w:sz w:val="24"/>
          <w:vertAlign w:val="superscript"/>
          <w:lang w:val="sk-SK"/>
        </w:rPr>
        <w:tab/>
      </w:r>
      <w:r w:rsidRPr="00683BBB">
        <w:rPr>
          <w:sz w:val="24"/>
          <w:lang w:val="sk-SK"/>
        </w:rPr>
        <w:t xml:space="preserve">Ú. v. EÚ L 306, 23.11.2011, s. </w:t>
      </w:r>
      <w:r w:rsidRPr="00683BBB">
        <w:rPr>
          <w:sz w:val="24"/>
          <w:lang w:val="sk-SK"/>
        </w:rPr>
        <w:t xml:space="preserve">8, ELI: </w:t>
      </w:r>
      <w:hyperlink r:id="rId6" w:tgtFrame="http://data.europa.eu/eli/reg/2011/1174/oj" w:history="1">
        <w:r w:rsidRPr="00683BBB">
          <w:rPr>
            <w:rStyle w:val="Hyperlink"/>
            <w:sz w:val="24"/>
            <w:lang w:val="sk-SK"/>
          </w:rPr>
          <w:t>http://data.europa.eu/eli/reg/2011/1174/oj</w:t>
        </w:r>
      </w:hyperlink>
      <w:r w:rsidRPr="00683BBB">
        <w:rPr>
          <w:sz w:val="24"/>
          <w:lang w:val="sk-SK"/>
        </w:rPr>
        <w:t>.</w:t>
      </w:r>
    </w:p>
  </w:footnote>
  <w:footnote w:id="7">
    <w:p w14:paraId="4DAB4E75" w14:textId="41CC487D" w:rsidR="00990856" w:rsidRPr="00683BBB" w:rsidRDefault="00990856" w:rsidP="00683BBB">
      <w:pPr>
        <w:pStyle w:val="FootnoteText"/>
        <w:ind w:left="567" w:hanging="567"/>
        <w:rPr>
          <w:sz w:val="24"/>
          <w:lang w:val="sk-SK"/>
        </w:rPr>
      </w:pPr>
      <w:r w:rsidRPr="00683BBB">
        <w:rPr>
          <w:sz w:val="24"/>
          <w:vertAlign w:val="superscript"/>
          <w:lang w:val="sk-SK"/>
        </w:rPr>
        <w:t>7</w:t>
      </w:r>
      <w:r w:rsidR="00683BBB" w:rsidRPr="00683BBB">
        <w:rPr>
          <w:sz w:val="24"/>
          <w:vertAlign w:val="superscript"/>
          <w:lang w:val="sk-SK"/>
        </w:rPr>
        <w:t xml:space="preserve"> </w:t>
      </w:r>
      <w:r w:rsidR="00683BBB" w:rsidRPr="00683BBB">
        <w:rPr>
          <w:sz w:val="24"/>
          <w:vertAlign w:val="superscript"/>
          <w:lang w:val="sk-SK"/>
        </w:rPr>
        <w:tab/>
      </w:r>
      <w:r w:rsidRPr="00683BBB">
        <w:rPr>
          <w:sz w:val="24"/>
          <w:lang w:val="sk-SK"/>
        </w:rPr>
        <w:t xml:space="preserve">Ú. v. EÚ L 306, 23.11.2011, s. </w:t>
      </w:r>
      <w:r w:rsidRPr="00683BBB">
        <w:rPr>
          <w:sz w:val="24"/>
          <w:lang w:val="sk-SK"/>
        </w:rPr>
        <w:t xml:space="preserve">25, ELI: </w:t>
      </w:r>
      <w:hyperlink r:id="rId7" w:tgtFrame="http://data.europa.eu/eli/reg/2011/1176/oj" w:history="1">
        <w:r w:rsidRPr="00683BBB">
          <w:rPr>
            <w:rStyle w:val="Hyperlink"/>
            <w:sz w:val="24"/>
            <w:lang w:val="sk-SK"/>
          </w:rPr>
          <w:t>http://data.europa.eu/eli/reg/2011/1176/oj</w:t>
        </w:r>
      </w:hyperlink>
      <w:r w:rsidRPr="00683BBB">
        <w:rPr>
          <w:sz w:val="24"/>
          <w:lang w:val="sk-SK"/>
        </w:rPr>
        <w:t>.</w:t>
      </w:r>
    </w:p>
  </w:footnote>
  <w:footnote w:id="8">
    <w:p w14:paraId="3FEDBB44" w14:textId="55689262" w:rsidR="00990856" w:rsidRPr="00683BBB" w:rsidRDefault="00990856" w:rsidP="00683BBB">
      <w:pPr>
        <w:pStyle w:val="FootnoteText"/>
        <w:ind w:left="567" w:hanging="567"/>
        <w:rPr>
          <w:sz w:val="24"/>
          <w:lang w:val="sk-SK"/>
        </w:rPr>
      </w:pPr>
      <w:r w:rsidRPr="00683BBB">
        <w:rPr>
          <w:sz w:val="24"/>
          <w:vertAlign w:val="superscript"/>
          <w:lang w:val="sk-SK"/>
        </w:rPr>
        <w:t>8</w:t>
      </w:r>
      <w:r w:rsidR="00683BBB" w:rsidRPr="00683BBB">
        <w:rPr>
          <w:sz w:val="24"/>
          <w:vertAlign w:val="superscript"/>
          <w:lang w:val="sk-SK"/>
        </w:rPr>
        <w:t xml:space="preserve"> </w:t>
      </w:r>
      <w:r w:rsidR="00683BBB" w:rsidRPr="00683BBB">
        <w:rPr>
          <w:sz w:val="24"/>
          <w:vertAlign w:val="superscript"/>
          <w:lang w:val="sk-SK"/>
        </w:rPr>
        <w:tab/>
      </w:r>
      <w:r w:rsidRPr="00683BBB">
        <w:rPr>
          <w:sz w:val="24"/>
          <w:lang w:val="sk-SK"/>
        </w:rPr>
        <w:t xml:space="preserve">Ú. v. EÚ L 140, 27.5.2013, s. </w:t>
      </w:r>
      <w:r w:rsidRPr="00683BBB">
        <w:rPr>
          <w:sz w:val="24"/>
          <w:lang w:val="sk-SK"/>
        </w:rPr>
        <w:t xml:space="preserve">1, ELI: </w:t>
      </w:r>
      <w:hyperlink r:id="rId8" w:tgtFrame="http://data.europa.eu/eli/reg/2013/472/oj" w:history="1">
        <w:r w:rsidRPr="00683BBB">
          <w:rPr>
            <w:rStyle w:val="Hyperlink"/>
            <w:sz w:val="24"/>
            <w:lang w:val="sk-SK"/>
          </w:rPr>
          <w:t>http://data.europa.eu/eli/reg/2013/472/oj</w:t>
        </w:r>
      </w:hyperlink>
      <w:r w:rsidRPr="00683BBB">
        <w:rPr>
          <w:sz w:val="24"/>
          <w:lang w:val="sk-SK"/>
        </w:rPr>
        <w:t>.</w:t>
      </w:r>
    </w:p>
  </w:footnote>
  <w:footnote w:id="9">
    <w:p w14:paraId="1E35F499" w14:textId="3B114AF5" w:rsidR="00990856" w:rsidRPr="00683BBB" w:rsidRDefault="00990856" w:rsidP="00683BBB">
      <w:pPr>
        <w:pStyle w:val="FootnoteText"/>
        <w:ind w:left="567" w:hanging="567"/>
        <w:rPr>
          <w:sz w:val="24"/>
          <w:lang w:val="sk-SK"/>
        </w:rPr>
      </w:pPr>
      <w:r w:rsidRPr="00683BBB">
        <w:rPr>
          <w:sz w:val="24"/>
          <w:vertAlign w:val="superscript"/>
          <w:lang w:val="sk-SK"/>
        </w:rPr>
        <w:t>9</w:t>
      </w:r>
      <w:r w:rsidR="00683BBB" w:rsidRPr="00683BBB">
        <w:rPr>
          <w:sz w:val="24"/>
          <w:vertAlign w:val="superscript"/>
          <w:lang w:val="sk-SK"/>
        </w:rPr>
        <w:t xml:space="preserve"> </w:t>
      </w:r>
      <w:r w:rsidR="00683BBB" w:rsidRPr="00683BBB">
        <w:rPr>
          <w:sz w:val="24"/>
          <w:vertAlign w:val="superscript"/>
          <w:lang w:val="sk-SK"/>
        </w:rPr>
        <w:tab/>
      </w:r>
      <w:r w:rsidRPr="00683BBB">
        <w:rPr>
          <w:sz w:val="24"/>
          <w:lang w:val="sk-SK"/>
        </w:rPr>
        <w:t xml:space="preserve">Ú. v. EÚ L 140, 27.5.2013, s. </w:t>
      </w:r>
      <w:r w:rsidRPr="00683BBB">
        <w:rPr>
          <w:sz w:val="24"/>
          <w:lang w:val="sk-SK"/>
        </w:rPr>
        <w:t xml:space="preserve">11, ELI: </w:t>
      </w:r>
      <w:hyperlink r:id="rId9" w:tgtFrame="http://data.europa.eu/eli/reg/2013/473/oj" w:history="1">
        <w:r w:rsidRPr="00683BBB">
          <w:rPr>
            <w:rStyle w:val="Hyperlink"/>
            <w:sz w:val="24"/>
            <w:lang w:val="sk-SK"/>
          </w:rPr>
          <w:t>http://data.europa.eu/eli/reg/2013/473/oj</w:t>
        </w:r>
      </w:hyperlink>
      <w:r w:rsidRPr="00683BBB">
        <w:rPr>
          <w:sz w:val="24"/>
          <w:lang w:val="sk-SK"/>
        </w:rPr>
        <w:t>.</w:t>
      </w:r>
    </w:p>
  </w:footnote>
  <w:footnote w:id="10">
    <w:p w14:paraId="16F563B5" w14:textId="2FE38FBD" w:rsidR="00990856" w:rsidRPr="00683BBB" w:rsidRDefault="00990856" w:rsidP="00683BBB">
      <w:pPr>
        <w:pStyle w:val="FootnoteText"/>
        <w:ind w:left="567" w:hanging="567"/>
        <w:rPr>
          <w:sz w:val="24"/>
          <w:lang w:val="sk-SK"/>
        </w:rPr>
      </w:pPr>
      <w:r w:rsidRPr="00683BBB">
        <w:rPr>
          <w:sz w:val="24"/>
          <w:vertAlign w:val="superscript"/>
          <w:lang w:val="sk-SK"/>
        </w:rPr>
        <w:t>10</w:t>
      </w:r>
      <w:r w:rsidR="00683BBB" w:rsidRPr="00683BBB">
        <w:rPr>
          <w:sz w:val="24"/>
          <w:vertAlign w:val="superscript"/>
          <w:lang w:val="sk-SK"/>
        </w:rPr>
        <w:t xml:space="preserve"> </w:t>
      </w:r>
      <w:r w:rsidR="00683BBB" w:rsidRPr="00683BBB">
        <w:rPr>
          <w:sz w:val="24"/>
          <w:vertAlign w:val="superscript"/>
          <w:lang w:val="sk-SK"/>
        </w:rPr>
        <w:tab/>
      </w:r>
      <w:r w:rsidRPr="00683BBB">
        <w:rPr>
          <w:sz w:val="24"/>
          <w:lang w:val="sk-SK"/>
        </w:rPr>
        <w:t>Oznámenie Komisie z 19. marca 2025 s názvom Únia úspor a investícií – Stratégia na podporu bohatstva občanov a hospodárskej konkurencieschopnosti v EÚ (COM(2025)0124).</w:t>
      </w:r>
    </w:p>
  </w:footnote>
  <w:footnote w:id="11">
    <w:p w14:paraId="5EFECD3A" w14:textId="6070E7F5" w:rsidR="00990856" w:rsidRPr="00683BBB" w:rsidRDefault="00990856" w:rsidP="00683BBB">
      <w:pPr>
        <w:pStyle w:val="FootnoteText"/>
        <w:ind w:left="567" w:hanging="567"/>
        <w:rPr>
          <w:sz w:val="24"/>
          <w:lang w:val="sk-SK"/>
        </w:rPr>
      </w:pPr>
      <w:r w:rsidRPr="00683BBB">
        <w:rPr>
          <w:sz w:val="24"/>
          <w:vertAlign w:val="superscript"/>
          <w:lang w:val="sk-SK"/>
        </w:rPr>
        <w:t>11</w:t>
      </w:r>
      <w:r w:rsidR="00683BBB" w:rsidRPr="00683BBB">
        <w:rPr>
          <w:sz w:val="24"/>
          <w:vertAlign w:val="superscript"/>
          <w:lang w:val="sk-SK"/>
        </w:rPr>
        <w:t xml:space="preserve"> </w:t>
      </w:r>
      <w:r w:rsidR="00683BBB" w:rsidRPr="00683BBB">
        <w:rPr>
          <w:sz w:val="24"/>
          <w:vertAlign w:val="superscript"/>
          <w:lang w:val="sk-SK"/>
        </w:rPr>
        <w:tab/>
      </w:r>
      <w:r w:rsidRPr="00683BBB">
        <w:rPr>
          <w:sz w:val="24"/>
          <w:lang w:val="sk-SK"/>
        </w:rPr>
        <w:t xml:space="preserve">Nariadenie Európskeho parlamentu a Rady (EÚ) 2024/1263 z 29. apríla 2024 o účinnej koordinácii hospodárskych politík a mnohostrannom rozpočtovom dohľade a o zrušení nariadenia Rady (ES) č. 1466/97 (Ú. v. </w:t>
      </w:r>
      <w:r w:rsidRPr="00683BBB">
        <w:rPr>
          <w:sz w:val="24"/>
          <w:lang w:val="sk-SK"/>
        </w:rPr>
        <w:t xml:space="preserve">EÚ L, 2024/1263, 30.4.2024, ELI: </w:t>
      </w:r>
      <w:hyperlink r:id="rId10" w:tgtFrame="http://data.europa.eu/eli/reg/2024/1263/oj" w:history="1">
        <w:r w:rsidRPr="00683BBB">
          <w:rPr>
            <w:rStyle w:val="Hyperlink"/>
            <w:sz w:val="24"/>
            <w:lang w:val="sk-SK"/>
          </w:rPr>
          <w:t>http://data.europa.eu/eli/reg/2024/1263/oj</w:t>
        </w:r>
      </w:hyperlink>
      <w:r w:rsidRPr="00683BBB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8AC73" w14:textId="77777777" w:rsidR="00064002" w:rsidRPr="00683B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2C886" w14:textId="77777777" w:rsidR="00064002" w:rsidRPr="00683B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465D" w14:textId="77777777" w:rsidR="00064002" w:rsidRPr="00683B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97673421">
    <w:abstractNumId w:val="9"/>
  </w:num>
  <w:num w:numId="2" w16cid:durableId="1076367182">
    <w:abstractNumId w:val="9"/>
  </w:num>
  <w:num w:numId="3" w16cid:durableId="991718560">
    <w:abstractNumId w:val="7"/>
  </w:num>
  <w:num w:numId="4" w16cid:durableId="1568414842">
    <w:abstractNumId w:val="7"/>
  </w:num>
  <w:num w:numId="5" w16cid:durableId="96215659">
    <w:abstractNumId w:val="6"/>
  </w:num>
  <w:num w:numId="6" w16cid:durableId="1747453049">
    <w:abstractNumId w:val="6"/>
  </w:num>
  <w:num w:numId="7" w16cid:durableId="369963750">
    <w:abstractNumId w:val="5"/>
  </w:num>
  <w:num w:numId="8" w16cid:durableId="808209116">
    <w:abstractNumId w:val="5"/>
  </w:num>
  <w:num w:numId="9" w16cid:durableId="309871320">
    <w:abstractNumId w:val="4"/>
  </w:num>
  <w:num w:numId="10" w16cid:durableId="419912624">
    <w:abstractNumId w:val="4"/>
  </w:num>
  <w:num w:numId="11" w16cid:durableId="2073383915">
    <w:abstractNumId w:val="8"/>
  </w:num>
  <w:num w:numId="12" w16cid:durableId="406265412">
    <w:abstractNumId w:val="8"/>
  </w:num>
  <w:num w:numId="13" w16cid:durableId="822739991">
    <w:abstractNumId w:val="3"/>
  </w:num>
  <w:num w:numId="14" w16cid:durableId="1458331746">
    <w:abstractNumId w:val="3"/>
  </w:num>
  <w:num w:numId="15" w16cid:durableId="1344044473">
    <w:abstractNumId w:val="2"/>
  </w:num>
  <w:num w:numId="16" w16cid:durableId="88701175">
    <w:abstractNumId w:val="2"/>
  </w:num>
  <w:num w:numId="17" w16cid:durableId="402994293">
    <w:abstractNumId w:val="1"/>
  </w:num>
  <w:num w:numId="18" w16cid:durableId="2022583028">
    <w:abstractNumId w:val="1"/>
  </w:num>
  <w:num w:numId="19" w16cid:durableId="1535146915">
    <w:abstractNumId w:val="0"/>
  </w:num>
  <w:num w:numId="20" w16cid:durableId="1961764923">
    <w:abstractNumId w:val="0"/>
  </w:num>
  <w:num w:numId="21" w16cid:durableId="1746611391">
    <w:abstractNumId w:val="9"/>
  </w:num>
  <w:num w:numId="22" w16cid:durableId="1252468085">
    <w:abstractNumId w:val="7"/>
  </w:num>
  <w:num w:numId="23" w16cid:durableId="223227158">
    <w:abstractNumId w:val="6"/>
  </w:num>
  <w:num w:numId="24" w16cid:durableId="983855743">
    <w:abstractNumId w:val="5"/>
  </w:num>
  <w:num w:numId="25" w16cid:durableId="700129559">
    <w:abstractNumId w:val="4"/>
  </w:num>
  <w:num w:numId="26" w16cid:durableId="387655032">
    <w:abstractNumId w:val="8"/>
  </w:num>
  <w:num w:numId="27" w16cid:durableId="437718184">
    <w:abstractNumId w:val="3"/>
  </w:num>
  <w:num w:numId="28" w16cid:durableId="126632734">
    <w:abstractNumId w:val="2"/>
  </w:num>
  <w:num w:numId="29" w16cid:durableId="1827014687">
    <w:abstractNumId w:val="1"/>
  </w:num>
  <w:num w:numId="30" w16cid:durableId="134030928">
    <w:abstractNumId w:val="0"/>
  </w:num>
  <w:num w:numId="31" w16cid:durableId="1190803002">
    <w:abstractNumId w:val="9"/>
  </w:num>
  <w:num w:numId="32" w16cid:durableId="1231191356">
    <w:abstractNumId w:val="7"/>
  </w:num>
  <w:num w:numId="33" w16cid:durableId="927420757">
    <w:abstractNumId w:val="6"/>
  </w:num>
  <w:num w:numId="34" w16cid:durableId="808746770">
    <w:abstractNumId w:val="5"/>
  </w:num>
  <w:num w:numId="35" w16cid:durableId="98962137">
    <w:abstractNumId w:val="4"/>
  </w:num>
  <w:num w:numId="36" w16cid:durableId="524440640">
    <w:abstractNumId w:val="8"/>
  </w:num>
  <w:num w:numId="37" w16cid:durableId="1983920919">
    <w:abstractNumId w:val="3"/>
  </w:num>
  <w:num w:numId="38" w16cid:durableId="1305425424">
    <w:abstractNumId w:val="2"/>
  </w:num>
  <w:num w:numId="39" w16cid:durableId="1772625790">
    <w:abstractNumId w:val="1"/>
  </w:num>
  <w:num w:numId="40" w16cid:durableId="1181890038">
    <w:abstractNumId w:val="0"/>
  </w:num>
  <w:num w:numId="41" w16cid:durableId="218785064">
    <w:abstractNumId w:val="10"/>
  </w:num>
  <w:num w:numId="42" w16cid:durableId="552272162">
    <w:abstractNumId w:val="10"/>
  </w:num>
  <w:num w:numId="43" w16cid:durableId="1804232281">
    <w:abstractNumId w:val="10"/>
  </w:num>
  <w:num w:numId="44" w16cid:durableId="14133127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6/2026"/>
    <w:docVar w:name="dvlangue" w:val="SK"/>
    <w:docVar w:name="dvnumam" w:val="47"/>
    <w:docVar w:name="dvpe" w:val="779.614"/>
    <w:docVar w:name="dvrapporteur" w:val="Spravodajkyňa: "/>
    <w:docVar w:name="dvtitre" w:val="Uznesenie Európskeho parlamentu z/zo xx. xxx 2026 o európskom semestri pre koordináciu hospodárskych politík 2026(2025/2214(INI))"/>
  </w:docVars>
  <w:rsids>
    <w:rsidRoot w:val="00023A9A"/>
    <w:rsid w:val="00002272"/>
    <w:rsid w:val="00023A9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6803"/>
    <w:rsid w:val="002B18FE"/>
    <w:rsid w:val="002B5493"/>
    <w:rsid w:val="00343214"/>
    <w:rsid w:val="00361C00"/>
    <w:rsid w:val="00395FA1"/>
    <w:rsid w:val="003A64F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A0E"/>
    <w:rsid w:val="005C2568"/>
    <w:rsid w:val="005F1B17"/>
    <w:rsid w:val="005F2A8B"/>
    <w:rsid w:val="006037C0"/>
    <w:rsid w:val="00657149"/>
    <w:rsid w:val="006631B6"/>
    <w:rsid w:val="00680577"/>
    <w:rsid w:val="00683BBB"/>
    <w:rsid w:val="006B4334"/>
    <w:rsid w:val="006D6393"/>
    <w:rsid w:val="006F74FA"/>
    <w:rsid w:val="00724A44"/>
    <w:rsid w:val="00731ADD"/>
    <w:rsid w:val="00734777"/>
    <w:rsid w:val="00747932"/>
    <w:rsid w:val="00751A4A"/>
    <w:rsid w:val="00756632"/>
    <w:rsid w:val="00762C74"/>
    <w:rsid w:val="00786EC0"/>
    <w:rsid w:val="007B5E6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856"/>
    <w:rsid w:val="009B234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0ED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61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E7DF4B"/>
  <w15:chartTrackingRefBased/>
  <w15:docId w15:val="{CE4CD342-336D-4CC0-A86A-A800E3003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990856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99085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990856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99085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990856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990856"/>
    <w:rPr>
      <w:color w:val="0000FF"/>
      <w:u w:val="single"/>
    </w:rPr>
  </w:style>
  <w:style w:type="paragraph" w:styleId="Revision">
    <w:name w:val="Revision"/>
    <w:hidden/>
    <w:uiPriority w:val="99"/>
    <w:semiHidden/>
    <w:rsid w:val="009B2343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3/472/oj" TargetMode="External"/><Relationship Id="rId3" Type="http://schemas.openxmlformats.org/officeDocument/2006/relationships/hyperlink" Target="http://data.europa.eu/eli/reg/2024/1264/oj" TargetMode="External"/><Relationship Id="rId7" Type="http://schemas.openxmlformats.org/officeDocument/2006/relationships/hyperlink" Target="http://data.europa.eu/eli/reg/2011/1176/oj" TargetMode="External"/><Relationship Id="rId2" Type="http://schemas.openxmlformats.org/officeDocument/2006/relationships/hyperlink" Target="http://data.europa.eu/eli/reg/2024/1263/oj" TargetMode="External"/><Relationship Id="rId1" Type="http://schemas.openxmlformats.org/officeDocument/2006/relationships/hyperlink" Target="http://data.europa.eu/eli/reg/2021/1119/oj" TargetMode="External"/><Relationship Id="rId6" Type="http://schemas.openxmlformats.org/officeDocument/2006/relationships/hyperlink" Target="http://data.europa.eu/eli/reg/2011/1174/oj" TargetMode="External"/><Relationship Id="rId5" Type="http://schemas.openxmlformats.org/officeDocument/2006/relationships/hyperlink" Target="http://data.europa.eu/eli/reg/2011/1173/oj" TargetMode="External"/><Relationship Id="rId10" Type="http://schemas.openxmlformats.org/officeDocument/2006/relationships/hyperlink" Target="http://data.europa.eu/eli/reg/2024/1263/oj" TargetMode="External"/><Relationship Id="rId4" Type="http://schemas.openxmlformats.org/officeDocument/2006/relationships/hyperlink" Target="http://data.europa.eu/eli/dir/2024/1265/oj" TargetMode="External"/><Relationship Id="rId9" Type="http://schemas.openxmlformats.org/officeDocument/2006/relationships/hyperlink" Target="http://data.europa.eu/eli/reg/2013/4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3836</Words>
  <Characters>23664</Characters>
  <Application>Microsoft Office Word</Application>
  <DocSecurity>0</DocSecurity>
  <Lines>197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2026-03-11T14:45:00Z</dcterms:created>
  <dcterms:modified xsi:type="dcterms:W3CDTF">2026-03-11T14:45:00Z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A10-0036/2026</vt:lpwstr>
  </property>
  <property fmtid="{D5CDD505-2E9C-101B-9397-08002B2CF9AE}" pid="4" name="&lt;Type&gt;">
    <vt:lpwstr>RR</vt:lpwstr>
  </property>
</Properties>
</file>