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A393C" w14:paraId="65C155C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EEBCA3C" w14:textId="23AD6960" w:rsidR="00751A4A" w:rsidRPr="006A393C" w:rsidRDefault="00314BC3" w:rsidP="0010095E">
            <w:pPr>
              <w:pStyle w:val="EPName"/>
            </w:pPr>
            <w:r w:rsidRPr="006A393C">
              <w:t>Европейски</w:t>
            </w:r>
            <w:r w:rsidR="0051038E" w:rsidRPr="006A393C">
              <w:t xml:space="preserve"> парламент</w:t>
            </w:r>
          </w:p>
          <w:p w14:paraId="76BA30CB" w14:textId="4FF1E4EE" w:rsidR="00751A4A" w:rsidRPr="006A393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A393C">
              <w:t>2024</w:t>
            </w:r>
            <w:r w:rsidR="00314BC3">
              <w:t> – </w:t>
            </w:r>
            <w:r w:rsidR="00817416" w:rsidRPr="006A393C">
              <w:t>202</w:t>
            </w:r>
            <w:r w:rsidRPr="006A393C">
              <w:t>9</w:t>
            </w:r>
          </w:p>
        </w:tc>
        <w:tc>
          <w:tcPr>
            <w:tcW w:w="2268" w:type="dxa"/>
            <w:shd w:val="clear" w:color="auto" w:fill="auto"/>
          </w:tcPr>
          <w:p w14:paraId="5FEEC325" w14:textId="77777777" w:rsidR="00751A4A" w:rsidRPr="006A393C" w:rsidRDefault="00187494" w:rsidP="0010095E">
            <w:pPr>
              <w:pStyle w:val="EPLogo"/>
            </w:pPr>
            <w:r w:rsidRPr="006A393C">
              <w:rPr>
                <w:noProof/>
                <w:lang w:eastAsia="ja-JP"/>
              </w:rPr>
              <w:drawing>
                <wp:inline distT="0" distB="0" distL="0" distR="0" wp14:anchorId="24C4EAB3" wp14:editId="316C956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03BBDB" w14:textId="77777777" w:rsidR="00D058B8" w:rsidRPr="006A393C" w:rsidRDefault="00D058B8" w:rsidP="004C5D52">
      <w:pPr>
        <w:pStyle w:val="LineTop"/>
      </w:pPr>
    </w:p>
    <w:p w14:paraId="3B4AAC3B" w14:textId="77777777" w:rsidR="00680577" w:rsidRPr="006A393C" w:rsidRDefault="0051038E" w:rsidP="00680577">
      <w:pPr>
        <w:pStyle w:val="EPBodyTA1"/>
      </w:pPr>
      <w:r w:rsidRPr="006A393C">
        <w:t>ПРИЕТИ ТЕКСТОВЕ</w:t>
      </w:r>
    </w:p>
    <w:p w14:paraId="3ABE2DF3" w14:textId="77777777" w:rsidR="00D058B8" w:rsidRPr="006A393C" w:rsidRDefault="00D058B8" w:rsidP="00D058B8">
      <w:pPr>
        <w:pStyle w:val="LineBottom"/>
      </w:pPr>
    </w:p>
    <w:p w14:paraId="2CF586F0" w14:textId="1BCA4350" w:rsidR="0051038E" w:rsidRPr="006A393C" w:rsidRDefault="0051038E" w:rsidP="0051038E">
      <w:pPr>
        <w:pStyle w:val="ATHeading1"/>
      </w:pPr>
      <w:bookmarkStart w:id="0" w:name="TANumber"/>
      <w:r w:rsidRPr="006A393C">
        <w:t>P10_TA(2026)00</w:t>
      </w:r>
      <w:r w:rsidR="00266C89">
        <w:rPr>
          <w:lang w:val="en-GB"/>
        </w:rPr>
        <w:t>76</w:t>
      </w:r>
      <w:bookmarkEnd w:id="0"/>
    </w:p>
    <w:p w14:paraId="62467FD9" w14:textId="77777777" w:rsidR="0051038E" w:rsidRPr="006A393C" w:rsidRDefault="0051038E" w:rsidP="0051038E">
      <w:pPr>
        <w:pStyle w:val="ATHeading2"/>
      </w:pPr>
      <w:bookmarkStart w:id="1" w:name="title"/>
      <w:r w:rsidRPr="006A393C">
        <w:t>Европейски семестър за координация на икономическите политики: приоритети в областта на заетостта и социалните въпроси за 2026 г.</w:t>
      </w:r>
      <w:bookmarkEnd w:id="1"/>
    </w:p>
    <w:p w14:paraId="45A39FCB" w14:textId="77777777" w:rsidR="0051038E" w:rsidRPr="006A393C" w:rsidRDefault="0051038E" w:rsidP="0051038E">
      <w:pPr>
        <w:rPr>
          <w:i/>
          <w:vanish/>
        </w:rPr>
      </w:pPr>
      <w:r w:rsidRPr="006A393C">
        <w:rPr>
          <w:i/>
        </w:rPr>
        <w:fldChar w:fldCharType="begin"/>
      </w:r>
      <w:r w:rsidRPr="006A393C">
        <w:rPr>
          <w:i/>
        </w:rPr>
        <w:instrText xml:space="preserve"> TC"(</w:instrText>
      </w:r>
      <w:bookmarkStart w:id="2" w:name="DocNumber"/>
      <w:r w:rsidRPr="006A393C">
        <w:rPr>
          <w:i/>
        </w:rPr>
        <w:instrText>A10-0033/2026</w:instrText>
      </w:r>
      <w:bookmarkEnd w:id="2"/>
      <w:r w:rsidRPr="006A393C">
        <w:rPr>
          <w:i/>
        </w:rPr>
        <w:instrText xml:space="preserve"> - Докладчик: Нела Рил)"\l3 \n&gt; \* MERGEFORMAT </w:instrText>
      </w:r>
      <w:r w:rsidRPr="006A393C">
        <w:rPr>
          <w:i/>
        </w:rPr>
        <w:fldChar w:fldCharType="end"/>
      </w:r>
    </w:p>
    <w:p w14:paraId="3136012B" w14:textId="77777777" w:rsidR="0051038E" w:rsidRPr="006A393C" w:rsidRDefault="0051038E" w:rsidP="0051038E">
      <w:pPr>
        <w:rPr>
          <w:vanish/>
        </w:rPr>
      </w:pPr>
      <w:bookmarkStart w:id="3" w:name="Commission"/>
      <w:r w:rsidRPr="006A393C">
        <w:rPr>
          <w:vanish/>
        </w:rPr>
        <w:t>Комисия по заетост и социални въпроси</w:t>
      </w:r>
      <w:bookmarkEnd w:id="3"/>
    </w:p>
    <w:p w14:paraId="7FD7A0F7" w14:textId="77777777" w:rsidR="0051038E" w:rsidRPr="006A393C" w:rsidRDefault="0051038E" w:rsidP="0051038E">
      <w:pPr>
        <w:rPr>
          <w:vanish/>
        </w:rPr>
      </w:pPr>
      <w:bookmarkStart w:id="4" w:name="PE"/>
      <w:r w:rsidRPr="006A393C">
        <w:rPr>
          <w:vanish/>
        </w:rPr>
        <w:t>PE779.558</w:t>
      </w:r>
      <w:bookmarkEnd w:id="4"/>
    </w:p>
    <w:p w14:paraId="0E47157A" w14:textId="6C2BF1B5" w:rsidR="0051038E" w:rsidRPr="006A393C" w:rsidRDefault="0051038E" w:rsidP="0051038E">
      <w:pPr>
        <w:pStyle w:val="ATHeading3"/>
      </w:pPr>
      <w:bookmarkStart w:id="5" w:name="Sujet"/>
      <w:r w:rsidRPr="006A393C">
        <w:t xml:space="preserve">Резолюция на Европейския парламент от </w:t>
      </w:r>
      <w:r w:rsidR="00573E75">
        <w:rPr>
          <w:lang w:val="en-GB"/>
        </w:rPr>
        <w:t>11</w:t>
      </w:r>
      <w:r w:rsidR="008745A4">
        <w:t xml:space="preserve"> март</w:t>
      </w:r>
      <w:r w:rsidR="008745A4" w:rsidRPr="006A393C">
        <w:t xml:space="preserve"> </w:t>
      </w:r>
      <w:r w:rsidRPr="006A393C">
        <w:t>2026 г. относно европейския семестър за координация на икономическите политики: приоритети в областта на заетостта и социалните въпроси — годишен доклад за 2026 г.</w:t>
      </w:r>
      <w:bookmarkEnd w:id="5"/>
      <w:r w:rsidRPr="006A393C">
        <w:t xml:space="preserve"> </w:t>
      </w:r>
      <w:bookmarkStart w:id="6" w:name="References"/>
      <w:r w:rsidRPr="006A393C">
        <w:t>(2025/2183(INI))</w:t>
      </w:r>
      <w:bookmarkEnd w:id="6"/>
    </w:p>
    <w:p w14:paraId="7D7CB5A0" w14:textId="77777777" w:rsidR="00AD4A35" w:rsidRPr="006A393C" w:rsidRDefault="00AD4A35" w:rsidP="00AD4A35">
      <w:pPr>
        <w:pStyle w:val="Normal12"/>
      </w:pPr>
      <w:r w:rsidRPr="006A393C">
        <w:rPr>
          <w:i/>
          <w:iCs/>
        </w:rPr>
        <w:t>Европейският парламент</w:t>
      </w:r>
      <w:r w:rsidRPr="006A393C">
        <w:t>,</w:t>
      </w:r>
    </w:p>
    <w:p w14:paraId="3450BC3A" w14:textId="77777777" w:rsidR="00AD4A35" w:rsidRPr="006A393C" w:rsidRDefault="00AD4A35" w:rsidP="00AD4A35">
      <w:pPr>
        <w:pStyle w:val="NormalHanging"/>
      </w:pPr>
      <w:r w:rsidRPr="006A393C">
        <w:t>–</w:t>
      </w:r>
      <w:r w:rsidRPr="006A393C">
        <w:tab/>
        <w:t>като взе предвид член 3 от Договора за Европейския съюз,</w:t>
      </w:r>
    </w:p>
    <w:p w14:paraId="1851D5B7" w14:textId="77777777" w:rsidR="00AD4A35" w:rsidRPr="006A393C" w:rsidRDefault="00AD4A35" w:rsidP="00AD4A35">
      <w:pPr>
        <w:pStyle w:val="NormalHanging"/>
      </w:pPr>
      <w:r w:rsidRPr="006A393C">
        <w:t>–</w:t>
      </w:r>
      <w:r w:rsidRPr="006A393C">
        <w:tab/>
        <w:t>като взе предвид членове 9, 121, 148 и 149 от Договора за функционирането на Европейския съюз (ДФЕС),</w:t>
      </w:r>
    </w:p>
    <w:p w14:paraId="16807C63" w14:textId="77777777" w:rsidR="00AD4A35" w:rsidRPr="006A393C" w:rsidRDefault="00AD4A35" w:rsidP="00AD4A35">
      <w:pPr>
        <w:pStyle w:val="NormalHanging"/>
      </w:pPr>
      <w:r w:rsidRPr="006A393C">
        <w:t>–</w:t>
      </w:r>
      <w:r w:rsidRPr="006A393C">
        <w:tab/>
        <w:t>като взе предвид Европейския стълб на социалните права (ЕССП), провъзгласен и подписан от Съвета, Парламента и Комисията на 17 ноември 2017 г., и неговия план за действие, приет през 2021 г., и по-специално предложените водещи цели за 2030 г. в областта на заетостта, уменията и намаляването на бедността,</w:t>
      </w:r>
    </w:p>
    <w:p w14:paraId="5A30B090" w14:textId="77777777" w:rsidR="00AD4A35" w:rsidRPr="006A393C" w:rsidRDefault="00AD4A35" w:rsidP="00AD4A35">
      <w:pPr>
        <w:pStyle w:val="NormalHanging"/>
      </w:pPr>
      <w:r w:rsidRPr="006A393C">
        <w:t>–</w:t>
      </w:r>
      <w:r w:rsidRPr="006A393C">
        <w:tab/>
        <w:t>като взе предвид Регламент (ЕС) 2024/1263 на Европейския парламент и на Съвета от 29 април 2024 г. за ефективна координация на икономическите политики и за многостранно бюджетно наблюдение и за отмяна на Регламент (ЕО) № 1466/97 на Съвета</w:t>
      </w:r>
      <w:r w:rsidRPr="006A393C">
        <w:rPr>
          <w:vertAlign w:val="superscript"/>
        </w:rPr>
        <w:footnoteReference w:id="1"/>
      </w:r>
      <w:r w:rsidRPr="006A393C">
        <w:t>, и по-специално членове 3, 4, 13 и 27 от него,</w:t>
      </w:r>
    </w:p>
    <w:p w14:paraId="18F272E9" w14:textId="77777777" w:rsidR="00AD4A35" w:rsidRPr="006A393C" w:rsidRDefault="00AD4A35" w:rsidP="00AD4A35">
      <w:pPr>
        <w:pStyle w:val="NormalHanging"/>
      </w:pPr>
      <w:r w:rsidRPr="006A393C">
        <w:t>–</w:t>
      </w:r>
      <w:r w:rsidRPr="006A393C">
        <w:tab/>
        <w:t>като взе предвид доклада на Комисията, озаглавен „Заетост и социално развитие в Европа през 2025 г.“, публикуван през септември 2025 г.,</w:t>
      </w:r>
    </w:p>
    <w:p w14:paraId="282F0C05" w14:textId="77777777" w:rsidR="00AD4A35" w:rsidRPr="006A393C" w:rsidRDefault="00AD4A35" w:rsidP="00AD4A35">
      <w:pPr>
        <w:pStyle w:val="NormalHanging"/>
      </w:pPr>
      <w:r w:rsidRPr="006A393C">
        <w:t>–</w:t>
      </w:r>
      <w:r w:rsidRPr="006A393C">
        <w:tab/>
        <w:t>като взе предвид доклада на Комисията, озаглавен „Развитие на пазара на труда и възнагражденията в Европа“, публикуван през октомври 2025 г.,</w:t>
      </w:r>
    </w:p>
    <w:p w14:paraId="2FECD836" w14:textId="77777777" w:rsidR="00AD4A35" w:rsidRPr="006A393C" w:rsidRDefault="00AD4A35" w:rsidP="00AD4A35">
      <w:pPr>
        <w:pStyle w:val="NormalHanging"/>
      </w:pPr>
      <w:r w:rsidRPr="006A393C">
        <w:t>–</w:t>
      </w:r>
      <w:r w:rsidRPr="006A393C">
        <w:tab/>
        <w:t>като взе предвид предложението на Комисията от 25 ноември 2025 г. за съвместен доклад на Комисията и Съвета за заетостта (COM(2025)0958),</w:t>
      </w:r>
    </w:p>
    <w:p w14:paraId="2C2F5288" w14:textId="77777777" w:rsidR="00AD4A35" w:rsidRPr="006A393C" w:rsidRDefault="00AD4A35" w:rsidP="00AD4A35">
      <w:pPr>
        <w:pStyle w:val="NormalHanging"/>
      </w:pPr>
      <w:r w:rsidRPr="006A393C">
        <w:t>–</w:t>
      </w:r>
      <w:r w:rsidRPr="006A393C">
        <w:tab/>
        <w:t>като взе предвид препоръката на Комисията от 25 ноември 2025 г. за препоръка на Съвета относно икономическата политика на еврозоната (COM(2025)0957),</w:t>
      </w:r>
    </w:p>
    <w:p w14:paraId="2E7DE6C0" w14:textId="238A3D2A" w:rsidR="00AD4A35" w:rsidRPr="006A393C" w:rsidRDefault="00AD4A35" w:rsidP="00AD4A35">
      <w:pPr>
        <w:pStyle w:val="NormalHanging"/>
      </w:pPr>
      <w:r w:rsidRPr="006A393C">
        <w:lastRenderedPageBreak/>
        <w:t>–</w:t>
      </w:r>
      <w:r w:rsidRPr="006A393C">
        <w:tab/>
        <w:t>като взе предвид съобщението на Комисията от 25 ноември 2025 г., озаглавено „Доклад за механизма за предупреждение за 202</w:t>
      </w:r>
      <w:r w:rsidR="008745A4">
        <w:t>6</w:t>
      </w:r>
      <w:r w:rsidRPr="006A393C">
        <w:t> г.“ (COM(2025)0956),</w:t>
      </w:r>
    </w:p>
    <w:p w14:paraId="2F0A2832" w14:textId="77777777" w:rsidR="00AD4A35" w:rsidRPr="006A393C" w:rsidRDefault="00AD4A35" w:rsidP="00AD4A35">
      <w:pPr>
        <w:pStyle w:val="NormalHanging"/>
      </w:pPr>
      <w:r w:rsidRPr="006A393C">
        <w:t>–</w:t>
      </w:r>
      <w:r w:rsidRPr="006A393C">
        <w:tab/>
        <w:t>като взе предвид препоръката на Комисията от 25 ноември 2025 г. за препоръка на Съвета относно човешкия капитал в Европейския съюз (COM(2025)0959),</w:t>
      </w:r>
    </w:p>
    <w:p w14:paraId="33B4D4D7" w14:textId="77777777" w:rsidR="00AD4A35" w:rsidRPr="006A393C" w:rsidRDefault="00AD4A35" w:rsidP="00AD4A35">
      <w:pPr>
        <w:pStyle w:val="NormalHanging"/>
      </w:pPr>
      <w:r w:rsidRPr="006A393C">
        <w:t>–</w:t>
      </w:r>
      <w:r w:rsidRPr="006A393C">
        <w:tab/>
        <w:t>като взе предвид приноса на европейските социални партньори към европейския семестър за 2026 г., и по-специално към есенния пакет,</w:t>
      </w:r>
    </w:p>
    <w:p w14:paraId="3B560B4E" w14:textId="77777777" w:rsidR="00AD4A35" w:rsidRPr="006A393C" w:rsidRDefault="00AD4A35" w:rsidP="00AD4A35">
      <w:pPr>
        <w:pStyle w:val="NormalHanging"/>
      </w:pPr>
      <w:r w:rsidRPr="006A393C">
        <w:t>–</w:t>
      </w:r>
      <w:r w:rsidRPr="006A393C">
        <w:tab/>
        <w:t>като взе предвид доклада на Марио Драги, озаглавен „Бъдещето на европейската конкурентоспособност“, публикуван през септември 2024 г.,</w:t>
      </w:r>
    </w:p>
    <w:p w14:paraId="6EFC88F3" w14:textId="77777777" w:rsidR="00AD4A35" w:rsidRPr="006A393C" w:rsidRDefault="00AD4A35" w:rsidP="00AD4A35">
      <w:pPr>
        <w:pStyle w:val="NormalHanging"/>
      </w:pPr>
      <w:r w:rsidRPr="006A393C">
        <w:t>–</w:t>
      </w:r>
      <w:r w:rsidRPr="006A393C">
        <w:tab/>
        <w:t>като взе предвид доклада на Енрико Лета относно бъдещето на единния пазар, озаглавен „Много повече от пазар“, публикуван през април 2024 г.,</w:t>
      </w:r>
    </w:p>
    <w:p w14:paraId="691EB568" w14:textId="77777777" w:rsidR="00AD4A35" w:rsidRPr="006A393C" w:rsidRDefault="00AD4A35" w:rsidP="00AD4A35">
      <w:pPr>
        <w:pStyle w:val="NormalHanging"/>
      </w:pPr>
      <w:r w:rsidRPr="006A393C">
        <w:t>–</w:t>
      </w:r>
      <w:r w:rsidRPr="006A393C">
        <w:tab/>
        <w:t>като взе предвид доклада на групата на високо равнище относно бъдещето на социалната закрила и на социалната държава в ЕС, публикуван през януари 2023 г.,</w:t>
      </w:r>
    </w:p>
    <w:p w14:paraId="5A223C9C" w14:textId="77777777" w:rsidR="00AD4A35" w:rsidRPr="006A393C" w:rsidRDefault="00AD4A35" w:rsidP="00AD4A35">
      <w:pPr>
        <w:pStyle w:val="NormalHanging"/>
      </w:pPr>
      <w:r w:rsidRPr="006A393C">
        <w:t>–</w:t>
      </w:r>
      <w:r w:rsidRPr="006A393C">
        <w:tab/>
        <w:t>като взе предвид член 55 от своя Правилник за дейността,</w:t>
      </w:r>
    </w:p>
    <w:p w14:paraId="6E7C00BD" w14:textId="77777777" w:rsidR="00AD4A35" w:rsidRPr="006A393C" w:rsidRDefault="00AD4A35" w:rsidP="00AD4A35">
      <w:pPr>
        <w:pStyle w:val="NormalHanging"/>
      </w:pPr>
      <w:r w:rsidRPr="006A393C">
        <w:t>–</w:t>
      </w:r>
      <w:r w:rsidRPr="006A393C">
        <w:tab/>
        <w:t>като взе предвид доклада на комисията по заетост и социални въпроси (A10-0033/2026),</w:t>
      </w:r>
    </w:p>
    <w:p w14:paraId="26354B39" w14:textId="77777777" w:rsidR="00AD4A35" w:rsidRPr="006A393C" w:rsidRDefault="00AD4A35" w:rsidP="00AD4A35">
      <w:pPr>
        <w:pStyle w:val="NormalHanging"/>
      </w:pPr>
      <w:r w:rsidRPr="006A393C">
        <w:t>А.</w:t>
      </w:r>
      <w:r w:rsidRPr="006A393C">
        <w:tab/>
        <w:t>като има предвид, че целта на ЕС за заетост на най-малко 78% от хората на възраст между 20 и 64 години до 2030 г. е на път да бъде постигната; като има предвид, че през октомври 2025 г. равнището на безработица в ЕС беше 6%, като в отделните държави членки варира от 2,6% до 10,6%, а младежката безработица продължава да бъде висока — 13,2%; като има предвид, че равнищата на безработица и несигурните условия на труд продължават да бъдат на трайно високо равнище за младите хора, жените, по-възрастните работници, ниско- и средноквалифицираните граждани на трети държави, хората с увреждания, ромите и други етнически малцинства, като всички те се сблъскват със структурни пречки по отношение на заетостта; като има предвид, че при хората с увреждания безработицата е 15,1%; като има предвид, че по-високите равнища на заетост в ЕС следва да бъдат съпътствани от качествени работни места, нарастване на заплатите и повишаване на производителността;</w:t>
      </w:r>
    </w:p>
    <w:p w14:paraId="65938739" w14:textId="77777777" w:rsidR="00AD4A35" w:rsidRPr="006A393C" w:rsidRDefault="00AD4A35" w:rsidP="00AD4A35">
      <w:pPr>
        <w:pStyle w:val="NormalHanging"/>
      </w:pPr>
      <w:r w:rsidRPr="006A393C">
        <w:t>Б.</w:t>
      </w:r>
      <w:r w:rsidRPr="006A393C">
        <w:tab/>
        <w:t xml:space="preserve">като има предвид, че европейският семестър продължава да бъде основен инструмент за координиране на икономическата, фискалната и социалната политика и политиката в областта на заетостта в целия ЕС и следва да има за цел по-систематично да включва социалната и екологичната справедливост и справедливостта между поколенията в макроикономическото управление, като предоставя централна роля на </w:t>
      </w:r>
      <w:proofErr w:type="spellStart"/>
      <w:r w:rsidRPr="006A393C">
        <w:t>Eвропейския</w:t>
      </w:r>
      <w:proofErr w:type="spellEnd"/>
      <w:r w:rsidRPr="006A393C">
        <w:t xml:space="preserve"> стълб на социалните права (ЕССП) и зачита принципа на субсидиарност; като има предвид, че бяха положени усилия за по-добро балансиране на мониторинга на икономическите и социалните цели в процеса на европейския семестър с разработването на набора от социални показатели и неотдавнашното интегриране на рамката за социална конвергенция в процеса; като има предвид, че есенният пакет за 2026 г. беше представен без годишен обзор на устойчивия растеж, в който се определя цялостна и балансирана стратегия за постигане на целите на ЕС в областта на икономиката, социалната сфера и заетостта, както и в областта на околната среда, и в който европейският </w:t>
      </w:r>
      <w:r w:rsidRPr="006A393C">
        <w:lastRenderedPageBreak/>
        <w:t>семестър се основава на широкообхватна визия за устойчив растеж в Съюза; като има предвид, че ЕС трябва да запази своя ангажимент по отношение на конкурентоспособността, устойчивостта и социалната справедливост, без да позволява една от целите да бъде преследвана за сметка на другите;</w:t>
      </w:r>
    </w:p>
    <w:p w14:paraId="67B7746A" w14:textId="77777777" w:rsidR="00AD4A35" w:rsidRPr="006A393C" w:rsidRDefault="00AD4A35" w:rsidP="00AD4A35">
      <w:pPr>
        <w:pStyle w:val="NormalHanging"/>
      </w:pPr>
      <w:r w:rsidRPr="006A393C">
        <w:t>В.</w:t>
      </w:r>
      <w:r w:rsidRPr="006A393C">
        <w:tab/>
        <w:t>като има предвид, че 93,3 милиона души, представляващи 21% от населението на ЕС, са били изложени на риск от бедност или социално изключване (ИРБИ) през 2024 г., което показва, че е постигнат ограничен напредък по отношение на целта на ЕССП за намаляване на бедността до 2030 г., като тенденцията в повече от половината държави членки е в грешната посока; като има предвид, че рисковете от бедност са много по-високи за жените, децата, по-възрастните хора, хората с увреждания, ЛГБТИ+ лицата, нискоквалифицираните лица, гражданите на трети държави, ромите, домакинствата с един родител и хората, живеещи в обезлюдени райони, и че продължават да съществуват значителни различия между държавите членки и в рамките на всяка от тях, включително между селските и градските райони; като има предвид, че това разминаване между нарастващите средни доходи и постоянните равнища на бедност подчертава структурните предизвикателства по отношение на разпределението на доходите, пазарите на труда и разработването и обхвата на системите за социална закрила; като има предвид, че над 40 милиона души в ЕС, което съответства на около 9,2% от населението, са били засегнати от енергийна бедност през 2024 г., което е довело до материални лишения; като има предвид, че недостатъчният обхват и неадекватността на схемите за минимален доход, обезщетенията за безработица и семейните и детските надбавки, както и пречките пред интегрирането в пазара на труда и достъпа до качествени обществени услуги като здравеопазване, образование, полагане на грижи и жилищно настаняване допринасят за запазването на бедността и социалното изключване, особено сред групите в най-неравностойно положение; като има предвид, че без промяна в подхода за борба с бедността на равнището на ЕС и на национално равнище няма да бъде възможно да се постигне обрат в тенденцията; като има предвид, че наличието на амбициозна стратегия на ЕС за борба с бедността ще бъде от съществено значение, за да се осигурят отговори по отношение на бедността като многоизмерно явление;</w:t>
      </w:r>
    </w:p>
    <w:p w14:paraId="03F9F721" w14:textId="77777777" w:rsidR="00AD4A35" w:rsidRPr="006A393C" w:rsidRDefault="00AD4A35" w:rsidP="00AD4A35">
      <w:pPr>
        <w:pStyle w:val="NormalHanging"/>
      </w:pPr>
      <w:r w:rsidRPr="006A393C">
        <w:t>Г.</w:t>
      </w:r>
      <w:r w:rsidRPr="006A393C">
        <w:tab/>
        <w:t xml:space="preserve">като има предвид, че всяко четвърто дете в Европейския съюз все още е изложено на риск от бедност или социално изключване, като нивото на риск за тази група е по-високо от нивото за населението като цяло; като има предвид, че не е постигнат достатъчен напредък по отношение на целта за намаляване на броя на децата, изложени на риск от бедност или социално изключване, с 5 милиона до 2030 г., като делът на децата, изложени на риск от бедност или изключване, нараства всяка година за периода от 2019 г. до 2023 г. и остава на постоянно високи равнища; като има предвид, че според предложението на Комисията за съвместен доклад за заетостта за 2026 г. през 2024 г. около 19,5 милиона деца (24,2%) са били изложени на риск от бедност или социално изключване в ЕС; като има предвид, че политиките и услугите за превантивна подкрепа на децата и семействата, в съответствие с Европейската гаранция за децата, са от съществено значение за предприемането на мерки във връзка със социално-икономическите условия, които може да доведат до разделяне на семейства и настаняване на деца в институции; като има предвид, че наличието на специален инструмент за финансиране на Европейската гаранция за децата, както и полезните взаимодействия с други фондове на ЕС и национални фондове, са от изключително значение както в настоящата, така и в следващата многогодишна </w:t>
      </w:r>
      <w:r w:rsidRPr="006A393C">
        <w:lastRenderedPageBreak/>
        <w:t>финансова рамка; като има предвид, че според Комисията ЕС трябва да инвестира допълнително над 11 милиарда евро годишно, за да постигне целите от Барселона за 2030 г. за образование и грижи в ранна детска възраст</w:t>
      </w:r>
      <w:r w:rsidRPr="006A393C">
        <w:rPr>
          <w:vertAlign w:val="superscript"/>
        </w:rPr>
        <w:footnoteReference w:id="2"/>
      </w:r>
      <w:r w:rsidRPr="006A393C">
        <w:t>; като има предвид, че децата, които могат да извлекат най-големи ползи от образованието и грижите в ранна детска възраст, например тези в неравностойно положение, обикновено се ползват от тях в най-малка степен и продължават да се сблъскват с пречки пред достъпа до тях;</w:t>
      </w:r>
    </w:p>
    <w:p w14:paraId="278A60B1" w14:textId="77777777" w:rsidR="00AD4A35" w:rsidRPr="006A393C" w:rsidRDefault="00AD4A35" w:rsidP="00AD4A35">
      <w:pPr>
        <w:pStyle w:val="NormalHanging"/>
      </w:pPr>
      <w:r w:rsidRPr="006A393C">
        <w:t>Д.</w:t>
      </w:r>
      <w:r w:rsidRPr="006A393C">
        <w:tab/>
        <w:t xml:space="preserve">като има предвид, че в ЕС все още има най-малко 1,4 милиона лица с увреждания и почти 300 хиляди деца, които са настанени в институции; като има предвид, че живеещите в институции лица са изолирани от по-широката общност и нямат достатъчен контрол върху живота си и решенията, които ги засягат; като има предвид, че независимо от факта, че ЕС отдавна е поел ангажимент по отношение на процеса на деинституционализация, все още е необходимо да се полагат усилия както на равнището на ЕС, така и на национално равнище, за да се предостави възможност на уязвимите групи да водят независим живот в семейна или общностна среда; </w:t>
      </w:r>
    </w:p>
    <w:p w14:paraId="02AC2685" w14:textId="77777777" w:rsidR="00AD4A35" w:rsidRPr="006A393C" w:rsidRDefault="00AD4A35" w:rsidP="00AD4A35">
      <w:pPr>
        <w:pStyle w:val="NormalHanging"/>
      </w:pPr>
      <w:r w:rsidRPr="006A393C">
        <w:t>Е.</w:t>
      </w:r>
      <w:r w:rsidRPr="006A393C">
        <w:tab/>
        <w:t>като има предвид, че всеки 12-и работник (8,2%) в ЕС е бил засегнат от бедност сред работещите през 2024 г., което подкопава социалното сближаване и подчертава факта, че заетостта сама по себе си не осигурява пълна защита срещу бедността и не води до подобряване на условията на живот поради нарастващите разходи за живот и намалената покупателна способност; като има предвид, че неотдавнашните увеличения на законоустановените минимални работни заплати, често с над 20% в периода между 2022 г. и 2025 г. и с над 40% в няколко държави членки, спомогнаха за защитата на покупателната способност на нископлатените работници и подкрепиха растежа на заплатите в нископлатените сектори; като има предвид, че макар реалните заплати да надхвърлиха равнищата от преди пандемията в повечето държави членки, няколко големи икономики все още не са се върнали на тези равнища;</w:t>
      </w:r>
    </w:p>
    <w:p w14:paraId="214E62FB" w14:textId="77777777" w:rsidR="00AD4A35" w:rsidRPr="006A393C" w:rsidRDefault="00AD4A35" w:rsidP="00AD4A35">
      <w:pPr>
        <w:pStyle w:val="NormalHanging"/>
      </w:pPr>
      <w:r w:rsidRPr="006A393C">
        <w:t>Ж.</w:t>
      </w:r>
      <w:r w:rsidRPr="006A393C">
        <w:tab/>
        <w:t xml:space="preserve">като има предвид, че изменението на климата изостри неравенствата и засегна в особена степен най-уязвимите групи, които обикновено са изложени в по-голяма степен на опасности от околната среда, например високи температури, което води до по-ниски стандарти за качеството на работните места, загуба на производителност и по-голяма несигурност на работните места; като има предвид, че преходът към неутралност по отношение на климата трябва да бъде социално справедлив и приобщаващ за всички и се очаква да създаде между 1 милион и 2,5 милиона допълнителни работни места до 2030 г., ако бъде подкрепен от правилните политики в областта на заетостта и образованието; като има предвид, че силната и адекватно финансирана социална закрила, както и политиките за създаване на качествени работни места, са предпоставка за гарантирането на справедлив и честен преход към неутралност по отношение на климата и цифрова трансформация; </w:t>
      </w:r>
    </w:p>
    <w:p w14:paraId="57380689" w14:textId="77777777" w:rsidR="00AD4A35" w:rsidRPr="006A393C" w:rsidRDefault="00AD4A35" w:rsidP="00AD4A35">
      <w:pPr>
        <w:pStyle w:val="NormalHanging"/>
      </w:pPr>
      <w:r w:rsidRPr="006A393C">
        <w:t>З.</w:t>
      </w:r>
      <w:r w:rsidRPr="006A393C">
        <w:tab/>
        <w:t xml:space="preserve">като има предвид, че ЕС е изправен пред постоянен недостиг на работна ръка и умения в няколко сектора, дължащ се на различни фактори, например демографските и технологичните промени, несъответствията между търсените и </w:t>
      </w:r>
      <w:r w:rsidRPr="006A393C">
        <w:lastRenderedPageBreak/>
        <w:t>предлаганите умения, качеството на работните места и липсата на привлекателност на качествените обществени услуги, както и на инвестиции в такива услуги, което беше определено като ключова пречка за растежа и конкурентоспособността на ЕС; като има предвид, че ограничените перспективи за професионално развитие и несигурните условия на труд на младите хора в някои части на Съюза допринасят за изтичането на таланти от региони на ЕС към трети държави, което допълнително изостря този недостиг; като има предвид, че в предложението на Комисията за съвместен доклад за заетостта за 2026 г. се подчертава, че преодоляването на структурните слабости на пазара на труда чрез по-добро качество на работните места подпомага по-високата производителност, икономическите резултати, социалната справедливост и сближаването; като има предвид, че подобренията по отношение на правата на работниците, колективното договаряне, активните политики на пазара на труда, достъпа до социална закрила и възможностите за развитие на умения за всички, включително за гражданите на трети държави, както и целенасочените мерки за активизиране на тези 51 милиона души в трудоспособна възраст, които понастоящем са извън работната сила, ще спомогнат за засилване на участието, приобщаването и конкурентоспособността; като има предвид, че до 2050 г. се очаква работещото население на ЕС да намалее с до 18,8 милиона души, което предполага, че законната трудова миграция може да помогне да се реагира на променящите се нужди на пазара на труда;</w:t>
      </w:r>
    </w:p>
    <w:p w14:paraId="1B5F8DF6" w14:textId="77777777" w:rsidR="00AD4A35" w:rsidRPr="006A393C" w:rsidRDefault="00AD4A35" w:rsidP="00AD4A35">
      <w:pPr>
        <w:pStyle w:val="NormalHanging"/>
      </w:pPr>
      <w:r w:rsidRPr="006A393C">
        <w:t>И.</w:t>
      </w:r>
      <w:r w:rsidRPr="006A393C">
        <w:tab/>
        <w:t>като има предвид, че през 2022 г. делът на възрастните, участващи в обучение, е бил 39,5%, което показва, че в повечето държави членки са необходими повече усилия за постигане на целта 60% от възрастните да участват в образование и обучение до 2030 г.; като има предвид, че интегрираният подход към координацията на политиките в рамките на европейския семестър осигурява рамката за насочване на необходимите инвестиции в развитието на човешкия капитал, системите за образование и обучение; като има предвид, че е необходимо да се положат значителни допълнителни усилия, за да се гарантира провеждането на качествени политики за обучение и достъп до такова обучение, по-специално за работниците с по-ниска степен на квалификация, да се насърчава ученето през целия живот и да се укрепват конкурентоспособността, устойчивостта и приобщаването на работната сила в ЕС; като има предвид, че публичните разходи сами по себе си може да не покрият мащаба на нуждите от повишаване на квалификацията и преквалификация, като се имат предвид трансформационните предизвикателства, пред които е изправен ЕС; като има предвид, че през 2022 г. средният резултат по отношение на основни умения сред 15-годишните в рамките на Програмата за международно оценяване на учениците (PISA) се е понижил в сравнение с 2018 г., като слабите резултати засягат в непропорционално висока степен учащите се в неравностойно положение, което подчертава необходимостта от реформи и трайни инвестиции в образованието и обучението в подкрепа на бъдещите поколения и техния преход от образование към работа;</w:t>
      </w:r>
    </w:p>
    <w:p w14:paraId="3BD5E831" w14:textId="77777777" w:rsidR="00AD4A35" w:rsidRPr="006A393C" w:rsidRDefault="00AD4A35" w:rsidP="00AD4A35">
      <w:pPr>
        <w:pStyle w:val="NormalHanging"/>
      </w:pPr>
      <w:r w:rsidRPr="006A393C">
        <w:t>Й.</w:t>
      </w:r>
      <w:r w:rsidRPr="006A393C">
        <w:tab/>
        <w:t xml:space="preserve">като има предвид, че нуждите от допълнителни инвестиции в социална инфраструктура се оценяват на приблизително 192 милиарда евро годишно, включително в жилища на достъпни цени, здравеопазване и дългосрочни грижи, </w:t>
      </w:r>
      <w:r w:rsidRPr="006A393C">
        <w:lastRenderedPageBreak/>
        <w:t>образование и обучение през целия живот</w:t>
      </w:r>
      <w:r w:rsidRPr="006A393C">
        <w:rPr>
          <w:vertAlign w:val="superscript"/>
        </w:rPr>
        <w:footnoteReference w:id="3"/>
      </w:r>
      <w:r w:rsidRPr="006A393C">
        <w:t>; като има предвид, че трябва да се отдава значение на икономическата възвръщаемост на социалните инвестиции, и по-специално публичните разходи за децата и младежта, които не само подобряват стандарта на живот и намаляват бедността, но също така са основни двигатели за устойчив и приобщаващ икономически растеж, по-висока производителност и повишени равнища на заетост; като има предвид, че недостатъчните инвестиции в образованието и научните изследвания отслабват дългосрочните перспективи за растеж; като има предвид, че при децата социалните инвестиции са инвестиция в бъдещето, която води до по-добро образование и по-добри перспективи за работа, което от своя страна стимулира икономическите показатели; като има предвид, че е необходимо да се извърши още работа за измерване на недостига на социални инвестиции след възстановяването в ЕС, а също така и на инвестициите в социални услуги и покритието на тези услуги, както и тяхната икономическа възвръщаемост; като има предвид, че разработването на общи показатели за данни относно разходите за социални услуги и обхвата на тези услуги, например Европейския индекс на социалните услуги, ще засили основаните на данни препоръки и ефективния мониторинг на тяхното изпълнение в рамките на европейския семестър;</w:t>
      </w:r>
    </w:p>
    <w:p w14:paraId="183960C4" w14:textId="77777777" w:rsidR="00AD4A35" w:rsidRPr="006A393C" w:rsidRDefault="00AD4A35" w:rsidP="00AD4A35">
      <w:pPr>
        <w:pStyle w:val="NormalHanging"/>
      </w:pPr>
      <w:r w:rsidRPr="006A393C">
        <w:t>К.</w:t>
      </w:r>
      <w:r w:rsidRPr="006A393C">
        <w:tab/>
        <w:t>като има предвид, че натискът, породен от жилищните разходи, и високите цени на енергията налагат значителна тежест на домакинствата, но въпреки това жилищната политика често не е достатъчно силно застъпена в специфичните за всяка държава препоръки, въпреки нейното значение от макроикономическа гледна точка и централната роля, която тя изпълнява за сигурността на доходите, социалното приобщаване и устойчивостта на разходите за живот; като има предвид, че инвестициите в социални услуги и увеличаването на предлагането на жилища, включително социални жилища и жилища на достъпни цени, както и в енергийна ефективност и саниране на сгради и предприемане на мерки във връзка с недостига на умения, играят ключова роля за намаляване на бедността, включително енергийната бедност, и за подобряване на финансовата достъпност;</w:t>
      </w:r>
    </w:p>
    <w:p w14:paraId="6C42052F" w14:textId="77777777" w:rsidR="00AD4A35" w:rsidRPr="006A393C" w:rsidRDefault="00AD4A35" w:rsidP="00AD4A35">
      <w:pPr>
        <w:pStyle w:val="NormalHanging"/>
      </w:pPr>
      <w:r w:rsidRPr="006A393C">
        <w:t>Л.</w:t>
      </w:r>
      <w:r w:rsidRPr="006A393C">
        <w:tab/>
        <w:t>като има предвид, че разликата в заплащането на жените и мъжете в ЕС понастоящем възлиза на 12%, което се дължи на непропорционално високия дял на отговорностите в домакинството и грижите за децата, поемани от жените, и на продължаващото подценяване на доминираните от жени професии, наред с други фактори; като има предвид, че жените са изправени пред по-висок риск от бедност, особено в напреднала възраст, като разликата в пенсиите на мъжете и жените понастоящем достига 25%</w:t>
      </w:r>
      <w:r w:rsidRPr="006A393C">
        <w:rPr>
          <w:vertAlign w:val="superscript"/>
        </w:rPr>
        <w:footnoteReference w:id="4"/>
      </w:r>
      <w:r w:rsidRPr="006A393C">
        <w:t>;</w:t>
      </w:r>
    </w:p>
    <w:p w14:paraId="3BCDCEF1" w14:textId="77777777" w:rsidR="00AD4A35" w:rsidRPr="006A393C" w:rsidRDefault="00AD4A35" w:rsidP="00AD4A35">
      <w:pPr>
        <w:pStyle w:val="NormalHanging12a"/>
      </w:pPr>
      <w:r w:rsidRPr="006A393C">
        <w:t>1.</w:t>
      </w:r>
      <w:r w:rsidRPr="006A393C">
        <w:tab/>
        <w:t xml:space="preserve">подчертава конкурентното предимство на инвестирането в социалния модел на ЕС; призовава препоръките на групата на високо равнище относно бъдещето на социалната закрила и социалната държава, както и препоръките от докладите на Енрико Лета и Марио Драги, да бъдат включени в процеса на европейския </w:t>
      </w:r>
      <w:r w:rsidRPr="006A393C">
        <w:lastRenderedPageBreak/>
        <w:t xml:space="preserve">семестър, за да бъде защитена и укрепена социалната пазарна икономика на ЕС; подчертава необходимостта от балансиран подход, който подкрепя социалните права, обществените услуги и структурите и обхвата на колективното договаряне в същата степен, в която подкрепя и конкурентоспособността; приветства интегрирането на ЕССП в рамката за икономическо управление и призовава държавите членки да се възползват от възможността за удължаване на периода на корекция, за да инвестират в приоритетите на ЕССП; призовава интегрираната рамка за управление да бъде отразена във вътрешните процеси на институциите на ЕС, като техните икономически и социални органи участват в еднаква степен; </w:t>
      </w:r>
    </w:p>
    <w:p w14:paraId="6188B88F" w14:textId="77777777" w:rsidR="00AD4A35" w:rsidRPr="006A393C" w:rsidRDefault="00AD4A35" w:rsidP="00AD4A35">
      <w:pPr>
        <w:pStyle w:val="NormalHanging12a"/>
      </w:pPr>
      <w:r w:rsidRPr="006A393C">
        <w:t>2.</w:t>
      </w:r>
      <w:r w:rsidRPr="006A393C">
        <w:tab/>
        <w:t xml:space="preserve">настоятелно призовава Комисията и държавите членки да прилагат изцяло ЕССП; подчертава, че актуализираният план за действие на ЕССП трябва да превърне политическите ангажименти в конкретни и амбициозни мерки, подкрепени с ясни, измерими цели и стабилни показатели за мониторинг, за да се предприемат ефективни мерки за справяне с бедността и социалното изключване и да се помогне на работниците да се справят с екологичния и цифровия преход, по-специално що се отнася до уменията, професионалното образование и обучение (ПОО) и ученето през целия живот; призовава целите на плана за действие на ЕССП да бъдат заложени в основата на европейския семестър, като бъдат превърнати в референтни показатели в оценките на европейския семестър; отбелязва, че предложението на Комисията за съвместен доклад за заетостта за 2026 г. е съсредоточено до голяма степен върху недостига на умения и работна ръка и не съдържа цялостна оценка на прилагането на 20-те принципа на ЕССП, както се изисква в Регламент (ЕС) 2024/1263; призовава Комисията да гарантира предприемането на мерки във връзка с всички принципи на ЕССП в бъдещите цикли, за да се осигури точна и пълна картина на социалното положение в ЕС; </w:t>
      </w:r>
    </w:p>
    <w:p w14:paraId="1BE7CF2F" w14:textId="77777777" w:rsidR="005B6B28" w:rsidRDefault="00AD4A35" w:rsidP="00AD4A35">
      <w:pPr>
        <w:pStyle w:val="NormalHanging12a"/>
        <w:rPr>
          <w:lang w:val="en-GB"/>
        </w:rPr>
      </w:pPr>
      <w:r w:rsidRPr="006A393C">
        <w:t>3.</w:t>
      </w:r>
      <w:r w:rsidRPr="006A393C">
        <w:tab/>
        <w:t>приветства амбицията на Комисията за изкореняване на бедността до 2050 г., нейния европейски план за жилища на достъпни цени и намерението ѝ да предложи законодателен акт за качествени работни места; приветства също така първата стратегия на ЕС за борба с бедността и укрепването на Европейската гаранция за децата; подчертава необходимостта от съгласуваност между европейския семестър, последващите действия във връзка с плана за действие на ЕССП и инструментите, които предстои да бъдат създадени, като се осигурят измерими цели и съответните специфични за всяка държава препоръки;</w:t>
      </w:r>
    </w:p>
    <w:p w14:paraId="551D2AF4" w14:textId="12C15F62" w:rsidR="00AD4A35" w:rsidRPr="006A393C" w:rsidRDefault="00266C89" w:rsidP="00AD4A35">
      <w:pPr>
        <w:pStyle w:val="NormalHanging12a"/>
      </w:pPr>
      <w:r>
        <w:rPr>
          <w:lang w:val="en-GB"/>
        </w:rPr>
        <w:t>4</w:t>
      </w:r>
      <w:r w:rsidR="005B6B28" w:rsidRPr="005B6B28">
        <w:t>.</w:t>
      </w:r>
      <w:r w:rsidR="005B6B28" w:rsidRPr="005B6B28">
        <w:tab/>
        <w:t xml:space="preserve">припомня ангажимента на председателя на Комисията Урсула фон </w:t>
      </w:r>
      <w:proofErr w:type="spellStart"/>
      <w:r w:rsidR="005B6B28" w:rsidRPr="005B6B28">
        <w:t>дер</w:t>
      </w:r>
      <w:proofErr w:type="spellEnd"/>
      <w:r w:rsidR="005B6B28" w:rsidRPr="005B6B28">
        <w:t xml:space="preserve"> </w:t>
      </w:r>
      <w:proofErr w:type="spellStart"/>
      <w:r w:rsidR="005B6B28" w:rsidRPr="005B6B28">
        <w:t>Лайен</w:t>
      </w:r>
      <w:proofErr w:type="spellEnd"/>
      <w:r w:rsidR="005B6B28" w:rsidRPr="005B6B28">
        <w:t xml:space="preserve"> от 2019 г. да се гарантира, че всяко дете в Европа, изложено на риск от бедност или социална изолация, има достъп до най-основните права, например здравеопазване и образование; този ангажимент бе последван от приемането на Препоръка на Съвета (ЕС) 2021/1004 от 14 юни 2021 г. за създаване на Европейска гаранция за децата</w:t>
      </w:r>
      <w:r w:rsidR="00502547">
        <w:rPr>
          <w:rStyle w:val="FootnoteReference"/>
        </w:rPr>
        <w:footnoteReference w:id="5"/>
      </w:r>
      <w:r w:rsidR="005B6B28" w:rsidRPr="005B6B28">
        <w:t>; подчертава, че целите на Европейската гаранция за децата не могат да бъдат постигнати без амбициозен специален бюджет както на равнището на ЕС, така и на национално равнище; в този контекст отново призовава за значителен специален бюджет от поне 20 милиарда евро за Европейската гаранция за децата; подчертава неотложната необходимост този специален бюджет да бъде разпределен в следващата многогодишна финансова рамка, за да се отговори на нарастващите предизвикателства в областта на детската бедност и социалното изключване;</w:t>
      </w:r>
      <w:r w:rsidR="00AD4A35" w:rsidRPr="006A393C">
        <w:t xml:space="preserve"> </w:t>
      </w:r>
    </w:p>
    <w:p w14:paraId="5B05A6C9" w14:textId="09592D5B" w:rsidR="00AD4A35" w:rsidRPr="006A393C" w:rsidRDefault="006D6514" w:rsidP="00AD4A35">
      <w:pPr>
        <w:pStyle w:val="NormalHanging12a"/>
      </w:pPr>
      <w:r>
        <w:lastRenderedPageBreak/>
        <w:t>5</w:t>
      </w:r>
      <w:r w:rsidR="00AD4A35" w:rsidRPr="006A393C">
        <w:t>.</w:t>
      </w:r>
      <w:r w:rsidR="00AD4A35" w:rsidRPr="006A393C">
        <w:tab/>
        <w:t>подчертава колко е важно да се изкоренят детската бедност и социалното изключване, за да се прекъснат циклите, при които тези проблеми се предават от поколение на поколение; приветства включването на оценка на прилагането на Гаранцията за децата във всички доклади по държави в пролетния пакет за 2025 г. и насърчава непрекъснатото наблюдение на напредъка в рамките на европейския семестър; изразява съжаление обаче относно липсата на последващи действия във връзка с тези констатации, като само в две специфични за всяка държава препоръки през 2025 г. се призовава за действия с цел справяне с детската бедност; счита, че специфичните за всяка държава препоръки следва да отразяват спазването от страна на държавите членки на бюджетните изисквания за отпускане на определен минимум от средства за борба с детската бедност, определен в Регламента за ЕСФ+</w:t>
      </w:r>
      <w:r w:rsidR="00AD4A35" w:rsidRPr="006A393C">
        <w:rPr>
          <w:vertAlign w:val="superscript"/>
        </w:rPr>
        <w:footnoteReference w:id="6"/>
      </w:r>
      <w:r w:rsidR="00AD4A35" w:rsidRPr="006A393C">
        <w:t xml:space="preserve">; </w:t>
      </w:r>
    </w:p>
    <w:p w14:paraId="02DC4630" w14:textId="1F0F9149" w:rsidR="00AD4A35" w:rsidRPr="004407B9" w:rsidRDefault="006D6514" w:rsidP="00AD4A35">
      <w:pPr>
        <w:pStyle w:val="NormalHanging12a"/>
        <w:rPr>
          <w:lang w:val="en-GB"/>
        </w:rPr>
      </w:pPr>
      <w:r>
        <w:t>6</w:t>
      </w:r>
      <w:r w:rsidR="00AD4A35" w:rsidRPr="006A393C">
        <w:t>.</w:t>
      </w:r>
      <w:r w:rsidR="00AD4A35" w:rsidRPr="006A393C">
        <w:tab/>
        <w:t xml:space="preserve">отново призовава да бъде увеличено финансирането за Европейската гаранция за децата, като се предостави </w:t>
      </w:r>
      <w:r w:rsidR="005B6B28" w:rsidRPr="005B6B28">
        <w:t xml:space="preserve">значителен </w:t>
      </w:r>
      <w:r w:rsidR="00AD4A35" w:rsidRPr="006A393C">
        <w:t>специален бюджет, както и държавите членки да насочват най-малко 5% от разпределените им средства по ЕСФ+ за борба с детската бедност и насърчаване на благосъстоянието на децата, като най-малко 10% се заделят за държавите членки, в които равнището на детска бедност надвишава средното за ЕС;</w:t>
      </w:r>
    </w:p>
    <w:p w14:paraId="577D58C2" w14:textId="71D16808" w:rsidR="00AD4A35" w:rsidRDefault="006D6514" w:rsidP="00AD4A35">
      <w:pPr>
        <w:pStyle w:val="NormalHanging12a"/>
        <w:rPr>
          <w:lang w:val="en-GB"/>
        </w:rPr>
      </w:pPr>
      <w:r>
        <w:t>7</w:t>
      </w:r>
      <w:r w:rsidR="00AD4A35" w:rsidRPr="006A393C">
        <w:t>.</w:t>
      </w:r>
      <w:r w:rsidR="00AD4A35" w:rsidRPr="006A393C">
        <w:tab/>
        <w:t xml:space="preserve">изразява загриженост относно равнището на младежка безработица, което продължава да бъде над два пъти по-високо от общото равнище на безработица в ЕС; подчертава, че по отношение на младите хора е от съществено значение мерките за активизиране на заетостта да бъдат допълнени с постоянна подкрепа, включително достъп до интегрирани социални услуги, жилищно настаняване и подкрепа за психическото здраве, за да се гарантира трайното им участие в образование или заетост; подчертава необходимостта държавите членки да инвестират в укрепената Гаранция за младежта, за да се гарантира качествена и навременна подкрепа за всички млади хора, </w:t>
      </w:r>
      <w:proofErr w:type="spellStart"/>
      <w:r w:rsidR="00AD4A35" w:rsidRPr="006A393C">
        <w:t>неучастващи</w:t>
      </w:r>
      <w:proofErr w:type="spellEnd"/>
      <w:r w:rsidR="00AD4A35" w:rsidRPr="006A393C">
        <w:t xml:space="preserve"> в никаква форма на заетост, образование или обучение (NEET), които са на възраст под 30 години; настоятелно призовава държавите членки да засилят използването на укрепената Гаранция за младежта като инструмент за подкрепа на лицата, напускащи системата за полагане на грижи, и за предотвратяване на ситуация, в която младите хора се оказват неподготвени за внезапното прекратяване на полагането на грижи за тях (т.нар. „</w:t>
      </w:r>
      <w:proofErr w:type="spellStart"/>
      <w:r w:rsidR="00AD4A35" w:rsidRPr="006A393C">
        <w:t>care</w:t>
      </w:r>
      <w:proofErr w:type="spellEnd"/>
      <w:r w:rsidR="00AD4A35" w:rsidRPr="006A393C">
        <w:t xml:space="preserve"> </w:t>
      </w:r>
      <w:proofErr w:type="spellStart"/>
      <w:r w:rsidR="00AD4A35" w:rsidRPr="006A393C">
        <w:t>cliff</w:t>
      </w:r>
      <w:proofErr w:type="spellEnd"/>
      <w:r w:rsidR="00AD4A35" w:rsidRPr="006A393C">
        <w:t xml:space="preserve">“), включително чрез достъп до професионално ориентиране; </w:t>
      </w:r>
    </w:p>
    <w:p w14:paraId="3961A2F6" w14:textId="0990F531" w:rsidR="009C3BEB" w:rsidRPr="009C3BEB" w:rsidRDefault="006D6514" w:rsidP="00AD4A35">
      <w:pPr>
        <w:pStyle w:val="NormalHanging12a"/>
      </w:pPr>
      <w:r>
        <w:t>8</w:t>
      </w:r>
      <w:r w:rsidR="009C3BEB" w:rsidRPr="004407B9">
        <w:t>.</w:t>
      </w:r>
      <w:r w:rsidR="009C3BEB" w:rsidRPr="004407B9">
        <w:tab/>
        <w:t>призовава Комисията и държавите членки, в рамките на европейския семестър, да насърчават висококачествени и справедливо платени стажове и да предотвратяват злоупотребата с тях като заместител на редовната заетост; призовава за това предстоящата директива за подобряване на условията на труд на стажантите</w:t>
      </w:r>
      <w:r w:rsidR="009C3BEB">
        <w:rPr>
          <w:rStyle w:val="FootnoteReference"/>
        </w:rPr>
        <w:footnoteReference w:id="7"/>
      </w:r>
      <w:r w:rsidR="009C3BEB" w:rsidRPr="004407B9">
        <w:t xml:space="preserve"> да бъде амбициозна и всеобхватна, като гарантира пълна защита на правата на стажантите, включително възможността за прекратяване на стажа без </w:t>
      </w:r>
      <w:r w:rsidR="009C3BEB" w:rsidRPr="004407B9">
        <w:lastRenderedPageBreak/>
        <w:t>предразсъдъци в случай на нарушение на основните права, и призовава за бързо приключване на преговорите;</w:t>
      </w:r>
    </w:p>
    <w:p w14:paraId="7EC2E297" w14:textId="191B1D10" w:rsidR="00AD4A35" w:rsidRPr="006A393C" w:rsidRDefault="006D6514" w:rsidP="00AD4A35">
      <w:pPr>
        <w:pStyle w:val="NormalHanging12a"/>
      </w:pPr>
      <w:r>
        <w:t>9</w:t>
      </w:r>
      <w:r w:rsidR="00AD4A35" w:rsidRPr="006A393C">
        <w:t>.</w:t>
      </w:r>
      <w:r w:rsidR="00AD4A35" w:rsidRPr="006A393C">
        <w:tab/>
        <w:t>счита, че са необходими действия на равнището на ЕС и на държавите членки за предотвратяване на трайно високи равнища на бедност и социално изключване и за справяне с този проблем, и във връзка с това приветства обявяването на първата стратегия на ЕС за борба с бедността; счита, че стратегията трябва да осигури всеобхватен подход за справяне с първопричините и многоизмерните аспекти на бедността и социалното изключване, като включва конкретни действия, стабилни бюджетни средства, ясни цели, ключови етапи и структурни мерки, като същевременно се гарантират силно изпълнение и мониторинг; призовава държавите членки да прилагат Директивата относно адекватните минимални работни заплати</w:t>
      </w:r>
      <w:r w:rsidR="00AD4A35" w:rsidRPr="006A393C">
        <w:rPr>
          <w:vertAlign w:val="superscript"/>
        </w:rPr>
        <w:footnoteReference w:id="8"/>
      </w:r>
      <w:r w:rsidR="00AD4A35" w:rsidRPr="006A393C">
        <w:t>, за да се борят с бедността сред работещите и да стимулират труда; призовава в основата на стратегията на ЕС за борба с бедността да бъде поставена борбата с детската бедност, за да се прекъсне цикълът на бедността; настоятелно призовава държавите членки да изпълняват изцяло Препоръката на Съвета относно адекватен минимален доход</w:t>
      </w:r>
      <w:r w:rsidR="00AD4A35" w:rsidRPr="006A393C">
        <w:rPr>
          <w:vertAlign w:val="superscript"/>
        </w:rPr>
        <w:footnoteReference w:id="9"/>
      </w:r>
      <w:r w:rsidR="00AD4A35" w:rsidRPr="006A393C">
        <w:t xml:space="preserve">; </w:t>
      </w:r>
    </w:p>
    <w:p w14:paraId="157BC314" w14:textId="4036B47F" w:rsidR="00AD4A35" w:rsidRPr="006A393C" w:rsidRDefault="006D6514" w:rsidP="00AD4A35">
      <w:pPr>
        <w:pStyle w:val="NormalHanging12a"/>
      </w:pPr>
      <w:r>
        <w:t>10</w:t>
      </w:r>
      <w:r w:rsidR="00AD4A35" w:rsidRPr="006A393C">
        <w:t>.</w:t>
      </w:r>
      <w:r w:rsidR="00AD4A35" w:rsidRPr="006A393C">
        <w:tab/>
        <w:t>припомня колко е важно да се подобрява достъпът на самостоятелно заетите лица до социална закрила и призовава Комисията да използва процеса на Европейския семестър, за да наблюдава прилагането на национално равнище на препоръката на Съвета относно достъпа на работниците и самостоятелно заетите лица до социална закрила</w:t>
      </w:r>
      <w:r w:rsidR="00AD4A35" w:rsidRPr="006A393C">
        <w:rPr>
          <w:rStyle w:val="FootnoteReference"/>
        </w:rPr>
        <w:footnoteReference w:id="10"/>
      </w:r>
      <w:r w:rsidR="00AD4A35" w:rsidRPr="006A393C">
        <w:t>, включително специфичните за всяка държава препоръки; припомня, че тъй като процентът на самостоятелно заетите специалисти в секторите на културата и творчеството е над два пъти по-висок, отколкото сред населението като цяло, е необходимо да се предприемат целеви мерки за сектора; приветства във връзка с това обявяването на Харта на хората на изкуството в ЕС, която има за цел да изтъкне основните принципи и ангажименти за справедливи условия на труд в този сектор, но настоятелно призовава Комисията да я публикува по-рано – още през 2026 г., тъй като става дума за отдавна съществуващи проблеми;</w:t>
      </w:r>
    </w:p>
    <w:p w14:paraId="7FB980B1" w14:textId="72296701" w:rsidR="00AD4A35" w:rsidRPr="006A393C" w:rsidRDefault="006D6514" w:rsidP="00AD4A35">
      <w:pPr>
        <w:pStyle w:val="NormalHanging12a"/>
      </w:pPr>
      <w:r>
        <w:t>11</w:t>
      </w:r>
      <w:r w:rsidR="00AD4A35" w:rsidRPr="006A393C">
        <w:t>.</w:t>
      </w:r>
      <w:r w:rsidR="00AD4A35" w:rsidRPr="006A393C">
        <w:tab/>
        <w:t>изразява съжаление, че целите на Стратегическата рамка на ЕС за ромите не се преследват по-активно от държавите членки и не им се обръща постоянно внимание в процеса на европейския семестър, особено в специфичните за всяка държава препоръки; подчертава целта на стратегическата рамка да се намали наполовина разликата в заетостта сред ромите и сред населението като цяло и да се гарантира, че до 2030 г. поне 60% от ромите полагат платен труд; настоятелно призовава държавите членки да възприемат интегриран, ориентиран към равенството подход и да гарантират, че обществените политики и услуги действително достигат до всички роми, включително до тези, които се намират в отдалечените и селските райони;</w:t>
      </w:r>
    </w:p>
    <w:p w14:paraId="0A8AF460" w14:textId="6B3D65E9" w:rsidR="00AD4A35" w:rsidRPr="006A393C" w:rsidRDefault="006D6514" w:rsidP="00AD4A35">
      <w:pPr>
        <w:pStyle w:val="NormalHanging12a"/>
      </w:pPr>
      <w:r>
        <w:lastRenderedPageBreak/>
        <w:t>12</w:t>
      </w:r>
      <w:r w:rsidR="00AD4A35" w:rsidRPr="006A393C">
        <w:t>.</w:t>
      </w:r>
      <w:r w:rsidR="00AD4A35" w:rsidRPr="006A393C">
        <w:tab/>
        <w:t>припомня със загриженост трайната разлика от около 24% по отношение на заетостта при хората без увреждания и хората с увреждания и от друга страна, целта на ЕС за преход от институционални грижи към грижи в общността или семейството за всички засегнати хора; призовава Комисията да преодолее тази разлика в заетостта чрез европейския семестър, включително в специфичните за всяка държава препоръки, и да актуализира стратегията на ЕС за правата на хората с увреждания за периода 2021—2030 г. в съответствие с Конвенцията на ООН за правата на хората с увреждания, с помощта на нови водещи инициативи, включително европейска гаранция за заетост и умения за хората с увреждания; отново призовава Комисията да представи план за действие за деинституционализация, който да обхваща всички групи, които все още живеят в институции, например деца, хора с увреждания, лица с проблеми с психичното здраве и бездомни хора; подчертава, че напредъкът по отношение на деинституционализацията следва да бъде наблюдаван в рамките на европейския семестър, и призовава държавите членки да използват пълноценно ЕСФ + и други фондове на ЕС и национални фондове, за да завършат този процес, да разработят услуги в общността и да инвестират в превенция;</w:t>
      </w:r>
    </w:p>
    <w:p w14:paraId="0FCDB3E9" w14:textId="750BFFB8" w:rsidR="00AD4A35" w:rsidRPr="006A393C" w:rsidRDefault="006D6514" w:rsidP="00AD4A35">
      <w:pPr>
        <w:pStyle w:val="NormalHanging12a"/>
      </w:pPr>
      <w:r>
        <w:t>13</w:t>
      </w:r>
      <w:r w:rsidR="00AD4A35" w:rsidRPr="006A393C">
        <w:t>.</w:t>
      </w:r>
      <w:r w:rsidR="00AD4A35" w:rsidRPr="006A393C">
        <w:tab/>
        <w:t>приветства постоянното включване на рамката за социална конвергенция в европейския семестър; подчертава колко е важна тя, заедно с набора от социални показатели, за идентифицирането на рисковете и проследяването на напредъка в областта на възходящата социална конвергенция, намаляването на неравенствата, укрепването на системите за социална закрила и насърчаването на достойни условия на труд и мерки за подкрепа, за да се гарантира справедливост при прехода; призовава Комисията да продължи да разработва иновативни инструменти за количествен и качествен анализ в обсега на тази нова рамка, за да я използва оптимално в бъдещите цикли на европейския семестър; призовава Комисията да анализира рисковете за възходящата социална конвергенция, подчертани в нейния съвместен доклад за заетостта за 2025 г., включително резултатите в областта на заетостта на непропорционално слабо представените групи, преждевременното напускане на училище и ученето за възрастни, както и бедността, на втория етап от анализа, и да обсъди със съответните държави членки предприетите или планираните мерки за справяне с тези рискове; отбелязва, че справянето с предизвикателствата, посочени в съвместния доклад за заетостта, ще допринесе за постигането на социално сближаване във възходяща посока;</w:t>
      </w:r>
    </w:p>
    <w:p w14:paraId="617BAB7D" w14:textId="7EE7F7B9" w:rsidR="00AD4A35" w:rsidRPr="006A393C" w:rsidRDefault="006D6514" w:rsidP="00AD4A35">
      <w:pPr>
        <w:pStyle w:val="NormalHanging12a"/>
      </w:pPr>
      <w:r>
        <w:t>14</w:t>
      </w:r>
      <w:r w:rsidR="00AD4A35" w:rsidRPr="006A393C">
        <w:t>.</w:t>
      </w:r>
      <w:r w:rsidR="00AD4A35" w:rsidRPr="006A393C">
        <w:tab/>
        <w:t xml:space="preserve">призовава Комисията да подобри и актуализира набора от социални показатели, като гарантира, че той отразява факторите и въздействието на неравенството, включително равните възможности, качествената заетост, разпределението на богатството, достъпа до обществени и социални услуги, адекватните пенсии, жилищното настаняване и бездомничеството, психичното здраве, дискриминацията и социалните последици от влошаването на състоянието на околната среда и изменението на климата; призовава Комисията да разглежда бедността сред работещите като предупредителен сигнал в рамките на набора от социални показатели и да предложи специфични за всяка държава препоръки, когато такива тенденции продължават да са налице; подчертава необходимостта от справяне с предизвикателствата, отбелязани като „критични“ или „за наблюдение“ в набора от показатели, например преждевременното напускане на училище, прекомерните жилищни разходи, въздействието на социалните плащания, разликата по отношение на заетостта между хората без увреждания и хората с увреждания, неудовлетворените по собствена преценка потребности от </w:t>
      </w:r>
      <w:r w:rsidR="00AD4A35" w:rsidRPr="006A393C">
        <w:lastRenderedPageBreak/>
        <w:t xml:space="preserve">медицински грижи, грижите за децата, основните цифрови умения и детската бедност; призовава за включването на индекс за социален напредък и индекс за равенство между половете с цел по-добро измерване на неравенството, достъпа до възможности и благосъстоянието, като се използват </w:t>
      </w:r>
      <w:proofErr w:type="spellStart"/>
      <w:r w:rsidR="00AD4A35" w:rsidRPr="006A393C">
        <w:t>дезагрегирани</w:t>
      </w:r>
      <w:proofErr w:type="spellEnd"/>
      <w:r w:rsidR="00AD4A35" w:rsidRPr="006A393C">
        <w:t xml:space="preserve"> данни; подчертава необходимостта от навременни, хармонизирани и прозрачни данни и методологии за подобряване на основаното на данни разработване на политики и целенасочените социални инвестиции, както и от привеждане на набора от социални показатели в съответствие с всичките 20 принципа на ЕССП;</w:t>
      </w:r>
    </w:p>
    <w:p w14:paraId="606EBCF0" w14:textId="342FC294" w:rsidR="00AD4A35" w:rsidRPr="006A393C" w:rsidRDefault="006D6514" w:rsidP="00AD4A35">
      <w:pPr>
        <w:pStyle w:val="NormalHanging12a"/>
      </w:pPr>
      <w:r>
        <w:t>15</w:t>
      </w:r>
      <w:r w:rsidR="00AD4A35" w:rsidRPr="006A393C">
        <w:t>.</w:t>
      </w:r>
      <w:r w:rsidR="00AD4A35" w:rsidRPr="006A393C">
        <w:tab/>
        <w:t xml:space="preserve">припомня, че показателят ИРБИ не отразява в достатъчна степен първопричините за бедността и сложните неравенства, и по-специално приобщаването на лицата, живеещи извън частни домакинства, качествените аспекти на бедността и преживените случаи на маргинализация, като се има предвид също така, че понятието за бедност надхвърля недостатъчните доходи или материалните лишения; призовава Комитета за социална закрила да работи за подновяване на статистическата мярка за показателя за риск от бедност или социално изключване, за да я разшири в посока към по-солидно, </w:t>
      </w:r>
      <w:proofErr w:type="spellStart"/>
      <w:r w:rsidR="00AD4A35" w:rsidRPr="006A393C">
        <w:t>дезагрегирано</w:t>
      </w:r>
      <w:proofErr w:type="spellEnd"/>
      <w:r w:rsidR="00AD4A35" w:rsidRPr="006A393C">
        <w:t xml:space="preserve"> и в по-голяма степен многоизмерно разбиране за бедността и социалното изключване; </w:t>
      </w:r>
    </w:p>
    <w:p w14:paraId="13533DEC" w14:textId="2125A590" w:rsidR="00AD4A35" w:rsidRPr="006A393C" w:rsidRDefault="006D6514" w:rsidP="00AD4A35">
      <w:pPr>
        <w:pStyle w:val="NormalHanging12a"/>
      </w:pPr>
      <w:r>
        <w:t>16</w:t>
      </w:r>
      <w:r w:rsidR="00AD4A35" w:rsidRPr="006A393C">
        <w:t>.</w:t>
      </w:r>
      <w:r w:rsidR="00AD4A35" w:rsidRPr="006A393C">
        <w:tab/>
        <w:t xml:space="preserve">припомня, че социалните инвестиции могат да окажат положително въздействие върху икономическия растеж, производителността и конкурентоспособността, като същевременно допринасят за фискалната устойчивост и насърчават социалното сближаване във възходяща посока, условията на живот и труд и приобщаването на уязвимите групи; призовава Комисията и държавите членки да разглеждат социалните инвестиции като основополагащи за устойчивия растеж и да се съсредоточат върху инвестиции, които са доказали своята ефективност по отношение на растежа, производителността, качеството на работните места и повишеното участие на пазара на труда; призовава държавите членки да използват пълноценно и целенасочено Механизма за възстановяване и устойчивост до 31 декември 2026 г., за да се справят с предизвикателствата, посочени в специфичните за всяка държава препоръки; изисква от Комисията да предостави насоки относно използването на частни инвестиции и публично-частни партньорства с цел преодоляване на пропуските в социалната инфраструктура; приветства създаването на Центъра за знания в областта на социалните инвестиции с цел подобряване на взаимното обучение и техническата помощ, допълнително подобряване на навременността и наличието на социални показатели, намаляване на забавянията при оценката на тенденциите в бедността и неравенството и подобряване на достъпа на държавите членки до данни за оценка на политиките и оценка на въздействието; </w:t>
      </w:r>
    </w:p>
    <w:p w14:paraId="7B7B4E70" w14:textId="7DB89ED0" w:rsidR="00AD4A35" w:rsidRPr="006A393C" w:rsidRDefault="006D6514" w:rsidP="00AD4A35">
      <w:pPr>
        <w:pStyle w:val="NormalHanging12a"/>
      </w:pPr>
      <w:r>
        <w:t>17</w:t>
      </w:r>
      <w:r w:rsidR="00AD4A35" w:rsidRPr="006A393C">
        <w:t>.</w:t>
      </w:r>
      <w:r w:rsidR="00AD4A35" w:rsidRPr="006A393C">
        <w:tab/>
        <w:t xml:space="preserve">припомня, че социалната икономика е ключов компонент на социалните инвестиции, който играе уникална роля в разработването на приобщаващи и иновативни решения на местно равнище, като допринася за създаването на качествени работни места, предоставянето на финансово приемливи и достъпни социални услуги и услуги в близост, както и за екологичния и цифровия преход; отбелязва, че обществената подкрепа за социалната икономика е солидна предвид факта, че 88% от респондентите на Евробарометър подкрепят стратегии и законодателство за нейното насърчаване; призовава Комисията и държавите членки да укрепят рамковите си условия чрез улесняване на достъпа до финансиране, гарантиране на неговата видимост и предоставяне на възможности за изграждане на капацитет, както и да отразят целите на плана за действие за </w:t>
      </w:r>
      <w:r w:rsidR="00AD4A35" w:rsidRPr="006A393C">
        <w:lastRenderedPageBreak/>
        <w:t>социалната икономика в европейския семестър, включително чрез специфични за всяка държава препоръки и целенасочено използване на фондовете на ЕС;</w:t>
      </w:r>
    </w:p>
    <w:p w14:paraId="447D185F" w14:textId="03D87DFE" w:rsidR="00AD4A35" w:rsidRPr="006A393C" w:rsidRDefault="006D6514" w:rsidP="00AD4A35">
      <w:pPr>
        <w:pStyle w:val="NormalHanging12a"/>
      </w:pPr>
      <w:r>
        <w:t>18</w:t>
      </w:r>
      <w:r w:rsidR="00AD4A35" w:rsidRPr="006A393C">
        <w:t>.</w:t>
      </w:r>
      <w:r w:rsidR="00AD4A35" w:rsidRPr="006A393C">
        <w:tab/>
        <w:t xml:space="preserve">подчертава, че планът на Комисията за жилища на достъпни цени следва да бъде интегриран по-добре в европейския семестър, с по-силен акцент в специфичните за всяка държава препоръки относно достъпни, достойни и устойчиви жилища, и по-специално за групите с ниски и средни доходи, за хората с увреждания и за възрастните хора; призовава за засилен мониторинг на напредъка на държавите членки в осигуряването на достъп до подходящо, безопасно и </w:t>
      </w:r>
      <w:proofErr w:type="spellStart"/>
      <w:r w:rsidR="00AD4A35" w:rsidRPr="006A393C">
        <w:t>несегрегирано</w:t>
      </w:r>
      <w:proofErr w:type="spellEnd"/>
      <w:r w:rsidR="00AD4A35" w:rsidRPr="006A393C">
        <w:t xml:space="preserve"> жилищно настаняване за ромските общности, живеещи в крайна бедност; припомня на страните, подписали Лисабонската декларация относно Европейската платформа за борба с бездомничеството, целта за изкореняване на бездомничеството до 2030 г.; призовава държавите членки да съчетаят мерки, които увеличават предлагането, намаляват разходите за строителство и предвиждат действия за справяне с недостига на работна ръка в строителния и жилищния сектор, с подкрепа по отношение на търсенето, която дава възможност на хората, и по-специално на домакинствата в уязвимо положение, да имат достъп до финансово приемливи, достойни и устойчиви жилища; подчертава, че националните средносрочни фискално-структурни планове и инвестиционни стратегии следва да подкрепят социалното жилищно настаняване на достъпни цени, предотвратяването и намаляването на бездомничеството и модернизирането на сградите с цел намаляване на енергийната бедност и подобряване на жилищните условия, по-специално за уязвимите домакинства; припомня, че Социалният фонд за климата ще предоставя от 2026 г. нататък финансиране на държавите членки в подкрепа на уязвимите домакинства и микропредприятията;</w:t>
      </w:r>
    </w:p>
    <w:p w14:paraId="0E1CCDC1" w14:textId="224E0DBC" w:rsidR="00AD4A35" w:rsidRPr="006A393C" w:rsidRDefault="006D6514" w:rsidP="00AD4A35">
      <w:pPr>
        <w:pStyle w:val="NormalHanging12a"/>
      </w:pPr>
      <w:r>
        <w:t>19</w:t>
      </w:r>
      <w:r w:rsidR="00AD4A35" w:rsidRPr="006A393C">
        <w:t>.</w:t>
      </w:r>
      <w:r w:rsidR="00AD4A35" w:rsidRPr="006A393C">
        <w:tab/>
        <w:t xml:space="preserve">подчертава, че инвестициите във висококачествено и достъпно образование и учене през целия живот са стратегическа социална инвестиция, която е от съществено значение за сближаването, приобщаването и подготовката на работната сила за екологичния и цифровия преход и свързаните с отбраната нужди на ЕС, включително чрез професионално образование и обучение и чиракуване; приветства предложението за препоръка на Съвета относно човешкия капитал в ЕС и неговия акцент върху предприемането на мерки с цел справяне с недостига на умения, използването на аналитични данни за уменията за разработването на стратегии за умения и развитието на широк набор от основни умения, включително цифрова и гражданска грамотност и грамотност в областта на изкуствения интелект (ИИ), за да се подготвят хората за съвременния живот; признава, че недостатъчните инвестиции в човешки капитал възпрепятстват иновациите, конкурентоспособността и способността на хората да достигнат пълния си потенциал; </w:t>
      </w:r>
    </w:p>
    <w:p w14:paraId="020E2568" w14:textId="4D7FE445" w:rsidR="00AD4A35" w:rsidRPr="006A393C" w:rsidRDefault="006D6514" w:rsidP="00AD4A35">
      <w:pPr>
        <w:pStyle w:val="NormalHanging12a"/>
      </w:pPr>
      <w:r>
        <w:t>20</w:t>
      </w:r>
      <w:r w:rsidR="00AD4A35" w:rsidRPr="006A393C">
        <w:t>.</w:t>
      </w:r>
      <w:r w:rsidR="00AD4A35" w:rsidRPr="006A393C">
        <w:tab/>
        <w:t xml:space="preserve">подчертава, че инициативите на ЕС, свързани с недостига на умения, трябва да предоставят по-солидна подкрепа за всеобхватни и приобщаващи системи за образование и обучение, например чрез активни политики на пазара на труда, индивидуални сметки за обучение и микроквалификации, както и чрез укрепване на процедурите за валидиране на неформалното и самостоятелното учене; освен това подчертава колко е важно да се подобрява и улеснява справедливата трудова мобилност в рамките на ЕС, както и ролята на законната миграция и признаването на чуждестранните квалификации с цел справяне с недостига на умения; изразява загриженост, че в повечето държави членки участието на възрастните в някаква форма на обучение остава доста под целта от 60%, особено сред нискоквалифицираните и по-възрастните работници, гражданите на държави </w:t>
      </w:r>
      <w:r w:rsidR="00AD4A35" w:rsidRPr="006A393C">
        <w:lastRenderedPageBreak/>
        <w:t>извън ЕС и хората с увреждания; призовава Комисията да предложи конкретни решения за недостига на умения и да предприеме мерки, имащи за цел преодоляване на трайните предизвикателства, в предстоящия пакет за справедлива трудова мобилност, като гарантира, че предстоящата инициатива за преносимост на уменията е насочена към преодоляване на настоящите пречки пред признаването на уменията;</w:t>
      </w:r>
    </w:p>
    <w:p w14:paraId="73BDB469" w14:textId="47E3E2A3" w:rsidR="00AD4A35" w:rsidRPr="006A393C" w:rsidRDefault="006D6514" w:rsidP="00AD4A35">
      <w:pPr>
        <w:pStyle w:val="NormalHanging12a"/>
      </w:pPr>
      <w:r>
        <w:t>21</w:t>
      </w:r>
      <w:r w:rsidR="00AD4A35" w:rsidRPr="006A393C">
        <w:t>.</w:t>
      </w:r>
      <w:r w:rsidR="00AD4A35" w:rsidRPr="006A393C">
        <w:tab/>
        <w:t>изразява твърдо убеждение, че индивидуалното право на обучение на работниците в работно време, чиято липса е основната пречка пред участието в обучения, може да гарантира качествено повишаване на квалификацията или преквалификация, обучение на служителите и подкрепа за професионално развитие с цел на работодателите да се осигури предвидим и стабилен приток на квалифицирани кадри; подчертава необходимостта от преодоляване на финансовите пречки, като за работниците се гарантира безплатно обучение, подкрепено от финансиране, данъчни стимули и партньорства; подчертава, че за обучението на служителите отговарят националните институции и социалните партньори, и набляга върху тяхната съществена роля за прилагането на правото на обучение; във връзка с това призовава държавите членки да отдават приоритет и да насърчават схеми за обучение, разработени съвместно от работниците и техните работодатели, като се гарантира, че повишаването на квалификацията и преквалификацията отговарят на реалното търсене на пазара и допринасят за професионалното развитие; призовава Комисията да проучи и издаде насоки относно начина, по който публично-частните партньорства между държавите членки и предприятията могат да финансират обучението, преквалификацията и повишаването на квалификацията на работниците, по-специално правото на обучение за отделните работници;</w:t>
      </w:r>
    </w:p>
    <w:p w14:paraId="4FBF11BD" w14:textId="4FD2D1C6" w:rsidR="00AD4A35" w:rsidRPr="006A393C" w:rsidRDefault="006D6514" w:rsidP="00AD4A35">
      <w:pPr>
        <w:pStyle w:val="NormalHanging12a"/>
      </w:pPr>
      <w:r>
        <w:t>22</w:t>
      </w:r>
      <w:r w:rsidR="00AD4A35" w:rsidRPr="006A393C">
        <w:t>.</w:t>
      </w:r>
      <w:r w:rsidR="00AD4A35" w:rsidRPr="006A393C">
        <w:tab/>
        <w:t>подчертава, че справедливостта между поколенията трябва да се превърне в структурен компонент на европейския семестър; призовава Комисията да включи, като част от своята стратегия за справедливост между поколенията, показатели за благосъстоянието на младите и на по-възрастните хора, достъпа до качествени работни места, финансовата достъпност на жилищата, наличността, физическата достъпност, адекватността на минималния доход и пенсиите, достъпа до качествени услуги в областта на психичното здраве и висококачественото образование и умения в рамката за оценка на европейския семестър, както и да оцени дългосрочното въздействие и въздействието върху разпределението на фискалните препоръки и препоръките за реформи; призовава Комисията да оцени дългосрочното икономическо, екологично и социално въздействие на политическите препоръки, включително на недостатъчните инвестиции, върху бъдещите поколения; подчертава необходимостта от по-добро интегриране в европейския семестър на въздействието на демографските промени и увеличаването на продължителността на живота; подчертава, че демографските промени налагат политики за увеличаване на участието на работната сила; подчертава необходимостта от мерки, които подкрепят активния живот на възрастните хора и гарантират дългосрочната устойчивост на пенсионните системи и системите за полагане на грижи; счита, че специфичните за всяка държава препоръки следва да насърчават изплащането на пенсии, които гарантират достоен живот, благосъстояние и достъп до качествени и финансово приемливи здравни грижи и превантивни услуги за всички;</w:t>
      </w:r>
    </w:p>
    <w:p w14:paraId="7018584C" w14:textId="079B5359" w:rsidR="00AD4A35" w:rsidRPr="006A393C" w:rsidRDefault="006D6514" w:rsidP="00AD4A35">
      <w:pPr>
        <w:pStyle w:val="NormalHanging12a"/>
      </w:pPr>
      <w:r>
        <w:t>23</w:t>
      </w:r>
      <w:r w:rsidR="00AD4A35" w:rsidRPr="006A393C">
        <w:t>.</w:t>
      </w:r>
      <w:r w:rsidR="00AD4A35" w:rsidRPr="006A393C">
        <w:tab/>
        <w:t xml:space="preserve">подчертава, че в рамките на европейския семестър разходите за отбрана трябва да се планират по координиран, ефикасен, прозрачен и включващ европейско </w:t>
      </w:r>
      <w:r w:rsidR="00AD4A35" w:rsidRPr="006A393C">
        <w:lastRenderedPageBreak/>
        <w:t>измерение начин, за да се увеличат максимално ползите за обществото; подчертава, че инвестициите, свързани със сигурността, следва да включват устойчивост на обществото, например инфраструктура с големи ползи за гражданите, социална закрила, гражданско образование, демократична устойчивост и защита срещу дезинформация, като се признава, че социалната стабилност и демократичното доверие са важни компоненти на архитектурата за сигурност на Европа и трябва да бъдат отразени в анализа на семестъра на дългосрочните нужди от реформи и инвестиции;</w:t>
      </w:r>
    </w:p>
    <w:p w14:paraId="7100573D" w14:textId="635A850F" w:rsidR="00AD4A35" w:rsidRPr="006A393C" w:rsidRDefault="006D6514" w:rsidP="00AD4A35">
      <w:pPr>
        <w:pStyle w:val="NormalHanging12a"/>
      </w:pPr>
      <w:r>
        <w:t>24</w:t>
      </w:r>
      <w:r w:rsidR="00AD4A35" w:rsidRPr="006A393C">
        <w:t>.</w:t>
      </w:r>
      <w:r w:rsidR="00AD4A35" w:rsidRPr="006A393C">
        <w:tab/>
        <w:t>подчертава, че препоръките в рамките на европейския семестър през 2026 г. ще бъдат от решаващо значение за оформянето на следващата многогодишна финансова рамка; счита, че реформите и инвестициите следва да се избират въз основа на тяхната ефикасност и ефективност за изпълнението на съответните специфични за всяка държава препоръки; предупреждава, че ако финансирането от ЕС трябва да бъде обвързано с насоките на семестъра, тези насоки трябва да бъдат социално балансирани в пълно съответствие с ЕССП, а регионалните и местните участници трябва да играят важна роля в отпускането на средства; във връзка с това отбелязва със загриженост предложението на Комисията относно социалните разходи, което рискува да размие акцента върху заетостта и социалните цели, и призовава за самостоятелен и засилен ЕСФ + с тематични концентрации;</w:t>
      </w:r>
    </w:p>
    <w:p w14:paraId="351FB446" w14:textId="41564A7B" w:rsidR="00AD4A35" w:rsidRPr="006A393C" w:rsidRDefault="006D6514" w:rsidP="00AD4A35">
      <w:pPr>
        <w:pStyle w:val="NormalHanging12a"/>
      </w:pPr>
      <w:r>
        <w:t>25</w:t>
      </w:r>
      <w:r w:rsidR="00AD4A35" w:rsidRPr="006A393C">
        <w:t>.</w:t>
      </w:r>
      <w:r w:rsidR="00AD4A35" w:rsidRPr="006A393C">
        <w:tab/>
        <w:t>счита, че социалният модел на ЕС е неразделна част от неговата конкурентоспособност и че усилията за опростяване на административната тежест за предприятията трябва да запазят и гарантират социалните права; подчертава, че качеството на работните места и конкурентоспособността, която не е свързана с разходите, например качеството на продуктите и услугите, също могат да подпомогнат производителността и ръста на заплатите; подчертава, че е важно да се осигури по-голяма яснота, пропорционалност и правна сигурност, по-специално за малките и средните предприятия и самостоятелно заетите специалисти, и че тези подходи следва да зачитат многообразието от модели на пазара на труда в държавите членки, като същевременно подкрепят устойчивата икономическа дейност и създаването на качествени работни места;</w:t>
      </w:r>
    </w:p>
    <w:p w14:paraId="1C53B7AD" w14:textId="538FD155" w:rsidR="00AD4A35" w:rsidRPr="006A393C" w:rsidRDefault="006D6514" w:rsidP="00AD4A35">
      <w:pPr>
        <w:pStyle w:val="NormalHanging12a"/>
      </w:pPr>
      <w:r>
        <w:t>26</w:t>
      </w:r>
      <w:r w:rsidR="00AD4A35" w:rsidRPr="006A393C">
        <w:t>.</w:t>
      </w:r>
      <w:r w:rsidR="00AD4A35" w:rsidRPr="006A393C">
        <w:tab/>
        <w:t xml:space="preserve">подкрепя демократизирането в по-голяма степен на процеса на европейския семестър, като Парламентът участва активно в определянето на приоритетите на икономическата и социалната политика и във вземането на решения относно икономическото управление; настоява, че формулирането, наблюдението и последващите действия във връзка с националните реформи трябва системно да включват социалните партньори, организациите на гражданското общество и регионалните и местните участници, като се осигурят достатъчно време и прозрачност; настоятелно призовава Комисията и държавите членки да гарантират подходящото им участие на всички етапи от анализа, включително в рамките на социалното сближаване, за да се засили ангажираността и да се гарантира, че социалните права в ЕС са реалност по места; подчертава, че зачитането на принципа на субсидиарност и националната компетентност продължава да заема централно място в европейския семестър; припомня необходимостта Комисията да гарантира, че в европейския семестър и в рамката на ЕС за икономическо управление се оценява въздействието на препоръчаните реформи върху равенството между половете и интеграцията на жените на пазара на труда и се насърчават инвестициите в качествени обществени услуги и инфраструктура за полагане на грижи; </w:t>
      </w:r>
    </w:p>
    <w:p w14:paraId="52BA1DF2" w14:textId="772C844F" w:rsidR="00AD4A35" w:rsidRPr="006A393C" w:rsidRDefault="006D6514" w:rsidP="00AD4A35">
      <w:pPr>
        <w:pStyle w:val="NormalHanging12a"/>
      </w:pPr>
      <w:r>
        <w:lastRenderedPageBreak/>
        <w:t>27</w:t>
      </w:r>
      <w:r w:rsidR="00AD4A35" w:rsidRPr="006A393C">
        <w:t>.</w:t>
      </w:r>
      <w:r w:rsidR="00AD4A35" w:rsidRPr="006A393C">
        <w:tab/>
        <w:t>обръща внимание на липсата на прозрачна методология за формулиране на специфичните за всяка държава препоръки и на яснота относно критериите, използвани за техния подбор; предупреждава, че това накърнява отчетността и рискува да доведе до неравно третиране на държавите членки; призовава Комисията да гарантира пълна прозрачност на процедурите и вътрешното вземане на решения, включително участващите генерални дирекции, и да засили отчетността и обмена на информация с Парламента; изразява загриженост, че изпълнението на специфичните за всяка държава препоръки е все така трайно ниско; призовава държавите членки да изпълнят по-добре препоръките в областта на заетостта и социалните политики; призовава Комисията да засили диалога си с държавите членки относно изпълнението на съществуващите препоръки и насоките за заетостта, включително последващите действия във връзка с настоящите и планираните действия в рамките на политиките;</w:t>
      </w:r>
    </w:p>
    <w:p w14:paraId="491BAC4C" w14:textId="0A50407C" w:rsidR="006A393C" w:rsidRPr="006A393C" w:rsidRDefault="006D6514" w:rsidP="006A393C">
      <w:pPr>
        <w:pStyle w:val="NormalHanging12a"/>
      </w:pPr>
      <w:r>
        <w:t>28</w:t>
      </w:r>
      <w:r w:rsidR="00AD4A35" w:rsidRPr="006A393C">
        <w:t>.</w:t>
      </w:r>
      <w:r w:rsidR="00AD4A35" w:rsidRPr="006A393C">
        <w:tab/>
        <w:t>възлага на своя председател да предаде настоящата резолюция съответно на Съвета и Комисията.</w:t>
      </w:r>
    </w:p>
    <w:p w14:paraId="63A503EA" w14:textId="3984DD30" w:rsidR="00E365E1" w:rsidRPr="006A393C" w:rsidRDefault="00E365E1" w:rsidP="0051038E"/>
    <w:sectPr w:rsidR="00E365E1" w:rsidRPr="006A393C" w:rsidSect="006A393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B476A" w14:textId="77777777" w:rsidR="0051038E" w:rsidRPr="006A393C" w:rsidRDefault="0051038E">
      <w:r w:rsidRPr="006A393C">
        <w:separator/>
      </w:r>
    </w:p>
  </w:endnote>
  <w:endnote w:type="continuationSeparator" w:id="0">
    <w:p w14:paraId="0A75FFEE" w14:textId="77777777" w:rsidR="0051038E" w:rsidRPr="006A393C" w:rsidRDefault="0051038E">
      <w:r w:rsidRPr="006A39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11C5B" w14:textId="77777777" w:rsidR="0051038E" w:rsidRPr="006A393C" w:rsidRDefault="0051038E">
      <w:r w:rsidRPr="006A393C">
        <w:separator/>
      </w:r>
    </w:p>
  </w:footnote>
  <w:footnote w:type="continuationSeparator" w:id="0">
    <w:p w14:paraId="018C5A7C" w14:textId="77777777" w:rsidR="0051038E" w:rsidRPr="006A393C" w:rsidRDefault="0051038E">
      <w:r w:rsidRPr="006A393C">
        <w:continuationSeparator/>
      </w:r>
    </w:p>
  </w:footnote>
  <w:footnote w:id="1">
    <w:p w14:paraId="4F207460" w14:textId="7AAC360C" w:rsidR="00AD4A35" w:rsidRPr="006A393C" w:rsidRDefault="00AD4A35" w:rsidP="006A393C">
      <w:pPr>
        <w:pStyle w:val="FootnoteText"/>
        <w:ind w:left="567" w:hanging="567"/>
        <w:rPr>
          <w:sz w:val="24"/>
          <w:lang w:val="bg-BG"/>
        </w:rPr>
      </w:pPr>
      <w:r w:rsidRPr="006A393C">
        <w:rPr>
          <w:rStyle w:val="FootnoteReference"/>
          <w:sz w:val="24"/>
          <w:lang w:val="bg-BG"/>
        </w:rPr>
        <w:footnoteRef/>
      </w:r>
      <w:r w:rsidR="006A393C" w:rsidRPr="006A393C">
        <w:rPr>
          <w:sz w:val="24"/>
          <w:lang w:val="bg-BG"/>
        </w:rPr>
        <w:t xml:space="preserve"> </w:t>
      </w:r>
      <w:r w:rsidR="006A393C" w:rsidRPr="006A393C">
        <w:rPr>
          <w:sz w:val="24"/>
          <w:lang w:val="bg-BG"/>
        </w:rPr>
        <w:tab/>
      </w:r>
      <w:r w:rsidRPr="006A393C">
        <w:rPr>
          <w:sz w:val="24"/>
          <w:lang w:val="bg-BG"/>
        </w:rPr>
        <w:t xml:space="preserve">ОВ L, 2024/1263, 30.4.2024 г., ELI: </w:t>
      </w:r>
      <w:hyperlink r:id="rId1" w:history="1">
        <w:r w:rsidRPr="006A393C">
          <w:rPr>
            <w:rStyle w:val="Hyperlink"/>
            <w:sz w:val="24"/>
            <w:lang w:val="bg-BG"/>
          </w:rPr>
          <w:t>http://data.europa.eu/eli/reg/2024/1263/oj</w:t>
        </w:r>
      </w:hyperlink>
      <w:r w:rsidRPr="006A393C">
        <w:rPr>
          <w:sz w:val="24"/>
          <w:lang w:val="bg-BG"/>
        </w:rPr>
        <w:t>.</w:t>
      </w:r>
    </w:p>
  </w:footnote>
  <w:footnote w:id="2">
    <w:p w14:paraId="2B1D5A92" w14:textId="5FC26BDD" w:rsidR="00AD4A35" w:rsidRPr="006A393C" w:rsidRDefault="00AD4A35" w:rsidP="006A393C">
      <w:pPr>
        <w:pStyle w:val="FootnoteText"/>
        <w:ind w:left="567" w:hanging="567"/>
        <w:rPr>
          <w:sz w:val="24"/>
          <w:lang w:val="bg-BG"/>
        </w:rPr>
      </w:pPr>
      <w:r w:rsidRPr="006A393C">
        <w:rPr>
          <w:rStyle w:val="FootnoteReference"/>
          <w:sz w:val="24"/>
          <w:lang w:val="bg-BG"/>
        </w:rPr>
        <w:footnoteRef/>
      </w:r>
      <w:r w:rsidR="006A393C" w:rsidRPr="006A393C">
        <w:rPr>
          <w:sz w:val="24"/>
          <w:lang w:val="bg-BG"/>
        </w:rPr>
        <w:t xml:space="preserve"> </w:t>
      </w:r>
      <w:r w:rsidR="006A393C" w:rsidRPr="006A393C">
        <w:rPr>
          <w:sz w:val="24"/>
          <w:lang w:val="bg-BG"/>
        </w:rPr>
        <w:tab/>
      </w:r>
      <w:r w:rsidRPr="006A393C">
        <w:rPr>
          <w:sz w:val="24"/>
          <w:lang w:val="bg-BG"/>
        </w:rPr>
        <w:t>Европейска комисия, „</w:t>
      </w:r>
      <w:proofErr w:type="spellStart"/>
      <w:r w:rsidRPr="006A393C">
        <w:rPr>
          <w:sz w:val="24"/>
          <w:lang w:val="bg-BG"/>
        </w:rPr>
        <w:t>Employment</w:t>
      </w:r>
      <w:proofErr w:type="spellEnd"/>
      <w:r w:rsidRPr="006A393C">
        <w:rPr>
          <w:sz w:val="24"/>
          <w:lang w:val="bg-BG"/>
        </w:rPr>
        <w:t xml:space="preserve"> </w:t>
      </w:r>
      <w:proofErr w:type="spellStart"/>
      <w:r w:rsidRPr="006A393C">
        <w:rPr>
          <w:sz w:val="24"/>
          <w:lang w:val="bg-BG"/>
        </w:rPr>
        <w:t>and</w:t>
      </w:r>
      <w:proofErr w:type="spellEnd"/>
      <w:r w:rsidRPr="006A393C">
        <w:rPr>
          <w:sz w:val="24"/>
          <w:lang w:val="bg-BG"/>
        </w:rPr>
        <w:t xml:space="preserve"> </w:t>
      </w:r>
      <w:proofErr w:type="spellStart"/>
      <w:r w:rsidRPr="006A393C">
        <w:rPr>
          <w:sz w:val="24"/>
          <w:lang w:val="bg-BG"/>
        </w:rPr>
        <w:t>Social</w:t>
      </w:r>
      <w:proofErr w:type="spellEnd"/>
      <w:r w:rsidRPr="006A393C">
        <w:rPr>
          <w:sz w:val="24"/>
          <w:lang w:val="bg-BG"/>
        </w:rPr>
        <w:t xml:space="preserve"> </w:t>
      </w:r>
      <w:proofErr w:type="spellStart"/>
      <w:r w:rsidRPr="006A393C">
        <w:rPr>
          <w:sz w:val="24"/>
          <w:lang w:val="bg-BG"/>
        </w:rPr>
        <w:t>Developments</w:t>
      </w:r>
      <w:proofErr w:type="spellEnd"/>
      <w:r w:rsidRPr="006A393C">
        <w:rPr>
          <w:sz w:val="24"/>
          <w:lang w:val="bg-BG"/>
        </w:rPr>
        <w:t xml:space="preserve"> </w:t>
      </w:r>
      <w:proofErr w:type="spellStart"/>
      <w:r w:rsidRPr="006A393C">
        <w:rPr>
          <w:sz w:val="24"/>
          <w:lang w:val="bg-BG"/>
        </w:rPr>
        <w:t>in</w:t>
      </w:r>
      <w:proofErr w:type="spellEnd"/>
      <w:r w:rsidRPr="006A393C">
        <w:rPr>
          <w:sz w:val="24"/>
          <w:lang w:val="bg-BG"/>
        </w:rPr>
        <w:t xml:space="preserve"> </w:t>
      </w:r>
      <w:proofErr w:type="spellStart"/>
      <w:r w:rsidRPr="006A393C">
        <w:rPr>
          <w:sz w:val="24"/>
          <w:lang w:val="bg-BG"/>
        </w:rPr>
        <w:t>Europe</w:t>
      </w:r>
      <w:proofErr w:type="spellEnd"/>
      <w:r w:rsidRPr="006A393C">
        <w:rPr>
          <w:sz w:val="24"/>
          <w:lang w:val="bg-BG"/>
        </w:rPr>
        <w:t xml:space="preserve"> (ESDE) 2024“ (Заетост и социални тенденции в Европа за 2024 г.), септември 2024 г.</w:t>
      </w:r>
    </w:p>
  </w:footnote>
  <w:footnote w:id="3">
    <w:p w14:paraId="202868C2" w14:textId="5E7E32A9" w:rsidR="00AD4A35" w:rsidRPr="006A393C" w:rsidRDefault="00AD4A35" w:rsidP="006A393C">
      <w:pPr>
        <w:pStyle w:val="FootnoteText"/>
        <w:ind w:left="567" w:hanging="567"/>
        <w:rPr>
          <w:sz w:val="24"/>
          <w:lang w:val="bg-BG"/>
        </w:rPr>
      </w:pPr>
      <w:r w:rsidRPr="006A393C">
        <w:rPr>
          <w:rStyle w:val="FootnoteReference"/>
          <w:sz w:val="24"/>
          <w:lang w:val="bg-BG"/>
        </w:rPr>
        <w:footnoteRef/>
      </w:r>
      <w:r w:rsidR="006A393C" w:rsidRPr="006A393C">
        <w:rPr>
          <w:sz w:val="24"/>
          <w:lang w:val="bg-BG"/>
        </w:rPr>
        <w:t xml:space="preserve"> </w:t>
      </w:r>
      <w:r w:rsidR="006A393C" w:rsidRPr="006A393C">
        <w:rPr>
          <w:sz w:val="24"/>
          <w:lang w:val="bg-BG"/>
        </w:rPr>
        <w:tab/>
      </w:r>
      <w:r w:rsidRPr="006A393C">
        <w:rPr>
          <w:sz w:val="24"/>
          <w:lang w:val="bg-BG"/>
        </w:rPr>
        <w:t>Работен документ на службите на Комисията от 27 май 2020 г., озаглавен „</w:t>
      </w:r>
      <w:proofErr w:type="spellStart"/>
      <w:r w:rsidRPr="006A393C">
        <w:rPr>
          <w:sz w:val="24"/>
          <w:lang w:val="bg-BG"/>
        </w:rPr>
        <w:t>Identifying</w:t>
      </w:r>
      <w:proofErr w:type="spellEnd"/>
      <w:r w:rsidRPr="006A393C">
        <w:rPr>
          <w:sz w:val="24"/>
          <w:lang w:val="bg-BG"/>
        </w:rPr>
        <w:t xml:space="preserve"> </w:t>
      </w:r>
      <w:proofErr w:type="spellStart"/>
      <w:r w:rsidRPr="006A393C">
        <w:rPr>
          <w:sz w:val="24"/>
          <w:lang w:val="bg-BG"/>
        </w:rPr>
        <w:t>Europe’s</w:t>
      </w:r>
      <w:proofErr w:type="spellEnd"/>
      <w:r w:rsidRPr="006A393C">
        <w:rPr>
          <w:sz w:val="24"/>
          <w:lang w:val="bg-BG"/>
        </w:rPr>
        <w:t xml:space="preserve"> </w:t>
      </w:r>
      <w:proofErr w:type="spellStart"/>
      <w:r w:rsidRPr="006A393C">
        <w:rPr>
          <w:sz w:val="24"/>
          <w:lang w:val="bg-BG"/>
        </w:rPr>
        <w:t>recovery</w:t>
      </w:r>
      <w:proofErr w:type="spellEnd"/>
      <w:r w:rsidRPr="006A393C">
        <w:rPr>
          <w:sz w:val="24"/>
          <w:lang w:val="bg-BG"/>
        </w:rPr>
        <w:t xml:space="preserve"> </w:t>
      </w:r>
      <w:proofErr w:type="spellStart"/>
      <w:r w:rsidRPr="006A393C">
        <w:rPr>
          <w:sz w:val="24"/>
          <w:lang w:val="bg-BG"/>
        </w:rPr>
        <w:t>needs</w:t>
      </w:r>
      <w:proofErr w:type="spellEnd"/>
      <w:r w:rsidRPr="006A393C">
        <w:rPr>
          <w:sz w:val="24"/>
          <w:lang w:val="bg-BG"/>
        </w:rPr>
        <w:t>“ („Определяне на нуждите на Европа във връзка с възстановяването“) (SWD(2020)0098), придружаващ съобщението на Комисията, озаглавено „Часът на Европа: възстановяване и подготовка за следващото поколение“ (COM(2020)0456).</w:t>
      </w:r>
    </w:p>
  </w:footnote>
  <w:footnote w:id="4">
    <w:p w14:paraId="4947AC86" w14:textId="50D19A3B" w:rsidR="00AD4A35" w:rsidRPr="006A393C" w:rsidRDefault="00AD4A35" w:rsidP="006A393C">
      <w:pPr>
        <w:pStyle w:val="FootnoteText"/>
        <w:ind w:left="567" w:hanging="567"/>
        <w:rPr>
          <w:sz w:val="24"/>
          <w:lang w:val="bg-BG"/>
        </w:rPr>
      </w:pPr>
      <w:r w:rsidRPr="006A393C">
        <w:rPr>
          <w:rStyle w:val="FootnoteReference"/>
          <w:sz w:val="24"/>
          <w:lang w:val="bg-BG"/>
        </w:rPr>
        <w:footnoteRef/>
      </w:r>
      <w:r w:rsidR="006A393C" w:rsidRPr="006A393C">
        <w:rPr>
          <w:sz w:val="24"/>
          <w:lang w:val="bg-BG"/>
        </w:rPr>
        <w:t xml:space="preserve"> </w:t>
      </w:r>
      <w:r w:rsidR="006A393C" w:rsidRPr="006A393C">
        <w:rPr>
          <w:sz w:val="24"/>
          <w:lang w:val="bg-BG"/>
        </w:rPr>
        <w:tab/>
      </w:r>
      <w:r w:rsidRPr="006A393C">
        <w:rPr>
          <w:sz w:val="24"/>
          <w:lang w:val="bg-BG"/>
        </w:rPr>
        <w:t>Европейски институт за равенство между половете, „</w:t>
      </w:r>
      <w:proofErr w:type="spellStart"/>
      <w:r w:rsidRPr="006A393C">
        <w:rPr>
          <w:sz w:val="24"/>
          <w:lang w:val="bg-BG"/>
        </w:rPr>
        <w:t>Gender</w:t>
      </w:r>
      <w:proofErr w:type="spellEnd"/>
      <w:r w:rsidRPr="006A393C">
        <w:rPr>
          <w:sz w:val="24"/>
          <w:lang w:val="bg-BG"/>
        </w:rPr>
        <w:t xml:space="preserve"> </w:t>
      </w:r>
      <w:proofErr w:type="spellStart"/>
      <w:r w:rsidRPr="006A393C">
        <w:rPr>
          <w:sz w:val="24"/>
          <w:lang w:val="bg-BG"/>
        </w:rPr>
        <w:t>Equality</w:t>
      </w:r>
      <w:proofErr w:type="spellEnd"/>
      <w:r w:rsidRPr="006A393C">
        <w:rPr>
          <w:sz w:val="24"/>
          <w:lang w:val="bg-BG"/>
        </w:rPr>
        <w:t xml:space="preserve"> </w:t>
      </w:r>
      <w:proofErr w:type="spellStart"/>
      <w:r w:rsidRPr="006A393C">
        <w:rPr>
          <w:sz w:val="24"/>
          <w:lang w:val="bg-BG"/>
        </w:rPr>
        <w:t>Index</w:t>
      </w:r>
      <w:proofErr w:type="spellEnd"/>
      <w:r w:rsidRPr="006A393C">
        <w:rPr>
          <w:sz w:val="24"/>
          <w:lang w:val="bg-BG"/>
        </w:rPr>
        <w:t xml:space="preserve">“ („Индекс за равенство между половете“), </w:t>
      </w:r>
      <w:hyperlink r:id="rId2" w:history="1">
        <w:r w:rsidRPr="006A393C">
          <w:rPr>
            <w:rStyle w:val="Hyperlink"/>
            <w:sz w:val="24"/>
            <w:lang w:val="bg-BG"/>
          </w:rPr>
          <w:t>https://eige.europa.eu/gender-equality-index/2025/country</w:t>
        </w:r>
      </w:hyperlink>
      <w:r w:rsidRPr="006A393C">
        <w:rPr>
          <w:sz w:val="24"/>
          <w:lang w:val="bg-BG"/>
        </w:rPr>
        <w:t>.</w:t>
      </w:r>
    </w:p>
  </w:footnote>
  <w:footnote w:id="5">
    <w:p w14:paraId="1F74E974" w14:textId="6337B214" w:rsidR="00502547" w:rsidRPr="00502547" w:rsidRDefault="00502547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ab/>
      </w:r>
      <w:r>
        <w:rPr>
          <w:sz w:val="24"/>
          <w:szCs w:val="24"/>
          <w:lang w:val="bg-BG"/>
        </w:rPr>
        <w:t>ОВ</w:t>
      </w:r>
      <w:r w:rsidRPr="00815070">
        <w:rPr>
          <w:sz w:val="24"/>
          <w:szCs w:val="24"/>
          <w:lang w:val="fi-FI"/>
        </w:rPr>
        <w:t xml:space="preserve"> L 223, 22.6.2021</w:t>
      </w:r>
      <w:r>
        <w:rPr>
          <w:sz w:val="24"/>
          <w:szCs w:val="24"/>
          <w:lang w:val="bg-BG"/>
        </w:rPr>
        <w:t> г.</w:t>
      </w:r>
      <w:r w:rsidRPr="00815070">
        <w:rPr>
          <w:sz w:val="24"/>
          <w:szCs w:val="24"/>
          <w:lang w:val="fi-FI"/>
        </w:rPr>
        <w:t xml:space="preserve">, </w:t>
      </w:r>
      <w:proofErr w:type="spellStart"/>
      <w:r>
        <w:rPr>
          <w:sz w:val="24"/>
          <w:szCs w:val="24"/>
          <w:lang w:val="bg-BG"/>
        </w:rPr>
        <w:t>стр</w:t>
      </w:r>
      <w:proofErr w:type="spellEnd"/>
      <w:r w:rsidRPr="00815070">
        <w:rPr>
          <w:sz w:val="24"/>
          <w:szCs w:val="24"/>
          <w:lang w:val="fi-FI"/>
        </w:rPr>
        <w:t xml:space="preserve">. 14, ELI: </w:t>
      </w:r>
      <w:hyperlink r:id="rId3" w:history="1">
        <w:r w:rsidRPr="00815070">
          <w:rPr>
            <w:rStyle w:val="Hyperlink"/>
            <w:sz w:val="24"/>
            <w:szCs w:val="24"/>
            <w:lang w:val="fi-FI"/>
          </w:rPr>
          <w:t>http://data.europa.eu/eli/reco/2021/1004/oj</w:t>
        </w:r>
      </w:hyperlink>
      <w:r w:rsidRPr="00815070">
        <w:rPr>
          <w:sz w:val="24"/>
          <w:szCs w:val="24"/>
          <w:lang w:val="fi-FI"/>
        </w:rPr>
        <w:t>.</w:t>
      </w:r>
    </w:p>
  </w:footnote>
  <w:footnote w:id="6">
    <w:p w14:paraId="5DB2668C" w14:textId="430CAB67" w:rsidR="00AD4A35" w:rsidRPr="006A393C" w:rsidRDefault="00AD4A35" w:rsidP="006A393C">
      <w:pPr>
        <w:pStyle w:val="FootnoteText"/>
        <w:ind w:left="567" w:hanging="567"/>
        <w:rPr>
          <w:sz w:val="24"/>
          <w:lang w:val="bg-BG"/>
        </w:rPr>
      </w:pPr>
      <w:r w:rsidRPr="006A393C">
        <w:rPr>
          <w:rStyle w:val="FootnoteReference"/>
          <w:sz w:val="24"/>
          <w:lang w:val="bg-BG"/>
        </w:rPr>
        <w:footnoteRef/>
      </w:r>
      <w:r w:rsidR="006A393C" w:rsidRPr="006A393C">
        <w:rPr>
          <w:sz w:val="24"/>
          <w:lang w:val="bg-BG"/>
        </w:rPr>
        <w:t xml:space="preserve"> </w:t>
      </w:r>
      <w:r w:rsidR="006A393C" w:rsidRPr="006A393C">
        <w:rPr>
          <w:sz w:val="24"/>
          <w:lang w:val="bg-BG"/>
        </w:rPr>
        <w:tab/>
      </w:r>
      <w:r w:rsidRPr="006A393C">
        <w:rPr>
          <w:sz w:val="24"/>
          <w:lang w:val="bg-BG"/>
        </w:rPr>
        <w:t>Регламент (ЕС) 2021/1057 на Европейския парламент и на Съвета от 24 юни 2021 г. за създаване на Европейския социален фонд плюс (ЕСФ+) и за отмяна на Регламент (ЕС) № 1296/2013 (ОВ L 231, 30.6.2021 г., стр. 21, ELI: </w:t>
      </w:r>
      <w:hyperlink r:id="rId4" w:tooltip="Предоставя достъп до този документ чрез неговия ELI URI." w:history="1">
        <w:r w:rsidRPr="006A393C">
          <w:rPr>
            <w:rStyle w:val="Hyperlink"/>
            <w:sz w:val="24"/>
            <w:lang w:val="bg-BG"/>
          </w:rPr>
          <w:t>http://data.europa.eu/eli/reg/2021/1057/oj</w:t>
        </w:r>
      </w:hyperlink>
      <w:r w:rsidRPr="006A393C">
        <w:rPr>
          <w:sz w:val="24"/>
          <w:lang w:val="bg-BG"/>
        </w:rPr>
        <w:t>).</w:t>
      </w:r>
    </w:p>
  </w:footnote>
  <w:footnote w:id="7">
    <w:p w14:paraId="1B96F352" w14:textId="09938FEC" w:rsidR="009C3BEB" w:rsidRPr="004407B9" w:rsidRDefault="009C3BEB" w:rsidP="004407B9">
      <w:pPr>
        <w:pStyle w:val="FootnoteText"/>
        <w:ind w:left="567" w:hanging="567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ab/>
      </w:r>
      <w:r w:rsidRPr="004407B9">
        <w:rPr>
          <w:sz w:val="24"/>
          <w:lang w:val="bg-BG"/>
        </w:rPr>
        <w:t>Предложение на Комисията от 20 март 2024 г. за директива на Европейския парламент и на Съвета относно подобряването и прилагането на условията на труд на стажантите и борбата с редовните трудови правоотношения, прикрити като стажове („Директива за стажовете“) (COM(2024)0132).</w:t>
      </w:r>
    </w:p>
  </w:footnote>
  <w:footnote w:id="8">
    <w:p w14:paraId="2014E8D8" w14:textId="3DA643A8" w:rsidR="00AD4A35" w:rsidRPr="006A393C" w:rsidRDefault="00AD4A35" w:rsidP="006A393C">
      <w:pPr>
        <w:pStyle w:val="FootnoteText"/>
        <w:ind w:left="567" w:hanging="567"/>
        <w:rPr>
          <w:sz w:val="24"/>
          <w:lang w:val="bg-BG"/>
        </w:rPr>
      </w:pPr>
      <w:r w:rsidRPr="006A393C">
        <w:rPr>
          <w:rStyle w:val="FootnoteReference"/>
          <w:sz w:val="24"/>
          <w:lang w:val="bg-BG"/>
        </w:rPr>
        <w:footnoteRef/>
      </w:r>
      <w:r w:rsidR="006A393C" w:rsidRPr="006A393C">
        <w:rPr>
          <w:sz w:val="24"/>
          <w:lang w:val="bg-BG"/>
        </w:rPr>
        <w:t xml:space="preserve"> </w:t>
      </w:r>
      <w:r w:rsidR="006A393C" w:rsidRPr="006A393C">
        <w:rPr>
          <w:sz w:val="24"/>
          <w:lang w:val="bg-BG"/>
        </w:rPr>
        <w:tab/>
      </w:r>
      <w:r w:rsidRPr="006A393C">
        <w:rPr>
          <w:sz w:val="24"/>
          <w:lang w:val="bg-BG"/>
        </w:rPr>
        <w:t>Директива (ЕС) 2022/2041 на Европейския парламент и на Съвета от 19 октомври 2022 г. относно адекватните минимални работни заплати в Европейския съюз (ОВ L 275, 25.10.2022 г., стр. 33, ELI: </w:t>
      </w:r>
      <w:hyperlink r:id="rId5" w:tooltip="Предоставя достъп до този документ чрез неговия ELI URI." w:history="1">
        <w:r w:rsidRPr="006A393C">
          <w:rPr>
            <w:rStyle w:val="Hyperlink"/>
            <w:sz w:val="24"/>
            <w:lang w:val="bg-BG"/>
          </w:rPr>
          <w:t>http://data.europa.eu/eli/dir/2022/2041/oj</w:t>
        </w:r>
      </w:hyperlink>
      <w:r w:rsidRPr="006A393C">
        <w:rPr>
          <w:sz w:val="24"/>
          <w:lang w:val="bg-BG"/>
        </w:rPr>
        <w:t xml:space="preserve">). </w:t>
      </w:r>
    </w:p>
  </w:footnote>
  <w:footnote w:id="9">
    <w:p w14:paraId="5D357418" w14:textId="3D6BCDA5" w:rsidR="00AD4A35" w:rsidRPr="006A393C" w:rsidRDefault="00AD4A35" w:rsidP="006A393C">
      <w:pPr>
        <w:pStyle w:val="FootnoteText"/>
        <w:ind w:left="567" w:hanging="567"/>
        <w:rPr>
          <w:sz w:val="24"/>
          <w:lang w:val="bg-BG"/>
        </w:rPr>
      </w:pPr>
      <w:r w:rsidRPr="006A393C">
        <w:rPr>
          <w:rStyle w:val="FootnoteReference"/>
          <w:sz w:val="24"/>
          <w:lang w:val="bg-BG"/>
        </w:rPr>
        <w:footnoteRef/>
      </w:r>
      <w:r w:rsidR="006A393C" w:rsidRPr="006A393C">
        <w:rPr>
          <w:sz w:val="24"/>
          <w:lang w:val="bg-BG"/>
        </w:rPr>
        <w:t xml:space="preserve"> </w:t>
      </w:r>
      <w:r w:rsidR="006A393C" w:rsidRPr="006A393C">
        <w:rPr>
          <w:sz w:val="24"/>
          <w:lang w:val="bg-BG"/>
        </w:rPr>
        <w:tab/>
      </w:r>
      <w:r w:rsidRPr="006A393C">
        <w:rPr>
          <w:sz w:val="24"/>
          <w:lang w:val="bg-BG"/>
        </w:rPr>
        <w:t>Препоръка на Съвета от 30 януари 2023 г. относно адекватен минимален доход, гарантиращ активно приобщаване 2023/C 41/01 (ОВ C 41, 3.2.2023 г., стр. 1).</w:t>
      </w:r>
    </w:p>
  </w:footnote>
  <w:footnote w:id="10">
    <w:p w14:paraId="66B39D73" w14:textId="4FAB7A4D" w:rsidR="00AD4A35" w:rsidRPr="006A393C" w:rsidRDefault="00AD4A35" w:rsidP="006A393C">
      <w:pPr>
        <w:pStyle w:val="FootnoteText"/>
        <w:ind w:left="567" w:hanging="567"/>
        <w:rPr>
          <w:sz w:val="24"/>
          <w:lang w:val="bg-BG"/>
        </w:rPr>
      </w:pPr>
      <w:r w:rsidRPr="006A393C">
        <w:rPr>
          <w:rStyle w:val="FootnoteReference"/>
          <w:sz w:val="24"/>
          <w:lang w:val="bg-BG"/>
        </w:rPr>
        <w:footnoteRef/>
      </w:r>
      <w:r w:rsidR="006A393C" w:rsidRPr="006A393C">
        <w:rPr>
          <w:sz w:val="24"/>
          <w:lang w:val="bg-BG"/>
        </w:rPr>
        <w:t xml:space="preserve"> </w:t>
      </w:r>
      <w:r w:rsidR="006A393C" w:rsidRPr="006A393C">
        <w:rPr>
          <w:sz w:val="24"/>
          <w:lang w:val="bg-BG"/>
        </w:rPr>
        <w:tab/>
      </w:r>
      <w:r w:rsidRPr="006A393C">
        <w:rPr>
          <w:sz w:val="24"/>
          <w:lang w:val="bg-BG"/>
        </w:rPr>
        <w:t>Препоръка на Съвета от 8 ноември 2019 г. относно достъпа на работниците и самостоятелно заетите лица до социална закрила (ОВ C 387, 15.11.2019 г., стр. 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64034463">
    <w:abstractNumId w:val="9"/>
  </w:num>
  <w:num w:numId="2" w16cid:durableId="420637266">
    <w:abstractNumId w:val="9"/>
  </w:num>
  <w:num w:numId="3" w16cid:durableId="1681934472">
    <w:abstractNumId w:val="7"/>
  </w:num>
  <w:num w:numId="4" w16cid:durableId="1859659260">
    <w:abstractNumId w:val="7"/>
  </w:num>
  <w:num w:numId="5" w16cid:durableId="597834517">
    <w:abstractNumId w:val="6"/>
  </w:num>
  <w:num w:numId="6" w16cid:durableId="450978551">
    <w:abstractNumId w:val="6"/>
  </w:num>
  <w:num w:numId="7" w16cid:durableId="1262840757">
    <w:abstractNumId w:val="5"/>
  </w:num>
  <w:num w:numId="8" w16cid:durableId="813177367">
    <w:abstractNumId w:val="5"/>
  </w:num>
  <w:num w:numId="9" w16cid:durableId="1837066199">
    <w:abstractNumId w:val="4"/>
  </w:num>
  <w:num w:numId="10" w16cid:durableId="875311139">
    <w:abstractNumId w:val="4"/>
  </w:num>
  <w:num w:numId="11" w16cid:durableId="1845171794">
    <w:abstractNumId w:val="8"/>
  </w:num>
  <w:num w:numId="12" w16cid:durableId="464854409">
    <w:abstractNumId w:val="8"/>
  </w:num>
  <w:num w:numId="13" w16cid:durableId="289211744">
    <w:abstractNumId w:val="3"/>
  </w:num>
  <w:num w:numId="14" w16cid:durableId="600651464">
    <w:abstractNumId w:val="3"/>
  </w:num>
  <w:num w:numId="15" w16cid:durableId="207450839">
    <w:abstractNumId w:val="2"/>
  </w:num>
  <w:num w:numId="16" w16cid:durableId="2002342997">
    <w:abstractNumId w:val="2"/>
  </w:num>
  <w:num w:numId="17" w16cid:durableId="687949743">
    <w:abstractNumId w:val="1"/>
  </w:num>
  <w:num w:numId="18" w16cid:durableId="397558009">
    <w:abstractNumId w:val="1"/>
  </w:num>
  <w:num w:numId="19" w16cid:durableId="216742225">
    <w:abstractNumId w:val="0"/>
  </w:num>
  <w:num w:numId="20" w16cid:durableId="915092348">
    <w:abstractNumId w:val="0"/>
  </w:num>
  <w:num w:numId="21" w16cid:durableId="1558861789">
    <w:abstractNumId w:val="9"/>
  </w:num>
  <w:num w:numId="22" w16cid:durableId="1383481308">
    <w:abstractNumId w:val="7"/>
  </w:num>
  <w:num w:numId="23" w16cid:durableId="1734886967">
    <w:abstractNumId w:val="6"/>
  </w:num>
  <w:num w:numId="24" w16cid:durableId="503668030">
    <w:abstractNumId w:val="5"/>
  </w:num>
  <w:num w:numId="25" w16cid:durableId="948586422">
    <w:abstractNumId w:val="4"/>
  </w:num>
  <w:num w:numId="26" w16cid:durableId="1270352478">
    <w:abstractNumId w:val="8"/>
  </w:num>
  <w:num w:numId="27" w16cid:durableId="1251426537">
    <w:abstractNumId w:val="3"/>
  </w:num>
  <w:num w:numId="28" w16cid:durableId="207911181">
    <w:abstractNumId w:val="2"/>
  </w:num>
  <w:num w:numId="29" w16cid:durableId="2069649547">
    <w:abstractNumId w:val="1"/>
  </w:num>
  <w:num w:numId="30" w16cid:durableId="1779376250">
    <w:abstractNumId w:val="0"/>
  </w:num>
  <w:num w:numId="31" w16cid:durableId="1586186197">
    <w:abstractNumId w:val="9"/>
  </w:num>
  <w:num w:numId="32" w16cid:durableId="901334918">
    <w:abstractNumId w:val="7"/>
  </w:num>
  <w:num w:numId="33" w16cid:durableId="287396145">
    <w:abstractNumId w:val="6"/>
  </w:num>
  <w:num w:numId="34" w16cid:durableId="1487740717">
    <w:abstractNumId w:val="5"/>
  </w:num>
  <w:num w:numId="35" w16cid:durableId="768551287">
    <w:abstractNumId w:val="4"/>
  </w:num>
  <w:num w:numId="36" w16cid:durableId="396974283">
    <w:abstractNumId w:val="8"/>
  </w:num>
  <w:num w:numId="37" w16cid:durableId="2090688728">
    <w:abstractNumId w:val="3"/>
  </w:num>
  <w:num w:numId="38" w16cid:durableId="1619602265">
    <w:abstractNumId w:val="2"/>
  </w:num>
  <w:num w:numId="39" w16cid:durableId="930898016">
    <w:abstractNumId w:val="1"/>
  </w:num>
  <w:num w:numId="40" w16cid:durableId="1372463472">
    <w:abstractNumId w:val="0"/>
  </w:num>
  <w:num w:numId="41" w16cid:durableId="1950818616">
    <w:abstractNumId w:val="10"/>
  </w:num>
  <w:num w:numId="42" w16cid:durableId="1464617467">
    <w:abstractNumId w:val="10"/>
  </w:num>
  <w:num w:numId="43" w16cid:durableId="318778037">
    <w:abstractNumId w:val="10"/>
  </w:num>
  <w:num w:numId="44" w16cid:durableId="17420973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3/2026"/>
    <w:docVar w:name="dvlangue" w:val="BG"/>
    <w:docVar w:name="dvnumam" w:val="0"/>
    <w:docVar w:name="dvpe" w:val="779.558"/>
    <w:docVar w:name="dvrapporteur" w:val="Докладчик: "/>
    <w:docVar w:name="dvtitre" w:val="Резолюция на Европейския парламент от ... 2026 г. относно европейския семестър за координация на икономическите политики: приоритети в областта на заетостта и социалните въпроси — годишен доклад за 2026 г.(2025/2183(INI))"/>
  </w:docVars>
  <w:rsids>
    <w:rsidRoot w:val="0051038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6C89"/>
    <w:rsid w:val="002767FF"/>
    <w:rsid w:val="002B18FE"/>
    <w:rsid w:val="002B5493"/>
    <w:rsid w:val="00314BC3"/>
    <w:rsid w:val="00343214"/>
    <w:rsid w:val="00361C00"/>
    <w:rsid w:val="00395FA1"/>
    <w:rsid w:val="003D5CEF"/>
    <w:rsid w:val="003E15D4"/>
    <w:rsid w:val="00411CCE"/>
    <w:rsid w:val="0041666E"/>
    <w:rsid w:val="00421060"/>
    <w:rsid w:val="004407B9"/>
    <w:rsid w:val="00471C19"/>
    <w:rsid w:val="004867E3"/>
    <w:rsid w:val="00494A28"/>
    <w:rsid w:val="004C0004"/>
    <w:rsid w:val="004C5D52"/>
    <w:rsid w:val="00502547"/>
    <w:rsid w:val="0050519A"/>
    <w:rsid w:val="005072A1"/>
    <w:rsid w:val="0051038E"/>
    <w:rsid w:val="00514517"/>
    <w:rsid w:val="00545827"/>
    <w:rsid w:val="00560270"/>
    <w:rsid w:val="00573E75"/>
    <w:rsid w:val="005B6B28"/>
    <w:rsid w:val="005C2568"/>
    <w:rsid w:val="005D0B61"/>
    <w:rsid w:val="005F1B17"/>
    <w:rsid w:val="006037C0"/>
    <w:rsid w:val="006631B6"/>
    <w:rsid w:val="00680577"/>
    <w:rsid w:val="006A393C"/>
    <w:rsid w:val="006D651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45A4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3BEB"/>
    <w:rsid w:val="00A12FDD"/>
    <w:rsid w:val="00A1687D"/>
    <w:rsid w:val="00A43E52"/>
    <w:rsid w:val="00A4678D"/>
    <w:rsid w:val="00A778C7"/>
    <w:rsid w:val="00AB441E"/>
    <w:rsid w:val="00AB6293"/>
    <w:rsid w:val="00AD4A35"/>
    <w:rsid w:val="00AE0928"/>
    <w:rsid w:val="00AF3B82"/>
    <w:rsid w:val="00B12E95"/>
    <w:rsid w:val="00B22876"/>
    <w:rsid w:val="00B558F0"/>
    <w:rsid w:val="00B93683"/>
    <w:rsid w:val="00BD48FE"/>
    <w:rsid w:val="00BD7BD8"/>
    <w:rsid w:val="00BE6ADC"/>
    <w:rsid w:val="00C05BFE"/>
    <w:rsid w:val="00C23CD4"/>
    <w:rsid w:val="00C61C0C"/>
    <w:rsid w:val="00C674A0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2DF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71343"/>
  <w15:chartTrackingRefBased/>
  <w15:docId w15:val="{0D256639-D163-4762-9B14-CF6242FC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D4A35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AD4A35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AD4A35"/>
    <w:pPr>
      <w:widowControl/>
      <w:spacing w:after="240"/>
      <w:ind w:left="566" w:hanging="566"/>
    </w:pPr>
    <w:rPr>
      <w:szCs w:val="24"/>
      <w:lang w:eastAsia="en-US"/>
    </w:rPr>
  </w:style>
  <w:style w:type="character" w:styleId="Hyperlink">
    <w:name w:val="Hyperlink"/>
    <w:basedOn w:val="DefaultParagraphFont"/>
    <w:unhideWhenUsed/>
    <w:rsid w:val="00AD4A3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8745A4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co/2021/1004/oj" TargetMode="External"/><Relationship Id="rId2" Type="http://schemas.openxmlformats.org/officeDocument/2006/relationships/hyperlink" Target="https://eige.europa.eu/gender-equality-index/2025/country" TargetMode="External"/><Relationship Id="rId1" Type="http://schemas.openxmlformats.org/officeDocument/2006/relationships/hyperlink" Target="http://data.europa.eu/eli/reg/2024/1263/oj" TargetMode="External"/><Relationship Id="rId5" Type="http://schemas.openxmlformats.org/officeDocument/2006/relationships/hyperlink" Target="http://data.europa.eu/eli/dir/2022/2041/oj" TargetMode="External"/><Relationship Id="rId4" Type="http://schemas.openxmlformats.org/officeDocument/2006/relationships/hyperlink" Target="http://data.europa.eu/eli/reg/2021/105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6579</Words>
  <Characters>39089</Characters>
  <Application>Microsoft Office Word</Application>
  <DocSecurity>0</DocSecurity>
  <Lines>325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MINKOVA Maria</cp:lastModifiedBy>
  <cp:revision>2</cp:revision>
  <cp:lastPrinted>2004-11-19T15:42:00Z</cp:lastPrinted>
  <dcterms:created xsi:type="dcterms:W3CDTF">2026-03-11T13:54:00Z</dcterms:created>
  <dcterms:modified xsi:type="dcterms:W3CDTF">2026-03-11T13:54:00Z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A10-0033/2026</vt:lpwstr>
  </property>
  <property fmtid="{D5CDD505-2E9C-101B-9397-08002B2CF9AE}" pid="4" name="&lt;Type&gt;">
    <vt:lpwstr>RR</vt:lpwstr>
  </property>
</Properties>
</file>