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3098" w14:paraId="282FF6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2CD44B" w14:textId="77777777" w:rsidR="00751A4A" w:rsidRPr="00743098" w:rsidRDefault="005A5E9E" w:rsidP="0010095E">
            <w:pPr>
              <w:pStyle w:val="EPName"/>
            </w:pPr>
            <w:r w:rsidRPr="00743098">
              <w:t>Evropský parlament</w:t>
            </w:r>
          </w:p>
          <w:p w14:paraId="77D927BF" w14:textId="77777777" w:rsidR="00751A4A" w:rsidRPr="007430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3098">
              <w:t>2024</w:t>
            </w:r>
            <w:r w:rsidR="00817416" w:rsidRPr="00743098">
              <w:t>-202</w:t>
            </w:r>
            <w:r w:rsidRPr="00743098">
              <w:t>9</w:t>
            </w:r>
          </w:p>
        </w:tc>
        <w:tc>
          <w:tcPr>
            <w:tcW w:w="2268" w:type="dxa"/>
            <w:shd w:val="clear" w:color="auto" w:fill="auto"/>
          </w:tcPr>
          <w:p w14:paraId="60D6B6CE" w14:textId="77777777" w:rsidR="00751A4A" w:rsidRPr="00743098" w:rsidRDefault="00187494" w:rsidP="0010095E">
            <w:pPr>
              <w:pStyle w:val="EPLogo"/>
            </w:pPr>
            <w:r w:rsidRPr="00743098">
              <w:rPr>
                <w:noProof/>
                <w:lang w:eastAsia="ja-JP"/>
              </w:rPr>
              <w:drawing>
                <wp:inline distT="0" distB="0" distL="0" distR="0" wp14:anchorId="337B56E3" wp14:editId="1DC101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19C52B" w14:textId="77777777" w:rsidR="00D058B8" w:rsidRPr="00743098" w:rsidRDefault="00D058B8" w:rsidP="004C5D52">
      <w:pPr>
        <w:pStyle w:val="LineTop"/>
      </w:pPr>
    </w:p>
    <w:p w14:paraId="1EADDCE9" w14:textId="77777777" w:rsidR="00680577" w:rsidRPr="00743098" w:rsidRDefault="005A5E9E" w:rsidP="00680577">
      <w:pPr>
        <w:pStyle w:val="EPBodyTA1"/>
      </w:pPr>
      <w:r w:rsidRPr="00743098">
        <w:t>PŘIJATÉ TEXTY</w:t>
      </w:r>
    </w:p>
    <w:p w14:paraId="0F00ABC4" w14:textId="77777777" w:rsidR="00D058B8" w:rsidRPr="00743098" w:rsidRDefault="00D058B8" w:rsidP="00D058B8">
      <w:pPr>
        <w:pStyle w:val="LineBottom"/>
      </w:pPr>
    </w:p>
    <w:p w14:paraId="27CA3EDE" w14:textId="74BB9852" w:rsidR="005A5E9E" w:rsidRPr="00743098" w:rsidRDefault="005A5E9E" w:rsidP="005A5E9E">
      <w:pPr>
        <w:pStyle w:val="ATHeading1"/>
      </w:pPr>
      <w:bookmarkStart w:id="0" w:name="TANumber"/>
      <w:r w:rsidRPr="00743098">
        <w:t>P10_TA(2026)00</w:t>
      </w:r>
      <w:r w:rsidR="006A656F">
        <w:t>76</w:t>
      </w:r>
      <w:bookmarkEnd w:id="0"/>
    </w:p>
    <w:p w14:paraId="14DA9B20" w14:textId="77777777" w:rsidR="005A5E9E" w:rsidRPr="00743098" w:rsidRDefault="005A5E9E" w:rsidP="005A5E9E">
      <w:pPr>
        <w:pStyle w:val="ATHeading2"/>
      </w:pPr>
      <w:bookmarkStart w:id="1" w:name="title"/>
      <w:r w:rsidRPr="00743098">
        <w:t>Evropský semestr pro koordinaci hospodářských politik: priority v oblasti zaměstnanosti a v sociální oblasti pro rok 2026</w:t>
      </w:r>
      <w:bookmarkEnd w:id="1"/>
    </w:p>
    <w:p w14:paraId="217DD140" w14:textId="77777777" w:rsidR="005A5E9E" w:rsidRPr="00743098" w:rsidRDefault="005A5E9E" w:rsidP="005A5E9E">
      <w:pPr>
        <w:rPr>
          <w:i/>
          <w:vanish/>
        </w:rPr>
      </w:pPr>
      <w:r w:rsidRPr="00743098">
        <w:rPr>
          <w:i/>
        </w:rPr>
        <w:fldChar w:fldCharType="begin"/>
      </w:r>
      <w:r w:rsidRPr="00743098">
        <w:rPr>
          <w:i/>
        </w:rPr>
        <w:instrText xml:space="preserve"> TC"(</w:instrText>
      </w:r>
      <w:bookmarkStart w:id="2" w:name="DocNumber"/>
      <w:r w:rsidRPr="00743098">
        <w:rPr>
          <w:i/>
        </w:rPr>
        <w:instrText>A10-0033/2026</w:instrText>
      </w:r>
      <w:bookmarkEnd w:id="2"/>
      <w:r w:rsidRPr="00743098">
        <w:rPr>
          <w:i/>
        </w:rPr>
        <w:instrText xml:space="preserve"> - Zpravodajka: Nela Riehl)"\l3 \n&gt; \* MERGEFORMAT </w:instrText>
      </w:r>
      <w:r w:rsidRPr="00743098">
        <w:rPr>
          <w:i/>
        </w:rPr>
        <w:fldChar w:fldCharType="end"/>
      </w:r>
    </w:p>
    <w:p w14:paraId="72D147AF" w14:textId="77777777" w:rsidR="005A5E9E" w:rsidRPr="00743098" w:rsidRDefault="005A5E9E" w:rsidP="005A5E9E">
      <w:pPr>
        <w:rPr>
          <w:vanish/>
        </w:rPr>
      </w:pPr>
      <w:bookmarkStart w:id="3" w:name="Commission"/>
      <w:r w:rsidRPr="00743098">
        <w:rPr>
          <w:vanish/>
        </w:rPr>
        <w:t>Výbor pro zaměstnanost a sociální věci</w:t>
      </w:r>
      <w:bookmarkEnd w:id="3"/>
    </w:p>
    <w:p w14:paraId="61B7F0B2" w14:textId="77777777" w:rsidR="005A5E9E" w:rsidRPr="00743098" w:rsidRDefault="005A5E9E" w:rsidP="005A5E9E">
      <w:pPr>
        <w:rPr>
          <w:vanish/>
        </w:rPr>
      </w:pPr>
      <w:bookmarkStart w:id="4" w:name="PE"/>
      <w:r w:rsidRPr="00743098">
        <w:rPr>
          <w:vanish/>
        </w:rPr>
        <w:t>PE779.558</w:t>
      </w:r>
      <w:bookmarkEnd w:id="4"/>
    </w:p>
    <w:p w14:paraId="6899BAB2" w14:textId="77777777" w:rsidR="005A5E9E" w:rsidRPr="00743098" w:rsidRDefault="005A5E9E" w:rsidP="005A5E9E">
      <w:pPr>
        <w:pStyle w:val="ATHeading3"/>
      </w:pPr>
      <w:bookmarkStart w:id="5" w:name="Sujet"/>
      <w:r w:rsidRPr="00743098">
        <w:t>Usnesení Evropského parlamentu ze dne 11. března 2026 o evropském semestru pro koordinaci hospodářských politik: priority v oblasti zaměstnanosti a v sociální oblasti – výroční zpráva za rok 2026</w:t>
      </w:r>
      <w:bookmarkEnd w:id="5"/>
      <w:r w:rsidRPr="00743098">
        <w:t xml:space="preserve"> </w:t>
      </w:r>
      <w:bookmarkStart w:id="6" w:name="References"/>
      <w:r w:rsidRPr="00743098">
        <w:t>(2025/2183(INI))</w:t>
      </w:r>
      <w:bookmarkEnd w:id="6"/>
    </w:p>
    <w:p w14:paraId="2DEA366D" w14:textId="77777777" w:rsidR="00D753FC" w:rsidRPr="00743098" w:rsidRDefault="00D753FC" w:rsidP="00CE41A0">
      <w:pPr>
        <w:pStyle w:val="Normal12"/>
        <w:spacing w:before="480"/>
      </w:pPr>
      <w:r w:rsidRPr="00743098">
        <w:rPr>
          <w:i/>
        </w:rPr>
        <w:t>Evropský parlament</w:t>
      </w:r>
      <w:r w:rsidRPr="00743098">
        <w:t>,</w:t>
      </w:r>
    </w:p>
    <w:p w14:paraId="0D36C798" w14:textId="77777777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>s ohledem na článek 3 Smlouvy o Evropské unii,</w:t>
      </w:r>
    </w:p>
    <w:p w14:paraId="0993DD73" w14:textId="77777777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>s ohledem na články 9, 121, 148 a 149 Smlouvy o fungování Evropské unie (SFEU),</w:t>
      </w:r>
    </w:p>
    <w:p w14:paraId="08A34658" w14:textId="77777777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>s ohledem na evropský pilíř sociálních práv vyhlášený a podepsaný Radou, Parlamentem a Komisí dne 17. listopadu 2017 a na jeho akční plán přijatý v roce 2021, zejména na navrhované hlavní cíle pro rok 2030 v oblasti zaměstnanosti, dovedností a snižování chudoby,</w:t>
      </w:r>
    </w:p>
    <w:p w14:paraId="7ACE4EF8" w14:textId="77777777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>s ohledem na nařízení Evropského parlamentu a Rady (EU) 2024/1263 ze dne 29. dubna 2024 o účinné koordinaci hospodářských politik a mnohostranném rozpočtovém dohledu a o zrušení nařízení Rady (ES) č. 1466/97</w:t>
      </w:r>
      <w:r w:rsidRPr="00743098">
        <w:rPr>
          <w:vertAlign w:val="superscript"/>
        </w:rPr>
        <w:footnoteReference w:id="1"/>
      </w:r>
      <w:r w:rsidRPr="00743098">
        <w:t>, a zejména na články 3, 4, 13 a 27 uvedeného nařízení,</w:t>
      </w:r>
    </w:p>
    <w:p w14:paraId="5AEE0310" w14:textId="77777777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>s ohledem na zprávu Komise s názvem „Zaměstnanost a sociální rozvoj v Evropě 2025“ zveřejněnou v září 2025,</w:t>
      </w:r>
    </w:p>
    <w:p w14:paraId="77F86C01" w14:textId="77777777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>s ohledem na zprávu Komise s názvem „Vývoj trhu práce a mezd v Evropě“ zveřejněnou v říjnu 2025,</w:t>
      </w:r>
    </w:p>
    <w:p w14:paraId="1054517C" w14:textId="58258D8F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>s ohledem na návrh společné zprávy Komise a Rady o zaměstnanosti, který dne 25.</w:t>
      </w:r>
      <w:r w:rsidR="00F40CC4" w:rsidRPr="00743098">
        <w:t> </w:t>
      </w:r>
      <w:r w:rsidRPr="00743098">
        <w:t>listopadu 2025 předložila Komise (COM(2025)0958),</w:t>
      </w:r>
    </w:p>
    <w:p w14:paraId="0DC6C3EA" w14:textId="77777777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>s ohledem na doporučení Komise ze dne 25. listopadu 2025 pro doporučení Rady týkající se hospodářské politiky eurozóny (COM(2025)0957),</w:t>
      </w:r>
    </w:p>
    <w:p w14:paraId="1D568E86" w14:textId="33B49AB7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>s ohledem na sdělení Komise ze dne 25. listopadu 2025 nazvané „Zpráva mechanismu varování 202</w:t>
      </w:r>
      <w:r w:rsidR="008F7735">
        <w:t>6</w:t>
      </w:r>
      <w:r w:rsidRPr="00743098">
        <w:t>“ (COM(2025)0956),</w:t>
      </w:r>
    </w:p>
    <w:p w14:paraId="1CA66C18" w14:textId="77777777" w:rsidR="00D753FC" w:rsidRPr="00743098" w:rsidRDefault="00D753FC" w:rsidP="00D753FC">
      <w:pPr>
        <w:pStyle w:val="NormalHanging"/>
      </w:pPr>
      <w:r w:rsidRPr="00743098">
        <w:lastRenderedPageBreak/>
        <w:t>–</w:t>
      </w:r>
      <w:r w:rsidRPr="00743098">
        <w:tab/>
        <w:t>s ohledem na doporučení Komise ze dne 25. listopadu 2025 pro doporučení Rady o lidském kapitálu v Evropské unii (COM(2025)0959),</w:t>
      </w:r>
    </w:p>
    <w:p w14:paraId="378D9E26" w14:textId="77777777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>s ohledem na příspěvky evropských sociálních partnerů k evropskému semestru 2026 a zejména k podzimnímu balíčku,</w:t>
      </w:r>
    </w:p>
    <w:p w14:paraId="4EF8F1F1" w14:textId="77777777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 xml:space="preserve">s ohledem na zprávu Maria </w:t>
      </w:r>
      <w:proofErr w:type="spellStart"/>
      <w:r w:rsidRPr="00743098">
        <w:t>Draghiho</w:t>
      </w:r>
      <w:proofErr w:type="spellEnd"/>
      <w:r w:rsidRPr="00743098">
        <w:t xml:space="preserve"> o budoucnosti evropské konkurenceschopnosti zveřejněnou v září 2024,</w:t>
      </w:r>
    </w:p>
    <w:p w14:paraId="3F669819" w14:textId="77777777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 xml:space="preserve">s ohledem na zprávu Enrica </w:t>
      </w:r>
      <w:proofErr w:type="spellStart"/>
      <w:r w:rsidRPr="00743098">
        <w:t>Letty</w:t>
      </w:r>
      <w:proofErr w:type="spellEnd"/>
      <w:r w:rsidRPr="00743098">
        <w:t xml:space="preserve"> o budoucnosti jednotného trhu nazvanou „Mnohem více než jen trh“, která byla zveřejněna v dubnu 2024,</w:t>
      </w:r>
    </w:p>
    <w:p w14:paraId="5DE5BFFC" w14:textId="77777777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>s ohledem na zprávu skupiny na vysoké úrovni pro budoucnost sociální ochrany a sociálního státu v EU, která byla zveřejněna v lednu 2023,</w:t>
      </w:r>
    </w:p>
    <w:p w14:paraId="52031CA2" w14:textId="77777777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>s ohledem na článek 55 jednacího řádu,</w:t>
      </w:r>
    </w:p>
    <w:p w14:paraId="5C6E56E1" w14:textId="77777777" w:rsidR="00D753FC" w:rsidRPr="00743098" w:rsidRDefault="00D753FC" w:rsidP="00D753FC">
      <w:pPr>
        <w:pStyle w:val="NormalHanging"/>
      </w:pPr>
      <w:r w:rsidRPr="00743098">
        <w:t>–</w:t>
      </w:r>
      <w:r w:rsidRPr="00743098">
        <w:tab/>
        <w:t>s ohledem na zprávu Výboru pro zaměstnanost a sociální věci (A10-0033/2026),</w:t>
      </w:r>
    </w:p>
    <w:p w14:paraId="1007E263" w14:textId="77777777" w:rsidR="00D753FC" w:rsidRPr="00743098" w:rsidRDefault="00D753FC" w:rsidP="00D753FC">
      <w:pPr>
        <w:pStyle w:val="NormalHanging"/>
      </w:pPr>
      <w:r w:rsidRPr="00743098">
        <w:t>A.</w:t>
      </w:r>
      <w:r w:rsidRPr="00743098">
        <w:tab/>
        <w:t>vzhledem k tomu, že cíl EU v oblasti zaměstnanosti, kterým je, aby do roku 2030 bylo zaměstnáno alespoň 78 % osob ve věku 20 až 64 let, je na dobré cestě ke svému dosažení; vzhledem k tomu, že v říjnu 2025 činila míra nezaměstnanosti v EU 6 %, přičemž v členských státech se pohybovala mezi 2,6 % a 10,6 %, zatímco nezaměstnanost mladých lidí zůstává vysoká, a to 13,2 %; vzhledem k tomu, že míra nezaměstnanosti a nejisté pracovní podmínky zůstávají trvale vysoké u mladých lidí, žen, starších pracovníků, nízko a středně kvalifikovaných státních příslušníků třetích zemí, osob se zdravotním postižením a Romů a dalších etnických menšin, přičemž všichni čelí strukturálním překážkám, co se týče zaměstnání; vzhledem k tomu, že nezaměstnanost osob se zdravotním postižením dosahuje 15,1 %; vzhledem k tomu, že vyšší úroveň zaměstnanosti v EU by měla jít ruku v ruce s kvalitou pracovních míst, slušnými platy, zvyšováním mezd a růstem produktivity;</w:t>
      </w:r>
    </w:p>
    <w:p w14:paraId="1984B1FB" w14:textId="48D915FE" w:rsidR="00D753FC" w:rsidRPr="00743098" w:rsidRDefault="00D753FC" w:rsidP="00D753FC">
      <w:pPr>
        <w:pStyle w:val="NormalHanging"/>
      </w:pPr>
      <w:r w:rsidRPr="00743098">
        <w:t>B.</w:t>
      </w:r>
      <w:r w:rsidRPr="00743098">
        <w:tab/>
        <w:t>vzhledem k tomu, že evropský semestr zůstává ústředním nástrojem pro koordinaci hospodářské, fiskální, zaměstnanecké a sociální politiky v celé EU a měl by se zaměřit na systematičtější začlenění sociální spravedlnosti, environmentální udržitelnosti a mezigenerační spravedlnosti do makroekonomické správy, přičemž by evropský pilíř sociálních práv měl být jeho ústředním bodem a měla by být dodržována zásada subsidiarity; vzhledem k tomu, že se vynakládá úsilí o lepší vyváženost při sledování hospodářských a sociálních cílů v procesu evropského semestru na základě rozvoje sociálního srovnávacího přehledu a nedávného začlenění rámce sociální konvergence do tohoto procesu; vzhledem k tomu, že podzimní balíček na rok 2026 byl předložen bez roční analýzy udržitelného růstu, která by stanovila ucelenou a vyváženou strategii EU, co se týče</w:t>
      </w:r>
      <w:r w:rsidR="00574D36">
        <w:t xml:space="preserve"> </w:t>
      </w:r>
      <w:r w:rsidRPr="00743098">
        <w:t>cílů v oblasti hospodářství, sociálních věcí, zaměstnanosti a životního prostředí, a ukotvila evropský semestr v široké vizi udržitelného růstu Unie; vzhledem k tomu, že EU musí i nadále usilovat o konkurenceschopnost, udržitelnost a sociální spravedlnost, aniž by jeden z těchto cílů byl sledován na úkor ostatních;</w:t>
      </w:r>
    </w:p>
    <w:p w14:paraId="12AC9EA3" w14:textId="77777777" w:rsidR="00D753FC" w:rsidRPr="00743098" w:rsidRDefault="00D753FC" w:rsidP="00D753FC">
      <w:pPr>
        <w:pStyle w:val="NormalHanging"/>
      </w:pPr>
      <w:r w:rsidRPr="00743098">
        <w:t>C.</w:t>
      </w:r>
      <w:r w:rsidRPr="00743098">
        <w:tab/>
        <w:t xml:space="preserve">vzhledem k tomu, že v roce 2024 bylo 93,3 milionu lidí, což představuje 21 % populace EU, ohroženo chudobou nebo sociálním vyloučením (AROPE), což ukazuje, že v plnění cíle evropského pilíře sociálních práv pro rok 2030 v oblasti snižování chudoby bylo dosaženo jen omezeného pokroku, přičemž trend ve více než polovině členských států </w:t>
      </w:r>
      <w:r w:rsidRPr="00743098">
        <w:lastRenderedPageBreak/>
        <w:t>se ubírá špatným směrem; vzhledem k tomu, že riziko chudoby je mnohem vyšší u žen, dětí, starších osob, osob se zdravotním postižením, komunity LGBTI+, osob s nízkou kvalifikací, státních příslušníků třetích zemí, Romů, domácností s jedním rodičem a osob žijících ve vylidněných oblastech, a že mezi členskými státy i v jejich rámci přetrvávají značné rozdíly, a to i mezi venkovskými a městskými oblastmi; vzhledem k tomu, že tento rozdíl mezi rostoucími průměrnými příjmy a přetrvávající úrovní chudoby poukazuje na strukturální výzvy v oblasti rozložení příjmů, na trzích práce a v koncepci a pokrytí systémů sociální ochrany; vzhledem k tomu, že v roce 2024 více než 40 milionů lidí v EU, což odpovídá přibližně 9,2 % populace, zažilo energetickou chudobu, která vedla k materiální deprivaci; vzhledem k tomu, že nedostatečné pokrytí a nedostatečnost systémů minimálního příjmu, dávek v nezaměstnanosti a rodinných a dětských dávek, jakož i překážky integrace na trh práce a přístupu ke kvalitním veřejným službám, jako je zdravotnictví, vzdělávání, péče a bydlení, přispívají k přetrvávající chudobě a sociálnímu vyloučení, zejména mezi nejvíce znevýhodněnými skupinami; vzhledem k tomu, že bez změny přístupu k řešení chudoby na úrovni EU i členských států nebude možné tento trend zvrátit; vzhledem k tomu, že ambiciózní strategie EU pro boj proti chudobě bude mít zásadní význam, pokud jde o reakce na mnohorozměrný fenomén, kterým chudoba je;</w:t>
      </w:r>
    </w:p>
    <w:p w14:paraId="034E8C64" w14:textId="77777777" w:rsidR="00D753FC" w:rsidRPr="00743098" w:rsidRDefault="00D753FC" w:rsidP="00D753FC">
      <w:pPr>
        <w:pStyle w:val="NormalHanging"/>
      </w:pPr>
      <w:r w:rsidRPr="00743098">
        <w:t>D.</w:t>
      </w:r>
      <w:r w:rsidRPr="00743098">
        <w:tab/>
        <w:t>vzhledem k tomu, že v Evropské unii je každé čtvrté dítě stále ohroženo chudobou nebo sociálním vyloučením, což je více než u celkové populace; vzhledem k tomu, že v dosažení cíle, kterým je snížení počtu dětí ohrožených chudobou nebo sociálním vyloučením o 5 milionů do roku 2030, nebylo dosaženo dostatečného pokroku, přičemž procento dětí ohrožených chudobou nebo sociálním vyloučením (AROPE) se v letech 2019 až 2023 každoročně zvyšovalo a zůstává trvale vysoké; vzhledem k tomu, že podle návrhu Komise na společnou zprávu o zaměstnanosti pro rok 2026 bylo v roce 2024 v EU ohroženo chudobou nebo sociálním vyloučením přibližně 19,5 milionu dětí (24,2 %); vzhledem k tomu, že preventivní politiky a služby na podporu dětí a rodin v souladu s evropskou zárukou pro děti mají zásadní význam pro řešení socioekonomických podmínek, které mohou vést k rozpadu rodin a umístění dětí do ústavní péče; vzhledem k tomu, že specializovaný nástroj financování pro evropskou záruku pro děti, jakož i synergie s dalšími fondy EU a vnitrostátními fondy, mají zásadní význam, a to jak v současném, tak i v příštím víceletém finančním rámci; vzhledem k tomu, že podle Komise musí EU investovat více než 11 miliard EUR ročně navíc, aby splnila barcelonské cíle pro předškolní vzdělávání a péči do roku 2030</w:t>
      </w:r>
      <w:r w:rsidRPr="00743098">
        <w:rPr>
          <w:vertAlign w:val="superscript"/>
        </w:rPr>
        <w:footnoteReference w:id="2"/>
      </w:r>
      <w:r w:rsidRPr="00743098">
        <w:t>; vzhledem k tomu, že děti, které mohou mít z docházky do zařízení předškolního vzdělávání a péče největší prospěch, jako jsou děti ze znevýhodněného prostředí, se účastní nejméně a nadále se potýkají s překážkami v přístupu;</w:t>
      </w:r>
    </w:p>
    <w:p w14:paraId="776C7C24" w14:textId="77777777" w:rsidR="00D753FC" w:rsidRPr="00743098" w:rsidRDefault="00D753FC" w:rsidP="00D753FC">
      <w:pPr>
        <w:pStyle w:val="NormalHanging"/>
      </w:pPr>
      <w:r w:rsidRPr="00743098">
        <w:t>E.</w:t>
      </w:r>
      <w:r w:rsidRPr="00743098">
        <w:tab/>
        <w:t xml:space="preserve">vzhledem k tomu, že v EU stále žije nejméně 1,4 milionu osob se zdravotním postižením a téměř 300 000 dětí v ústavech; vzhledem k tomu, že obyvatelé těchto zařízení jsou izolováni od širší komunity a nemají dostatečnou kontrolu nad svým životem a nad rozhodnutími, která se jich týkají; vzhledem k tomu, že ačkoli se EU již dlouho angažuje v procesu deinstitucionalizace, je na úrovni EU i vnitrostátní úrovni stále třeba usilovat o to, aby zranitelné skupiny mohly žít nezávisle v rodinném nebo komunitním prostředí; </w:t>
      </w:r>
    </w:p>
    <w:p w14:paraId="17E36A8B" w14:textId="77777777" w:rsidR="00D753FC" w:rsidRPr="00743098" w:rsidRDefault="00D753FC" w:rsidP="00D753FC">
      <w:pPr>
        <w:pStyle w:val="NormalHanging"/>
      </w:pPr>
      <w:r w:rsidRPr="00743098">
        <w:lastRenderedPageBreak/>
        <w:t>F.</w:t>
      </w:r>
      <w:r w:rsidRPr="00743098">
        <w:tab/>
        <w:t>vzhledem k tomu, že v roce 2024 zažil každý dvanáctý pracovník (8,2 %) v EU chudobu pracujících, což podkopává sociální soudržnost a zdůrazňuje, že zaměstnání samo o sobě neposkytuje plnou ochranu před chudobou ani se nepromítá do zlepšení životních podmínek, a to kvůli rostoucím životním nákladům a snížené kupní síle; vzhledem k tomu, že nedávné zvýšení zákonných minimálních mezd v letech 2022 až 2025, často o více než 20 % a v několika členských státech o více než 40 %, pomohlo ochránit kupní sílu pracovníků s nízkými mzdami a podpořilo růst mezd v málo placených odvětvích; vzhledem k tomu, že navzdory tomu, že reálné mzdy ve většině členských států překročily úroveň před pandemií, několik velkých ekonomik se na tuto úroveň dosud nevrátilo;</w:t>
      </w:r>
    </w:p>
    <w:p w14:paraId="0A7B0B79" w14:textId="77777777" w:rsidR="00D753FC" w:rsidRPr="00743098" w:rsidRDefault="00D753FC" w:rsidP="00D753FC">
      <w:pPr>
        <w:pStyle w:val="NormalHanging"/>
      </w:pPr>
      <w:r w:rsidRPr="00743098">
        <w:t>G.</w:t>
      </w:r>
      <w:r w:rsidRPr="00743098">
        <w:tab/>
        <w:t xml:space="preserve">vzhledem k tomu, že změna klimatu prohloubila nerovnosti a zasáhla zejména nejzranitelnější skupiny, které bývají více vystaveny environmentálním rizikům, například vysokým teplotám, což vede k nižším standardům kvality pracovních míst, ztrátě produktivity a větší nejistotě zaměstnání; vzhledem k tomu, že přechod ke klimatické neutralitě musí být sociálně spravedlivý a inkluzivní pro všechny, a očekává se, že do roku 2030 vytvoří 1 až 2,5 milionu dalších pracovních míst, pokud bude podpořen správnými politikami zaměstnanosti a vzdělávání; vzhledem k tomu, že silná a dostatečně financovaná sociální ochrana, jakož i kvalitní politiky tvorby pracovních míst, jsou předpokladem pro zajištění spravedlivého přechodu ke klimatické neutralitě a digitální transformaci; </w:t>
      </w:r>
    </w:p>
    <w:p w14:paraId="2D73E48B" w14:textId="77777777" w:rsidR="00D753FC" w:rsidRPr="00743098" w:rsidRDefault="00D753FC" w:rsidP="00D753FC">
      <w:pPr>
        <w:pStyle w:val="NormalHanging"/>
      </w:pPr>
      <w:r w:rsidRPr="00743098">
        <w:t>H.</w:t>
      </w:r>
      <w:r w:rsidRPr="00743098">
        <w:tab/>
        <w:t>vzhledem k tomu, že EU čelí přetrvávajícímu nedostatku pracovních sil a dovedností v několika odvětvích, který je způsoben různými faktory, jako jsou demografické a technologické změny, nesoulad mezi nabízenými a požadovanými dovednostmi, kvalita pracovních míst a nedostatečná atraktivita kvalitních veřejných služeb i investic do nich, což bylo identifikováno jako klíčová překážka růstu a konkurenceschopnosti EU; vzhledem k tomu, že omezené kariérní vyhlídky a nejisté pracovní podmínky mladých lidí v některých částech Unie přispívají k odlivu talentů mezi regiony EU a třetími zeměmi, což tento nedostatek dále prohlubuje; vzhledem k tomu, že návrh Komise na společnou zprávu o zaměstnanosti pro rok 2026 zdůrazňuje, že řešení strukturálních slabin trhu práce prostřednictvím lepší kvality pracovních míst podporuje vyšší produktivitu, hospodářskou výkonnost, sociální spravedlnost a soudržnost; vzhledem k tomu, že zlepšení práv pracovníků, kolektivní vyjednávání, aktivní politiky na trhu práce, přístup k sociální ochraně a příležitostem k rozvoji dovedností pro všechny, včetně státních příslušníků třetích zemí, jakož i cílená aktivační opatření pro 51 milionů lidí v produktivním věku, kteří v současné době nejsou součástí pracovní síly, by pomohly posílit účast, začlenění a konkurenceschopnost; vzhledem k tomu, že se očekává, že do roku 2050 se počet pracujících obyvatel EU sníží až o 18,8 milionu osob, což naznačuje, že legální migrace pracovních sil může pomoci reagovat na vyvíjející se potřeby trhu práce;</w:t>
      </w:r>
    </w:p>
    <w:p w14:paraId="52137C31" w14:textId="77777777" w:rsidR="00D753FC" w:rsidRPr="00743098" w:rsidRDefault="00D753FC" w:rsidP="00D753FC">
      <w:pPr>
        <w:pStyle w:val="NormalHanging"/>
      </w:pPr>
      <w:r w:rsidRPr="00743098">
        <w:t>I.</w:t>
      </w:r>
      <w:r w:rsidRPr="00743098">
        <w:tab/>
        <w:t xml:space="preserve">vzhledem k tomu, že v roce 2022 činila míra účasti dospělých na vzdělávání 39,5 %, z čehož vyplývá, že ve většině členských států je třeba vyvinout větší úsilí, aby bylo do roku 2030 dosaženo cíle 60% účasti dospělých na vzdělávání a odborné přípravě; vzhledem k tomu, že integrovaný přístup ke koordinaci politik v rámci evropského semestru poskytuje rámec pro směřování nezbytných investic do rozvoje lidského kapitálu i systémů vzdělávání a odborné přípravy; vzhledem k tomu, že je zapotřebí dalšího značného úsilí, aby se zajistily politiky kvalitního vzdělávání a přístupu k němu, zejména pro pracovníky s nižší kvalifikací, přičemž tyto politiky musí podporovat celoživotní učení a posilovat konkurenceschopnost, odolnost a začlenění pracovní síly </w:t>
      </w:r>
      <w:r w:rsidRPr="00743098">
        <w:lastRenderedPageBreak/>
        <w:t>v EU; vzhledem k tomu, že veřejné výdaje samy o sobě nemusí pokrýt rozsah potřeb v oblasti prohlubování dovedností a změny kvalifikace vzhledem k transformačním výzvám, kterým EU čelí; vzhledem k tomu, že v roce 2022 se průměrné skóre pro základní dovednosti patnáctiletých v Programu pro mezinárodní hodnocení žáků (PISA) ve srovnání s rokem 2018 snížilo, přičemž nedostatečné výsledky neúměrně postihují znevýhodněné studenty, což zdůrazňuje potřebu reforem a trvalých investic do vzdělávání a odborné přípravy na podporu budoucích generací a jejich přechodu ze vzdělávání do práce;</w:t>
      </w:r>
    </w:p>
    <w:p w14:paraId="50903985" w14:textId="77777777" w:rsidR="00D753FC" w:rsidRPr="00743098" w:rsidRDefault="00D753FC" w:rsidP="00D753FC">
      <w:pPr>
        <w:pStyle w:val="NormalHanging"/>
      </w:pPr>
      <w:r w:rsidRPr="00743098">
        <w:t>J.</w:t>
      </w:r>
      <w:r w:rsidRPr="00743098">
        <w:tab/>
        <w:t>vzhledem k tomu, že dodatečné investiční potřeby v oblasti sociální infrastruktury se odhadují na 192 miliard EUR ročně, a to i v oblasti cenově dostupného bydlení, zdravotní a dlouhodobé péče, vzdělávání a celoživotního vzdělávání</w:t>
      </w:r>
      <w:r w:rsidRPr="00743098">
        <w:rPr>
          <w:vertAlign w:val="superscript"/>
        </w:rPr>
        <w:footnoteReference w:id="3"/>
      </w:r>
      <w:r w:rsidRPr="00743098">
        <w:t>; vzhledem k tomu, že je třeba klást důraz na ekonomickou návratnost sociálních investic, zejména veřejných výdajů na děti a mládež, které nejen zlepšují životní úroveň a snižují chudobu, ale jsou také klíčovými hnacími silami udržitelného hospodářského růstu podporujícího začlenění, vyšší produktivity a vyšší míry zaměstnanosti; vzhledem k tomu, že nedostatečné investice do vzdělávání a výzkumu oslabují dlouhodobé vyhlídky růstu; vzhledem k tomu, že pro děti jsou sociální investice investicí do budoucnosti, která vede k lepšímu vzdělání i pracovním vyhlídkám, což následně zlepšuje ekonomické ukazatele; vzhledem k tomu, že je třeba dále pracovat na měření rozdílů v sociálních investicích po zotavení v EU, jakož i investic do sociálních služeb a jejich pokrytí a jejich ekonomické návratnosti; vzhledem k tomu, že vytvoření společných ukazatelů údajů o výdajích na sociální služby a jejich pokrytí, jako je evropský index sociálních služeb, by posílilo doporučení založená na důkazech a účinné sledování jejich provádění v rámci evropského semestru;</w:t>
      </w:r>
    </w:p>
    <w:p w14:paraId="47FB755D" w14:textId="77777777" w:rsidR="00D753FC" w:rsidRPr="00743098" w:rsidRDefault="00D753FC" w:rsidP="00D753FC">
      <w:pPr>
        <w:pStyle w:val="NormalHanging"/>
      </w:pPr>
      <w:r w:rsidRPr="00743098">
        <w:t>K.</w:t>
      </w:r>
      <w:r w:rsidRPr="00743098">
        <w:tab/>
        <w:t>vzhledem k tomu, že tlak na náklady na bydlení a vysoké ceny energií představují pro domácnosti značnou zátěž, avšak bytová politika je v doporučeních pro jednotlivé země často nedostatečně zastoupena, a to navzdory jejímu makroekonomickému významu a ústřední roli v oblasti zabezpečení příjmů, sociálního začleňování a odolnosti v souvislosti s životními náklady; vzhledem k tomu, že investice do sociálních služeb a zvyšování nabídky bydlení, včetně sociálního a dostupného bydlení, jakož i do energetické účinnosti a renovací budov a řešení nedostatku kvalifikovaných pracovníků hrají klíčovou roli při snižování chudoby, včetně energetické chudoby, a zlepšování cenové dostupnosti;</w:t>
      </w:r>
    </w:p>
    <w:p w14:paraId="14D246A8" w14:textId="4B6D7CAD" w:rsidR="00D753FC" w:rsidRPr="00743098" w:rsidRDefault="00D753FC" w:rsidP="00D753FC">
      <w:pPr>
        <w:pStyle w:val="NormalHanging"/>
      </w:pPr>
      <w:r w:rsidRPr="00743098">
        <w:t>L.</w:t>
      </w:r>
      <w:r w:rsidRPr="00743098">
        <w:tab/>
        <w:t>vzhledem k tomu, že rozdíl v odměňování žen a mužů v EU v současnosti činí 12 %, a to mj. kvůli neúměrnému podílu povinností v domácnosti a péči o děti, které nesou ženy, a přetrvávajícímu podceňování profesí, v nichž dominují ženy; vzhledem k tomu, že ženy jsou více ohroženy chudobou, zejména ve vyšším věku, přičemž rozdíl v důchodech mužů a žen v současnosti dosahuje 25 %</w:t>
      </w:r>
      <w:r w:rsidRPr="00743098">
        <w:rPr>
          <w:vertAlign w:val="superscript"/>
        </w:rPr>
        <w:footnoteReference w:id="4"/>
      </w:r>
      <w:r w:rsidRPr="00743098">
        <w:t>;</w:t>
      </w:r>
    </w:p>
    <w:p w14:paraId="61ED54A6" w14:textId="77777777" w:rsidR="00D753FC" w:rsidRPr="00743098" w:rsidRDefault="00D753FC" w:rsidP="00D753FC">
      <w:pPr>
        <w:pStyle w:val="NormalHanging12a"/>
      </w:pPr>
      <w:r w:rsidRPr="00743098">
        <w:t>1.</w:t>
      </w:r>
      <w:r w:rsidRPr="00743098">
        <w:tab/>
        <w:t xml:space="preserve">zdůrazňuje konkurenční výhodu investic do sociálního modelu EU; vyzývá k tomu, aby byla do procesu evropského semestru začleněna doporučení, jež vypracovala skupina na </w:t>
      </w:r>
      <w:r w:rsidRPr="00743098">
        <w:lastRenderedPageBreak/>
        <w:t xml:space="preserve">vysoké úrovni pro budoucnost sociální ochrany a sociálního státu, jakož i doporučení </w:t>
      </w:r>
      <w:proofErr w:type="spellStart"/>
      <w:r w:rsidRPr="00743098">
        <w:t>Lettovy</w:t>
      </w:r>
      <w:proofErr w:type="spellEnd"/>
      <w:r w:rsidRPr="00743098">
        <w:t xml:space="preserve"> a </w:t>
      </w:r>
      <w:proofErr w:type="spellStart"/>
      <w:r w:rsidRPr="00743098">
        <w:t>Draghiho</w:t>
      </w:r>
      <w:proofErr w:type="spellEnd"/>
      <w:r w:rsidRPr="00743098">
        <w:t xml:space="preserve"> zprávy s cílem chránit a posílit sociálně tržní hospodářství EU; zdůrazňuje potřebu vyváženého přístupu, který podporuje sociální práva, veřejné služby a struktury i pokrytí kolektivního vyjednávání, stejně jako konkurenceschopnost; vítá začlenění evropského pilíře sociálních práv do rámce správy ekonomických záležitostí a vyzývá členské státy, aby využily možnost prodloužit období korekce k investicím do priorit evropského pilíře sociálních práv; vyzývá k tomu, aby se integrovaný správní rámec promítl do vnitřních procesů orgánů EU a aby do nich byly ve stejné míře zapojeny jejich hospodářské a sociální orgány; </w:t>
      </w:r>
    </w:p>
    <w:p w14:paraId="68D5584B" w14:textId="474B0323" w:rsidR="00D753FC" w:rsidRPr="00743098" w:rsidRDefault="00D753FC" w:rsidP="00D753FC">
      <w:pPr>
        <w:pStyle w:val="NormalHanging12a"/>
      </w:pPr>
      <w:r w:rsidRPr="00743098">
        <w:t>2.</w:t>
      </w:r>
      <w:r w:rsidRPr="00743098">
        <w:tab/>
        <w:t>naléhavě žádá Komisi a členské státy, aby plně provedly evropský pilíř sociálních práv; zdůrazňuje, že aktualizovaný akční plán evropského pilíře sociálních práv musí proměnit politické závazky v konkrétní a ambiciózní opatření, podpořená jasnými, měřitelnými cíli a spolehlivými monitorovacími ukazateli, aby bylo možné účinně řešit chudobu a sociální vyloučení a podporovat pracovníky při zvládání ekologické a digitální transformace, zejména pokud jde o dovednosti, odborné vzdělávání i přípravu a celoživotní učení; vyzývá k tomu, aby byly cíle akčního plánu pro evropský pilíř sociálních práv začleněny do jádra evropského semestru tak, že se stanou referenčními hodnotami v posouzeních evropského semestru; konstatuje, že návrh Komise na společnou zprávu o zaměstnanosti za rok 2026 se do značné míry zaměřuje na nedostatek kvalifikované pracovní síly a nedostatek pracovníků a postrádá komplexní posouzení provádění 20 zásad evropského pilíře sociálních práv, jak vyžaduje nařízení (EU) 2024/1263; vyzývá Komisi k zajištění toho, aby všechny zásady evropského pilíře sociálních práv byly v budoucích cyklech zohledněny, aby tak byl zajištěn přesný a úplný obraz sociální situace v EU;</w:t>
      </w:r>
    </w:p>
    <w:p w14:paraId="5BA915FA" w14:textId="23C42D88" w:rsidR="00D753FC" w:rsidRDefault="00D753FC" w:rsidP="00D753FC">
      <w:pPr>
        <w:pStyle w:val="NormalHanging12a"/>
      </w:pPr>
      <w:r w:rsidRPr="00743098">
        <w:t>3.</w:t>
      </w:r>
      <w:r w:rsidRPr="00743098">
        <w:tab/>
        <w:t>vítá ambice Komise vymýtit chudobu do roku 2050, její evropský plán dostupného bydlení i její záměr navrhnout zákon o kvalitních pracovních místech; dále vítá první strategii EU pro boj proti chudobě a posílení evropské záruky pro děti; zdůrazňuje potřebu soudržnosti mezi evropským semestrem, opatřeními navazujícími na akční plán pro evropský pilíř sociálních práv a těmito připravovanými nástroji s měřitelnými cíli a odpovídajícími doporučeními pro jednotlivé země;</w:t>
      </w:r>
    </w:p>
    <w:p w14:paraId="37DB1052" w14:textId="681325F3" w:rsidR="00D46686" w:rsidRPr="00D46686" w:rsidRDefault="00D46686" w:rsidP="00D46686">
      <w:pPr>
        <w:pStyle w:val="NormalHanging12a"/>
        <w:rPr>
          <w:bCs/>
          <w:iCs/>
        </w:rPr>
      </w:pPr>
      <w:r>
        <w:rPr>
          <w:bCs/>
          <w:iCs/>
        </w:rPr>
        <w:t>4</w:t>
      </w:r>
      <w:r w:rsidR="006A656F" w:rsidRPr="00CE41A0">
        <w:rPr>
          <w:bCs/>
          <w:iCs/>
        </w:rPr>
        <w:t>.</w:t>
      </w:r>
      <w:r w:rsidR="006A656F" w:rsidRPr="006A656F">
        <w:rPr>
          <w:bCs/>
          <w:iCs/>
        </w:rPr>
        <w:tab/>
      </w:r>
      <w:r w:rsidR="006A656F" w:rsidRPr="00CE41A0">
        <w:rPr>
          <w:bCs/>
          <w:iCs/>
        </w:rPr>
        <w:t xml:space="preserve">připomíná, že předsedkyně Komise Ursula von der </w:t>
      </w:r>
      <w:proofErr w:type="spellStart"/>
      <w:r w:rsidR="006A656F" w:rsidRPr="00CE41A0">
        <w:rPr>
          <w:bCs/>
          <w:iCs/>
        </w:rPr>
        <w:t>Leyenová</w:t>
      </w:r>
      <w:proofErr w:type="spellEnd"/>
      <w:r w:rsidR="006A656F" w:rsidRPr="00CE41A0">
        <w:rPr>
          <w:bCs/>
          <w:iCs/>
        </w:rPr>
        <w:t xml:space="preserve"> v roce 2019 přislíbila, že každé dítě v Evropě ohrožené chudobou nebo sociálním vyloučením bude mít přístup k nejzákladnějším právům, jako je zdravotní péče a vzdělávání, a že bylo následně přijato doporučení Rady (EU) 2021/1004 ze dne 14. června 2021, kterým se zavádí evropská záruka pro děti</w:t>
      </w:r>
      <w:r w:rsidR="00DA7074">
        <w:rPr>
          <w:rStyle w:val="FootnoteReference"/>
          <w:bCs/>
          <w:iCs/>
        </w:rPr>
        <w:footnoteReference w:id="5"/>
      </w:r>
      <w:r w:rsidR="006A656F" w:rsidRPr="00CE41A0">
        <w:rPr>
          <w:bCs/>
          <w:iCs/>
        </w:rPr>
        <w:t>; zdůrazňuje, že cílů evropské záruky pro děti nelze dosáhnout bez ambiciózního rozpočtu, který bude konkrétně pro tyto účely vyhrazen na evropské i vnitrostátní úrovni; v této souvislosti opakuje svou výzvu, aby na evropskou záruku pro děti byly vyčleněny zvláštní finanční prostředky ve výši nejméně 20 miliard EUR; zdůrazňuje, že pro řešení rostoucího problému dětské chudoby a sociálního vyloučení je naléhavě nutné, aby byly tyto finanční prostředky pro tyto účely vyčleněny v příštím víceletém finančním rámci;</w:t>
      </w:r>
    </w:p>
    <w:p w14:paraId="00BD04C5" w14:textId="32A02A4F" w:rsidR="00D753FC" w:rsidRPr="00743098" w:rsidRDefault="00DA7074" w:rsidP="00D753FC">
      <w:pPr>
        <w:pStyle w:val="NormalHanging12a"/>
      </w:pPr>
      <w:r>
        <w:t>5</w:t>
      </w:r>
      <w:r w:rsidR="00D753FC" w:rsidRPr="00743098">
        <w:t>.</w:t>
      </w:r>
      <w:r w:rsidR="00D753FC" w:rsidRPr="00743098">
        <w:tab/>
        <w:t xml:space="preserve">zdůrazňuje, že je důležité vymýtit dětskou chudobu a sociální vyloučení s cílem prolomit mezigenerační cykly; vítá zahrnutí hodnocení toho, jak je prováděna záruka pro děti, do všech zpráv o jednotlivých zemích v rámci jarního balíčku 2025 a vybízí k pokračujícímu sledování pokroku v rámci evropského semestru; lituje však, že na tato </w:t>
      </w:r>
      <w:r w:rsidR="00D753FC" w:rsidRPr="00743098">
        <w:lastRenderedPageBreak/>
        <w:t>zjištění nebylo navázáno, neboť v roce 2025 byla vydána pouze dvě doporučení pro jednotlivé země, která vyzývala k přijetí opatření k řešení dětské chudoby; domnívá se, že doporučení pro jednotlivé země by měla odrážet soulad rozpočtu členských států s minimálními požadovanými prostředky přidělenými na řešení dětské chudoby, které jsou stanoveny v nařízení o ESF+</w:t>
      </w:r>
      <w:r w:rsidR="00D753FC" w:rsidRPr="00743098">
        <w:rPr>
          <w:vertAlign w:val="superscript"/>
        </w:rPr>
        <w:footnoteReference w:id="6"/>
      </w:r>
      <w:r w:rsidR="00D753FC" w:rsidRPr="00743098">
        <w:t xml:space="preserve">; </w:t>
      </w:r>
    </w:p>
    <w:p w14:paraId="6E6CB116" w14:textId="70F3F5B3" w:rsidR="00D753FC" w:rsidRPr="00743098" w:rsidRDefault="00DA7074" w:rsidP="00D753FC">
      <w:pPr>
        <w:pStyle w:val="NormalHanging12a"/>
      </w:pPr>
      <w:r>
        <w:t>6</w:t>
      </w:r>
      <w:r w:rsidR="00D753FC" w:rsidRPr="00743098">
        <w:t>.</w:t>
      </w:r>
      <w:r w:rsidR="00D753FC" w:rsidRPr="00743098">
        <w:tab/>
        <w:t xml:space="preserve">znovu opakuje svou výzvu k navýšení financování evropské záruky pro děti s vyhrazeným rozpočtem </w:t>
      </w:r>
      <w:r w:rsidR="006A656F">
        <w:t>značného objemu</w:t>
      </w:r>
      <w:r w:rsidR="00D753FC" w:rsidRPr="00743098">
        <w:t xml:space="preserve"> a k tomu, aby členské státy vyčlenily alespoň 5 % svých přidělených finančních prostředků z ESF+ na boj proti dětské chudobě a podporu dobrých životních podmínek dětí, přičemž alespoň 10 % by mělo být vyčleněno pro členské státy, v nichž míra dětské chudoby přesahuje průměr EU;</w:t>
      </w:r>
    </w:p>
    <w:p w14:paraId="5AD289AF" w14:textId="5A25CF48" w:rsidR="00D753FC" w:rsidRDefault="00DA7074" w:rsidP="00D753FC">
      <w:pPr>
        <w:pStyle w:val="NormalHanging12a"/>
      </w:pPr>
      <w:r>
        <w:t>7</w:t>
      </w:r>
      <w:r w:rsidR="00D753FC" w:rsidRPr="00743098">
        <w:t>.</w:t>
      </w:r>
      <w:r w:rsidR="00D753FC" w:rsidRPr="00743098">
        <w:tab/>
        <w:t xml:space="preserve">je znepokojen mírou nezaměstnanosti mladých lidí, která je stále více než dvakrát vyšší než celková míra nezaměstnanosti v EU; zdůrazňuje, že pro mladé lidi je nezbytné doplnit opatření na podporu zaměstnanosti trvalou podporou, včetně přístupu k integrovaným sociálním službám, bydlení a podpoře duševního zdraví, aby byla zajištěna jejich pokračující účast na vzdělávání nebo zaměstnání; zdůrazňuje, že je třeba, aby členské státy investovaly do posílené záruky pro mladé lidi, aby byla zajištěna kvalitní a včasná podpora pro všechny mladé lidi mladší 30 let, kteří se neúčastní vzdělávání, zaměstnání ani odborné přípravy; naléhavě vyzývá členské státy, aby podpořily využívání posílené záruky pro mladé lidi jako nástroje na podporu osob odcházejících z oblasti péče a na předcházení náhlým ztrátám v počtu osob poskytujících péči, mimo jiné i prostřednictvím přístupu ke kariérnímu poradenství; </w:t>
      </w:r>
    </w:p>
    <w:p w14:paraId="295EBAF7" w14:textId="639A13F7" w:rsidR="00D46686" w:rsidRPr="00743098" w:rsidRDefault="00DA7074" w:rsidP="00D753FC">
      <w:pPr>
        <w:pStyle w:val="NormalHanging12a"/>
      </w:pPr>
      <w:r>
        <w:rPr>
          <w:bCs/>
          <w:iCs/>
        </w:rPr>
        <w:t>8</w:t>
      </w:r>
      <w:r w:rsidR="00D46686" w:rsidRPr="00A329E7">
        <w:rPr>
          <w:bCs/>
          <w:iCs/>
        </w:rPr>
        <w:t>.</w:t>
      </w:r>
      <w:r w:rsidR="00D46686" w:rsidRPr="00D46686">
        <w:rPr>
          <w:bCs/>
          <w:iCs/>
        </w:rPr>
        <w:tab/>
      </w:r>
      <w:r w:rsidR="00587C31" w:rsidRPr="00587C31">
        <w:rPr>
          <w:bCs/>
          <w:iCs/>
        </w:rPr>
        <w:t>vyzývá Komisi a členské státy, aby v rámci evropského semestru podporovaly vysoce kvalitní a spravedlivě placené stáže a zabránily jejich zneužívání jako náhrady za řádné zaměstnání; vyzývá k tomu, aby nadcházející směrnice o zlepšení pracovních podmínek stážistů</w:t>
      </w:r>
      <w:r w:rsidR="00587C31">
        <w:rPr>
          <w:rStyle w:val="FootnoteReference"/>
          <w:bCs/>
          <w:iCs/>
        </w:rPr>
        <w:footnoteReference w:id="7"/>
      </w:r>
      <w:r w:rsidR="00587C31" w:rsidRPr="00587C31">
        <w:rPr>
          <w:bCs/>
          <w:iCs/>
        </w:rPr>
        <w:t xml:space="preserve"> byla ambiciózní a komplexní a zajistila plnou ochranu práv stážistů, včetně možnosti ukončit stáž bez újmy v případě porušení základních práv, a vyzývá k urychlenému uzavření jednání</w:t>
      </w:r>
      <w:r w:rsidR="00D46686" w:rsidRPr="00A329E7">
        <w:rPr>
          <w:bCs/>
          <w:iCs/>
        </w:rPr>
        <w:t>;</w:t>
      </w:r>
    </w:p>
    <w:p w14:paraId="59F8EB25" w14:textId="778DF5B6" w:rsidR="00D753FC" w:rsidRPr="00743098" w:rsidRDefault="00AA108E" w:rsidP="00D753FC">
      <w:pPr>
        <w:pStyle w:val="NormalHanging12a"/>
      </w:pPr>
      <w:r>
        <w:t>9</w:t>
      </w:r>
      <w:r w:rsidR="00D753FC" w:rsidRPr="00743098">
        <w:t>.</w:t>
      </w:r>
      <w:r w:rsidR="00D753FC" w:rsidRPr="00743098">
        <w:tab/>
        <w:t>domnívá se, že k předcházení a řešení trvale vysoké míry chudoby a sociálního vyloučení jsou nutná opatření na úrovni EU i členských států, a vítá oznámení první strategie EU pro boj proti chudobě v tomto ohledu; domnívá se, že strategie musí poskytnout komplexní přístup k řešení základních příčin a vícerozměrných aspektů chudoby a sociálního vyloučení s konkrétními kroky, robustním rozpočtovým přídělem, jasnými cíli, milníky a strukturálními opatřeními, a zároveň zajistit důrazné provádění a monitorování; vyzývá členské státy, aby provedly směrnici o přiměřené minimální mzdě</w:t>
      </w:r>
      <w:r w:rsidR="00D753FC" w:rsidRPr="00743098">
        <w:rPr>
          <w:vertAlign w:val="superscript"/>
        </w:rPr>
        <w:footnoteReference w:id="8"/>
      </w:r>
      <w:r w:rsidR="00574D36">
        <w:t xml:space="preserve"> </w:t>
      </w:r>
      <w:r w:rsidR="00D753FC" w:rsidRPr="00743098">
        <w:t xml:space="preserve">s cílem bojovat proti chudobě pracujících a motivovat k práci; vyzývá k tomu, aby strategie EU pro boj s chudobou soustředila pozornost na boj proti dětské chudobě, </w:t>
      </w:r>
      <w:r w:rsidR="00D753FC" w:rsidRPr="00743098">
        <w:lastRenderedPageBreak/>
        <w:t>aby se prolomil koloběh chudoby; naléhavě vyzývá členské státy, aby plně provedly doporučení Rady o přiměřeném minimálním příjmu</w:t>
      </w:r>
      <w:r w:rsidR="00D753FC" w:rsidRPr="00743098">
        <w:rPr>
          <w:vertAlign w:val="superscript"/>
        </w:rPr>
        <w:footnoteReference w:id="9"/>
      </w:r>
      <w:r w:rsidR="00D753FC" w:rsidRPr="00743098">
        <w:t xml:space="preserve">; </w:t>
      </w:r>
    </w:p>
    <w:p w14:paraId="3D61CBD9" w14:textId="1C18514A" w:rsidR="00D753FC" w:rsidRPr="00743098" w:rsidRDefault="00AA108E" w:rsidP="00D753FC">
      <w:pPr>
        <w:pStyle w:val="NormalHanging12a"/>
      </w:pPr>
      <w:r>
        <w:t>10</w:t>
      </w:r>
      <w:r w:rsidR="00D753FC" w:rsidRPr="00743098">
        <w:t>.</w:t>
      </w:r>
      <w:r w:rsidR="00D753FC" w:rsidRPr="00743098">
        <w:tab/>
        <w:t>připomíná, že je důležité zlepšit přístup osob samostatně výdělečně činných k sociální ochraně, a vyzývá Komisi, aby využila proces evropského semestru k monitorování provádění doporučení Rady o přístupu pracovníků a osob samostatně výdělečně činných k sociální ochraně na vnitrostátní úrovni</w:t>
      </w:r>
      <w:r w:rsidR="00D753FC" w:rsidRPr="00743098">
        <w:rPr>
          <w:rStyle w:val="FootnoteReference"/>
        </w:rPr>
        <w:footnoteReference w:id="10"/>
      </w:r>
      <w:r w:rsidR="00D753FC" w:rsidRPr="00743098">
        <w:t>, včetně doporučení pro jednotlivé země; připomíná, že podíl samostatně výdělečně činných osob v kulturních a kreativních odvětvích je více než dvojnásobný ve srovnání s obecnou populací, a proto je třeba pro toto odvětví přijmout cílená opatření; v této souvislosti vítá oznámení charty EU pro umělce, jejímž cílem je zdůraznit hlavní základy a závazky týkající se spravedlivých pracovních podmínek v tomto odvětví, ale vyzývá Komisi, aby její zveřejnění posunula již na rok 2026, neboť se jedná o dlouhodobé problémy;</w:t>
      </w:r>
    </w:p>
    <w:p w14:paraId="1100985E" w14:textId="79A2AA20" w:rsidR="00D753FC" w:rsidRPr="00743098" w:rsidRDefault="00D753FC" w:rsidP="00D753FC">
      <w:pPr>
        <w:pStyle w:val="NormalHanging12a"/>
      </w:pPr>
      <w:r w:rsidRPr="00743098">
        <w:t>1</w:t>
      </w:r>
      <w:r w:rsidR="00AA108E">
        <w:t>1</w:t>
      </w:r>
      <w:r w:rsidRPr="00743098">
        <w:t>.</w:t>
      </w:r>
      <w:r w:rsidRPr="00743098">
        <w:tab/>
        <w:t>vyjadřuje politování nad tím, že dosahování cílů strategického rámce EU pro Romy členské státy nevěnují aktivnější úsilí a že se těmto cílům nedostává větší pozornosti v procesu evropského semestru, zejména v doporučeních pro jednotlivé země; zdůrazňuje cíl strategického rámce, jímž je snížit do roku 2030 rozdíly v zaměstnanosti Romů a celkového obyvatelstva na polovinu a zajistit, aby alespoň 60 % Romů mělo placenou práci; naléhavě vyzývá členské státy, aby přijaly integrovaný přístup zaměřený na rovnost a zajistily, aby se veřejné politiky a služby účinně dostávaly ke všem Romům včetně Romů v odlehlých a venkovských oblastech;</w:t>
      </w:r>
    </w:p>
    <w:p w14:paraId="5EE1F5A2" w14:textId="70657E17" w:rsidR="00D753FC" w:rsidRPr="00743098" w:rsidRDefault="00D753FC" w:rsidP="00D753FC">
      <w:pPr>
        <w:pStyle w:val="NormalHanging12a"/>
      </w:pPr>
      <w:r w:rsidRPr="00743098">
        <w:t>1</w:t>
      </w:r>
      <w:r w:rsidR="00AA108E">
        <w:t>2</w:t>
      </w:r>
      <w:r w:rsidRPr="00743098">
        <w:t>.</w:t>
      </w:r>
      <w:r w:rsidRPr="00743098">
        <w:tab/>
        <w:t>se znepokojením připomíná na jedné straně přetrvávající rozdíl v míře zaměstnanosti osob se zdravotním postižením ve výši přibližně 24 % a na druhé straně cíl EU přejít u všech dotčených osob od institucionální péče ke komunitní nebo rodinné péči; vyzývá Komisi, aby řešila rozdíly v míře zaměstnanosti osob se zdravotním postižením prostřednictvím evropského semestru, a to i v doporučeních pro jednotlivé země, a aby aktualizovala Strategii EU pro práva osob se zdravotním postižením na období 2021–2030 v souladu s Úmluvou OSN o právech osob se zdravotním postižením prostřednictvím nových stěžejních iniciativ, včetně evropské záruky pro zaměstnanost a dovednosti osob se zdravotním postižením; znovu vyzývá Komisi, aby předložila akční plán deinstitucionalizace, který by se vztahoval na všechny skupiny, jež stále žijí v ústavech včetně dětí, osob se zdravotním postižením, osob s problémy v oblasti duševního zdraví a osob bez domova; zdůrazňuje, že pokrok v deinstitucionalizaci by měl být monitorován v rámci evropského semestru, a vyzývá členské státy, aby k dokončení tohoto procesu, rozvoji komunitních služeb a investicím do prevence plně využíval fond ESF+, další fondy EU i vnitrostátní fondy;</w:t>
      </w:r>
    </w:p>
    <w:p w14:paraId="1D993D7E" w14:textId="00A32AED" w:rsidR="00D753FC" w:rsidRPr="00743098" w:rsidRDefault="00D753FC" w:rsidP="00D753FC">
      <w:pPr>
        <w:pStyle w:val="NormalHanging12a"/>
      </w:pPr>
      <w:r w:rsidRPr="00743098">
        <w:t>1</w:t>
      </w:r>
      <w:r w:rsidR="00AA108E">
        <w:t>3</w:t>
      </w:r>
      <w:r w:rsidRPr="00743098">
        <w:t>.</w:t>
      </w:r>
      <w:r w:rsidRPr="00743098">
        <w:tab/>
        <w:t xml:space="preserve">vítá trvalé začlenění rámce sociální konvergence do evropského semestru; zdůrazňuje jeho význam a význam srovnávacího přehledu sociálních ukazatelů pro identifikaci rizik a sledování pokroku v oblasti vzestupné sociální konvergence, snižování nerovností, posilování systémů sociální ochrany a prosazování důstojných pracovních podmínek a podpůrných opatření k zajištění spravedlnosti při přechodu; vyzývá Komisi, aby v tomto novém rámci dále rozvíjela inovativní nástroje kvantitativní a kvalitativní analýzy, aby mohl být optimálně využíván v budoucích cyklech evropského semestru; </w:t>
      </w:r>
      <w:r w:rsidRPr="00743098">
        <w:lastRenderedPageBreak/>
        <w:t>vyzývá Komisi, aby ve druhé fázi analýzy analyzovala rizika pro vzestupnou sociální konvergenci, jež byla zdůrazněna v její společné zprávě o zaměstnanosti z roku 2025, včetně výsledků v oblasti zaměstnanosti nedostatečně zastoupených skupin, předčasného ukončování školní docházky, vzdělávání dospělých a chudoby, a aby s</w:t>
      </w:r>
      <w:r w:rsidR="00F40CC4" w:rsidRPr="00743098">
        <w:t> </w:t>
      </w:r>
      <w:r w:rsidRPr="00743098">
        <w:t>dotčenými členskými státy projednala opatření, která jsou přijímána nebo plánována k</w:t>
      </w:r>
      <w:r w:rsidR="00F40CC4" w:rsidRPr="00743098">
        <w:t> </w:t>
      </w:r>
      <w:r w:rsidRPr="00743098">
        <w:t>řešení těchto rizik; konstatuje, že řešení výzev uvedených v uvedené společné zprávě o zaměstnanosti přispěje k dosažení vzestupné sociální konvergence;</w:t>
      </w:r>
    </w:p>
    <w:p w14:paraId="1AD8C4FF" w14:textId="0EB26F3D" w:rsidR="00D753FC" w:rsidRPr="00743098" w:rsidRDefault="00D753FC" w:rsidP="00D753FC">
      <w:pPr>
        <w:pStyle w:val="NormalHanging12a"/>
      </w:pPr>
      <w:r w:rsidRPr="00743098">
        <w:t>1</w:t>
      </w:r>
      <w:r w:rsidR="00AA108E">
        <w:t>4</w:t>
      </w:r>
      <w:r w:rsidRPr="00743098">
        <w:t>.</w:t>
      </w:r>
      <w:r w:rsidRPr="00743098">
        <w:tab/>
        <w:t>vyzývá Komisi, aby zlepšila a aktualizovala srovnávací přehled sociálních ukazatelů a zajistila, aby odrážel příčiny a dopady nerovnosti a zahrnula do něj rovné příležitosti, kvalitní pracovní místa, rozdělování bohatství, přístup k veřejným a sociálním službám, přiměřené důchody, bydlení a bezdomovectví, duševní zdraví, diskriminaci a sociální dopady zhoršování životního prostředí a změny klimatu; vyzývá Komisi, aby k chudobě pracujících přistupovala v rámci srovnávacího přehledu sociálních ukazatelů jako k varovnému signálu a aby navrhla doporučení pro jednotlivé země v případech, kdy by tyto trendy přetrvávaly; zdůrazňuje, že je třeba řešit výzvy, které jsou ve srovnávacím přehledu označeny jako „kritické“ nebo jako „je nutné sledovat“, včetně předčasného ukončování školní docházky, příliš vysokých nákladů na bydlení, dopadu sociálních transferů, rozdílu v zaměstnanosti osob se zdravotním postižením, subjektivně neuspokojených potřeb zdravotní péče, péče o děti, základních digitálních dovedností a dětské chudoby; vyzývá k začlenění indexu sociálního pokroku a indexu rovnosti žen a mužů s cílem lépe měřit nerovnost, přístup k příležitostem a dobré životní podmínky pomocí rozčleněných údajů; zdůrazňuje, že jsou zapotřebí včasné, harmonizované a transparentní údaje a metodiky s cílem zlepšit tvorbu politik založenou na důkazech a cílené sociální investice a sladit srovnávací přehled sociálních ukazatelů se všemi 20 zásadami evropského pilíře sociálních práv;</w:t>
      </w:r>
    </w:p>
    <w:p w14:paraId="090A2349" w14:textId="6E621FEB" w:rsidR="00D753FC" w:rsidRPr="00743098" w:rsidRDefault="00D753FC" w:rsidP="00D753FC">
      <w:pPr>
        <w:pStyle w:val="NormalHanging12a"/>
      </w:pPr>
      <w:r w:rsidRPr="00743098">
        <w:t>1</w:t>
      </w:r>
      <w:r w:rsidR="00AA108E">
        <w:t>5</w:t>
      </w:r>
      <w:r w:rsidRPr="00743098">
        <w:t>.</w:t>
      </w:r>
      <w:r w:rsidRPr="00743098">
        <w:tab/>
        <w:t>připomíná, že ukazatel míry ohrožení chudobou nebo sociálním vyloučením dostatečně nezachycuje základní příčiny chudoby a komplexních nerovností, zejména začlenění osob žijících mimo soukromé domácnosti, kvalitativní aspekty chudoby a životní zkušenosti s marginalizací, přičemž je nutné brát v úvahu, že chudoba přesahuje rámec nedostatečného příjmu nebo materiální deprivace; vyzývá Výbor pro sociální ochranu, aby obnovil statistické měření ohrožení chudobou nebo sociálním vyloučením s cílem rozšířit jej o silnější, více členěné a </w:t>
      </w:r>
      <w:proofErr w:type="spellStart"/>
      <w:r w:rsidRPr="00743098">
        <w:t>vícerozměrnější</w:t>
      </w:r>
      <w:proofErr w:type="spellEnd"/>
      <w:r w:rsidRPr="00743098">
        <w:t xml:space="preserve"> porozumění chudobě a sociálnímu vyloučení; </w:t>
      </w:r>
    </w:p>
    <w:p w14:paraId="64F86748" w14:textId="456F7EE2" w:rsidR="00D753FC" w:rsidRPr="00743098" w:rsidRDefault="00D753FC" w:rsidP="00D753FC">
      <w:pPr>
        <w:pStyle w:val="NormalHanging12a"/>
      </w:pPr>
      <w:r w:rsidRPr="00743098">
        <w:t>1</w:t>
      </w:r>
      <w:r w:rsidR="00AA108E">
        <w:t>6</w:t>
      </w:r>
      <w:r w:rsidRPr="00743098">
        <w:t>.</w:t>
      </w:r>
      <w:r w:rsidRPr="00743098">
        <w:tab/>
        <w:t xml:space="preserve">připomíná, že sociální investice mohou mít pozitivní dopad na hospodářský růst, produktivitu a konkurenceschopnost a zároveň přispívat k fiskální udržitelnosti a podporovat vzestupnou sociální soudržnost, životní a pracovní podmínky a začleňování zranitelných skupin; vyzývá Komisi a členské státy, aby sociální investice považovaly za základ udržitelného růstu a zaměřily se na investice, které prokázaly svou účinnost z hlediska růstu, produktivity, kvality pracovních míst a vyšší účasti na trhu práce; vyzývá členské státy, aby k řešení výzev uvedených v doporučeních pro jednotlivé země do 31. prosince 2026 plně a cíleně využily Nástroj pro oživení a odolnost; žádá, aby Komise poskytla pokyny k využití soukromých investic a partnerství veřejného a soukromého sektoru k odstranění nedostatků v oblasti sociální infrastruktury; vítá zřízení znalostního centra pro sociální investice s cílem posilovat vzájemné učení a technickou pomoc, pokračovat ve zlepšování včasnosti a dostupnosti sociálních ukazatelů, omezovat zpoždění při posuzování trendů chudoby a nerovnosti a zlepšit přístup členských států k údajům pro hodnocení politik a posouzení dopadů; </w:t>
      </w:r>
    </w:p>
    <w:p w14:paraId="289F251A" w14:textId="616373C0" w:rsidR="00D753FC" w:rsidRPr="00743098" w:rsidRDefault="00D753FC" w:rsidP="00D753FC">
      <w:pPr>
        <w:pStyle w:val="NormalHanging12a"/>
      </w:pPr>
      <w:r w:rsidRPr="00743098">
        <w:lastRenderedPageBreak/>
        <w:t>1</w:t>
      </w:r>
      <w:r w:rsidR="00AA108E">
        <w:t>7</w:t>
      </w:r>
      <w:r w:rsidRPr="00743098">
        <w:t>.</w:t>
      </w:r>
      <w:r w:rsidRPr="00743098">
        <w:tab/>
        <w:t>připomíná, že sociální ekonomika je klíčovou složkou sociálních investic a hraje jedinečnou úlohu při rozvoji inkluzivních a inovativních řešení na místní úrovni, přispívá k vytváření kvalitních pracovních míst, poskytování cenově dostupných a přístupných sociálních a lokálních služeb a ekologické a digitální transformaci; konstatuje, že je silná podpora veřejnosti pro sociální ekonomiku, přičemž 88 % respondentů Eurobarometru podporuje strategie a právní předpisy na její šíření; vyzývá Komisi a členské státy, aby posílily své rámcové podmínky tím, že usnadní přístup k financování, poskytnou příležitosti k budování kapacit a zajistí jeho viditelnost, a aby cíle akčního plánu pro sociální ekonomiku zohlednily v evropském semestru, a to i prostřednictvím doporučení pro jednotlivé země a cíleného využívání finančních prostředků EU;</w:t>
      </w:r>
    </w:p>
    <w:p w14:paraId="7C5F1827" w14:textId="57541AF7" w:rsidR="00D753FC" w:rsidRPr="00743098" w:rsidRDefault="00D753FC" w:rsidP="00D753FC">
      <w:pPr>
        <w:pStyle w:val="NormalHanging12a"/>
      </w:pPr>
      <w:r w:rsidRPr="00743098">
        <w:t>1</w:t>
      </w:r>
      <w:r w:rsidR="00AA108E">
        <w:t>8</w:t>
      </w:r>
      <w:r w:rsidRPr="00743098">
        <w:t>.</w:t>
      </w:r>
      <w:r w:rsidRPr="00743098">
        <w:tab/>
        <w:t>zdůrazňuje, že plán Komise pro cenově dostupné bydlení by měl být lépe začleněn do evropského semestru a měl by se více zaměřovat na doporučení pro jednotlivé země týkající se cenově dostupného, důstojného a udržitelného bydlení, zejména pro skupiny s nízkými a středními příjmy, jakož i pro osoby se zdravotním postižením a starší osoby; vyzývá k intenzivnějšímu monitorování pokroku členských států při zajišťování přístupu k přiměřenému, bezpečnému a nesegregovanému bydlení pro romské komunity, jež čelí extrémní chudobě; připomíná signatářům Lisabonského prohlášení o Evropské platformě pro boj proti bezdomovectví cíl vymýtit bezdomovectví do roku 2030; vyzývá členské státy, aby kombinovaly opatření, která v odvětví stavebnictví a bydlení zvyšují nabídku, snižují náklady na výstavbu a řeší nedostatek pracovních sil, s podporou na straně poptávky, která lidem, zejména domácnostem ve zranitelném postavení, umožní přístup k cenově dostupnému, důstojnému a udržitelnému bydlení; zdůrazňuje, že vnitrostátní střednědobé fiskálně-strukturální plány a investiční strategie by měly podporovat sociální a cenově dostupné bydlení, prevenci a snižování bezdomovectví a modernizaci budov s cílem snížit energetickou chudobu a zlepšit podmínky bydlení, zejména pro zranitelné domácnosti; připomíná, že Sociální fond pro klimatická opatření bude od roku 2026 poskytovat členským státům finanční prostředky na podporu zranitelných domácností a mikropodniků;</w:t>
      </w:r>
    </w:p>
    <w:p w14:paraId="672E9BD5" w14:textId="509B5DBB" w:rsidR="00D753FC" w:rsidRPr="00743098" w:rsidRDefault="00D753FC" w:rsidP="00D753FC">
      <w:pPr>
        <w:pStyle w:val="NormalHanging12a"/>
      </w:pPr>
      <w:r w:rsidRPr="00743098">
        <w:t>1</w:t>
      </w:r>
      <w:r w:rsidR="00AA108E">
        <w:t>9</w:t>
      </w:r>
      <w:r w:rsidRPr="00743098">
        <w:t>.</w:t>
      </w:r>
      <w:r w:rsidRPr="00743098">
        <w:tab/>
        <w:t xml:space="preserve">zdůrazňuje, že investice do vysoce kvalitního a dostupného vzdělávání a celoživotního učení jsou strategickou sociální investicí, která má zásadní význam pro soudržnost, začleňování a přípravu pracovní síly na ekologickou a digitální transformaci a potřeby EU související s obranou, a to i prostřednictvím odborného vzdělávání a přípravy a učňovské přípravy; vítá návrh doporučení Rady týkající se lidského kapitálu v EU a jeho zaměření na řešení nedostatku kvalifikovaných pracovníků, využití poznatků o dovednostech pro navrhování strategií v oblasti dovedností a rozvoj široké škály základních dovedností, včetně digitální gramotnosti, občanské gramotnosti a gramotnosti v oblasti umělé inteligence, a na přípravu na moderní život; uznává, že nedostatečné investice do lidského kapitálu brání inovacím, konkurenceschopnosti a schopnosti lidí dosáhnout svého plného potenciálu; </w:t>
      </w:r>
    </w:p>
    <w:p w14:paraId="021D2A67" w14:textId="7367AD44" w:rsidR="00D753FC" w:rsidRPr="00743098" w:rsidRDefault="00AA108E" w:rsidP="00D753FC">
      <w:pPr>
        <w:pStyle w:val="NormalHanging12a"/>
      </w:pPr>
      <w:r>
        <w:t>20</w:t>
      </w:r>
      <w:r w:rsidR="00D753FC" w:rsidRPr="00743098">
        <w:t>.</w:t>
      </w:r>
      <w:r w:rsidR="00D753FC" w:rsidRPr="00743098">
        <w:tab/>
        <w:t xml:space="preserve">zdůrazňuje, že je třeba, aby iniciativy EU týkající se nedostatku dovedností poskytovaly větší podporu komplexním a inkluzivním systémům vzdělávání a odborné přípravy, mimo jiné prostřednictvím aktivních politik na trhu práce, individuálních vzdělávacích účtů a </w:t>
      </w:r>
      <w:proofErr w:type="spellStart"/>
      <w:r w:rsidR="00D753FC" w:rsidRPr="00743098">
        <w:t>mikrocertifikátů</w:t>
      </w:r>
      <w:proofErr w:type="spellEnd"/>
      <w:r w:rsidR="00D753FC" w:rsidRPr="00743098">
        <w:t xml:space="preserve">, a aby byly posíleny postupy pro validaci neformálního a informálního učení; zdůrazňuje dále, že je důležité zlepšit a usnadnit spravedlivou mobilitu pracovních sil v rámci EU a úlohu legální migrace a uznávání zahraničních kvalifikací při řešení nedostatku kvalifikovaných pracovníků; je znepokojen tím, že účast dospělých na odborné přípravě zůstává ve většině členských států hluboko pod </w:t>
      </w:r>
      <w:r w:rsidR="00D753FC" w:rsidRPr="00743098">
        <w:lastRenderedPageBreak/>
        <w:t>cílem ve výši 60 %, a to zejména u pracovníků s nízkou kvalifikací, starších pracovníků, státních příslušníků třetích zemí a osob se zdravotním postižením; vyzývá Komisi, aby v nadcházejícím balíčku opatření v oblasti spravedlivé mobility pracovních sil navrhla konkrétní řešení nedostatku dovedností a řešila přetrvávající problémy a zajistila, aby nadcházející iniciativa v oblasti přenositelnosti dovedností řešila stávající překážky uznávání dovedností;</w:t>
      </w:r>
    </w:p>
    <w:p w14:paraId="33F053BC" w14:textId="6B6EFDD7" w:rsidR="00D753FC" w:rsidRPr="00743098" w:rsidRDefault="00D753FC" w:rsidP="00D753FC">
      <w:pPr>
        <w:pStyle w:val="NormalHanging12a"/>
      </w:pPr>
      <w:r w:rsidRPr="00743098">
        <w:t>2</w:t>
      </w:r>
      <w:r w:rsidR="00AA108E">
        <w:t>1</w:t>
      </w:r>
      <w:r w:rsidRPr="00743098">
        <w:t>.</w:t>
      </w:r>
      <w:r w:rsidRPr="00743098">
        <w:tab/>
        <w:t>je pevně přesvědčen, že individuální právo na vzdělávání pro pracovníky během pracovní doby, které řeší hlavní překážky bránící absolvování vzdělávání, může zajistit kvalitní rekvalifikaci a zvýšení kvalifikace, odbornou přípravu zaměstnanců a kariérní podporu s cílem zajistit zaměstnavatelům předvídatelnou a stabilní nabídku kvalifikovaných pracovníků; zdůrazňuje potřebu řešit překážku spojenou s náklady tím, že se zajistí odborná příprava, jež bude pro pracovníky bezplatná a bude</w:t>
      </w:r>
      <w:r w:rsidR="00574D36">
        <w:t xml:space="preserve"> </w:t>
      </w:r>
      <w:r w:rsidRPr="00743098">
        <w:t>podporována finančními prostředky, daňovými pobídkami a partnerstvími; zdůrazňuje, že za vzdělávání zaměstnanců odpovídají vnitrostátní instituce a sociální partneři, a vyzdvihuje jejich zásadní roli při uplatňování práva na odbornou přípravu; vyzývá v tomto ohledu členské státy, aby upřednostňovaly a podporovaly systémy vzdělávání a výcviku vytvořené společně pracovníky a jejich zaměstnavateli a zajistily tak, aby změnu kvalifikace a prohlubování dovedností reagovaly na skutečnou tržní poptávku a přispívaly ke kariérnímu postupu; vyzývá Komisi, aby prozkoumala a vydala pokyny k tomu, jak mohou partnerství veřejného a soukromého sektoru mezi členskými státy a podniky financovat odbornou přípravu, změny kvalifikace a prohlubování dovedností pracovníků, a zejména právo na odbornou přípravu jednotlivých pracovníků;</w:t>
      </w:r>
    </w:p>
    <w:p w14:paraId="25C9347C" w14:textId="1C0D0FED" w:rsidR="00D753FC" w:rsidRPr="00743098" w:rsidRDefault="00D753FC" w:rsidP="00D753FC">
      <w:pPr>
        <w:pStyle w:val="NormalHanging12a"/>
      </w:pPr>
      <w:r w:rsidRPr="00743098">
        <w:t>2</w:t>
      </w:r>
      <w:r w:rsidR="00AA108E">
        <w:t>2</w:t>
      </w:r>
      <w:r w:rsidRPr="00743098">
        <w:t>.</w:t>
      </w:r>
      <w:r w:rsidRPr="00743098">
        <w:tab/>
        <w:t>zdůrazňuje, že mezigenerační spravedlnost se musí stát strukturální složkou evropského semestru; vyzývá Komisi, aby jako součást své strategie pro mezigenerační spravedlnost do hodnotícího rámce evropského semestru začlenila ukazatele týkající se dobrých životních podmínek mladých lidí a seniorů, přístupu ke kvalitním pracovním místům, cenové dostupnosti bydlení, dostupnosti, fyzické přístupnosti, přiměřenosti minimálního příjmu a důchodů, přístupu ke kvalitním službám v oblasti duševního zdraví a vysoce kvalitnímu vzdělávání a dovednostem a aby vyhodnotila dlouhodobé a distribuční dopady fiskálních a reformních doporučení; vyzývá Komisi, aby posuzovala dlouhodobé hospodářské, environmentální a sociální dopady politických doporučení, včetně nedostatečných investic, na budoucí generace; zdůrazňuje, že do evropského semestru je třeba lépe začlenit dopad demografické transformace a prodlužující se délku života; zdůrazňuje, že demografická změna vyžaduje politiky ke zvýšení účasti na trhu práce; zdůrazňuje, že jsou zapotřebí opatření, která podpoří aktivní stárnutí a zajistí dlouhodobou udržitelnost důchodových systémů a systémů péče; domnívá se, že doporučení pro jednotlivé země by měla podporovat důchody, které zajistí důstojný život, dobré životní podmínky a přístup ke kvalitní dostupné zdravotní péči, podpoře zdraví a prevenci pro všechny;</w:t>
      </w:r>
    </w:p>
    <w:p w14:paraId="32EF33B8" w14:textId="3C28C373" w:rsidR="00D753FC" w:rsidRPr="00743098" w:rsidRDefault="00D753FC" w:rsidP="00D753FC">
      <w:pPr>
        <w:pStyle w:val="NormalHanging12a"/>
      </w:pPr>
      <w:r w:rsidRPr="00743098">
        <w:t>2</w:t>
      </w:r>
      <w:r w:rsidR="00AA108E">
        <w:t>3</w:t>
      </w:r>
      <w:r w:rsidRPr="00743098">
        <w:t>.</w:t>
      </w:r>
      <w:r w:rsidRPr="00743098">
        <w:tab/>
        <w:t>zdůrazňuje, že výdaje na obranu musí být v rámci evropského semestru plánovány koordinovaným, účinným, transparentním a evropským způsobem, aby se maximalizovaly společenské přínosy; zdůrazňuje, že investice související s bezpečností by měly zahrnovat odolnost společnosti, včetně infrastruktury s vysokým přínosem pro civilní obyvatelstvo, sociální ochrany, občanského vzdělávání, demokratické odolnosti a ochrany proti dezinformacím, přičemž uznává, že sociální stabilita a demokratická důvěra jsou důležitou součástí evropské bezpečnostní architektury a musí být zohledňovány v analýze dlouhodobých reforem a investičních potřeb v rámci semestru;</w:t>
      </w:r>
    </w:p>
    <w:p w14:paraId="1D9FD5F0" w14:textId="02DEF024" w:rsidR="00D753FC" w:rsidRPr="00743098" w:rsidRDefault="00D753FC" w:rsidP="00D753FC">
      <w:pPr>
        <w:pStyle w:val="NormalHanging12a"/>
      </w:pPr>
      <w:r w:rsidRPr="00743098">
        <w:lastRenderedPageBreak/>
        <w:t>2</w:t>
      </w:r>
      <w:r w:rsidR="00AA108E">
        <w:t>4</w:t>
      </w:r>
      <w:r w:rsidRPr="00743098">
        <w:t>.</w:t>
      </w:r>
      <w:r w:rsidRPr="00743098">
        <w:tab/>
        <w:t>zdůrazňuje, že doporučení evropského semestru v roce 2026 budou mít zásadní význam pro utváření příštího víceletého finančního rámce; domnívá se, že reformy a investice by měly být vybírány na základě své účinnosti a účelnosti, s jakou odpovídají na příslušná doporučení pro jednotlivé země; varuje, že má-li být financování EU vázáno na pokyny k evropskému semestru, musí být tyto pokyny sociálně vyvážené v plném souladu s evropským pilířem sociálních práv a regionální a místní subjekty musí hrát při vyplácení finančních prostředků důležitou úlohu; v této souvislosti bere na vědomí se znepokojením návrh Komise týkající se sociálních výdajů, který může oslabit zaměření na zaměstnanost a sociální cíle, a vyzývá k vytvoření samostatného a posíleného fondu ESF+ s tematickými zaměřeními;</w:t>
      </w:r>
    </w:p>
    <w:p w14:paraId="17DF2597" w14:textId="3DAF54FE" w:rsidR="00D753FC" w:rsidRPr="00743098" w:rsidRDefault="00D753FC" w:rsidP="00D753FC">
      <w:pPr>
        <w:pStyle w:val="NormalHanging12a"/>
      </w:pPr>
      <w:r w:rsidRPr="00743098">
        <w:t>2</w:t>
      </w:r>
      <w:r w:rsidR="00AA108E">
        <w:t>5</w:t>
      </w:r>
      <w:r w:rsidRPr="00743098">
        <w:t>.</w:t>
      </w:r>
      <w:r w:rsidRPr="00743098">
        <w:tab/>
        <w:t>domnívá se, že sociální model EU je nedílnou součástí její konkurenceschopnosti a že úsilí o zjednodušení administrativní zátěže pro podniky musí zachovávat a zajišťovat sociální práva; zdůrazňuje, že kvalita pracovních míst a nenákladová konkurenceschopnost, jako je kvalita výrobků a služeb, může podporovat i produktivitu a přiměřené mzdy; zdůrazňuje, že je důležité zajistit větší jasnost, proporcionalitu a právní jistotu, zejména pro malé a střední podniky a osoby samostatně výdělečně činné, a zdůrazňuje, že tyto přístupy by měly respektovat rozmanitost modelů trhu práce v jednotlivých členských státech a zároveň podporovat udržitelnou hospodářskou činnost a vytváření kvalitních pracovních míst;</w:t>
      </w:r>
    </w:p>
    <w:p w14:paraId="66B1DDAE" w14:textId="0A5C6BCC" w:rsidR="00D753FC" w:rsidRPr="00743098" w:rsidRDefault="00D753FC" w:rsidP="00D753FC">
      <w:pPr>
        <w:pStyle w:val="NormalHanging12a"/>
      </w:pPr>
      <w:r w:rsidRPr="00743098">
        <w:t>2</w:t>
      </w:r>
      <w:r w:rsidR="00AA108E">
        <w:t>6</w:t>
      </w:r>
      <w:r w:rsidRPr="00743098">
        <w:t>.</w:t>
      </w:r>
      <w:r w:rsidRPr="00743098">
        <w:tab/>
        <w:t xml:space="preserve">podporuje demokratičtější proces evropského semestru, v jehož rámci by byl Parlament úzce zapojen do stanovování priorit hospodářské a sociální politiky a přijímání rozhodnutí v oblasti správy ekonomických záležitostí; trvá na tom, že do formulování, monitorování a sledování vnitrostátních reforem musí být systematicky zapojeni sociální partneři, organizace občanské společnosti a regionální a místní subjekty, a to včasně a s dostatečnou transparentností; naléhavě vyzývá Komisi a členské státy, aby zajistily jejich řádné zapojení do všech fází analýzy, a to i v rámci sociální konvergence, s cílem posílit jejich odpovědnost a zajistit, aby se sociální práva EU stala skutečností v praxi; zdůrazňuje, že dodržování zásady subsidiarity a pravomoci členských států zůstává základním prvkem evropského semestru; připomíná, že je třeba, aby Komise zajistila, že evropský semestr a rámec správy ekonomických záležitostí EU bude posuzovat dopad doporučených reforem na rovnost žen a mužů a začlenění žen na trh práce, a aby podporovala investice do kvalitních veřejných služeb a pečovatelské infrastruktury; </w:t>
      </w:r>
    </w:p>
    <w:p w14:paraId="50925585" w14:textId="16A01B39" w:rsidR="00D753FC" w:rsidRPr="00743098" w:rsidRDefault="00D753FC" w:rsidP="00D753FC">
      <w:pPr>
        <w:pStyle w:val="NormalHanging12a"/>
      </w:pPr>
      <w:r w:rsidRPr="00743098">
        <w:t>2</w:t>
      </w:r>
      <w:r w:rsidR="00AA108E">
        <w:t>7</w:t>
      </w:r>
      <w:r w:rsidRPr="00743098">
        <w:t>.</w:t>
      </w:r>
      <w:r w:rsidRPr="00743098">
        <w:tab/>
        <w:t>upozorňuje na to, že chybí transparentní metodika pro formulování doporučení pro jednotlivé země a jasná kritéria používaná pro jejich výběr; varuje, že to podkopává odpovědnost a může to vést k nerovnému zacházení s členskými státy; vyzývá Komisi, aby zajistila plnou transparentnost postupů a vnitřního rozhodování, včetně zúčastněných generálních ředitelství, a aby posílila odpovědnost a sdílení informací s Parlamentem; je znepokojen tím, že dodržování doporučení pro jednotlivé země zůstává stále trvale nízké; vyzývá členské státy, aby se lépe zabývaly doporučeními v oblasti politiky zaměstnanosti a sociální politiky; vyzývá Komisi, aby posílila dialog s členskými státy o provádění stávajících doporučení a hlavních směrů politik zaměstnanosti, včetně opatření navazujících na stávající a plánovaná politická opatření;</w:t>
      </w:r>
    </w:p>
    <w:p w14:paraId="18E7AC15" w14:textId="17411055" w:rsidR="00743098" w:rsidRPr="00743098" w:rsidRDefault="00D753FC" w:rsidP="00743098">
      <w:pPr>
        <w:pStyle w:val="NormalHanging12a"/>
      </w:pPr>
      <w:r w:rsidRPr="00743098">
        <w:t>2</w:t>
      </w:r>
      <w:r w:rsidR="00AA108E">
        <w:t>8</w:t>
      </w:r>
      <w:r w:rsidRPr="00743098">
        <w:t>.</w:t>
      </w:r>
      <w:r w:rsidRPr="00743098">
        <w:tab/>
        <w:t>pověřuje svou předsedkyni, aby předala toto usnesení Radě a Komisi.</w:t>
      </w:r>
    </w:p>
    <w:p w14:paraId="28C71F8D" w14:textId="086701F1" w:rsidR="00E365E1" w:rsidRPr="00743098" w:rsidRDefault="00E365E1" w:rsidP="005A5E9E"/>
    <w:sectPr w:rsidR="00E365E1" w:rsidRPr="00743098" w:rsidSect="007430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7B3CB" w14:textId="77777777" w:rsidR="005A5E9E" w:rsidRPr="00743098" w:rsidRDefault="005A5E9E">
      <w:r w:rsidRPr="00743098">
        <w:separator/>
      </w:r>
    </w:p>
  </w:endnote>
  <w:endnote w:type="continuationSeparator" w:id="0">
    <w:p w14:paraId="51C388DE" w14:textId="77777777" w:rsidR="005A5E9E" w:rsidRPr="00743098" w:rsidRDefault="005A5E9E">
      <w:r w:rsidRPr="007430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7371A" w14:textId="77777777" w:rsidR="00064002" w:rsidRPr="007430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B14F8" w14:textId="77777777" w:rsidR="00064002" w:rsidRPr="007430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37525" w14:textId="77777777" w:rsidR="00064002" w:rsidRPr="007430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335CF" w14:textId="77777777" w:rsidR="005A5E9E" w:rsidRPr="00743098" w:rsidRDefault="005A5E9E">
      <w:r w:rsidRPr="00743098">
        <w:separator/>
      </w:r>
    </w:p>
  </w:footnote>
  <w:footnote w:type="continuationSeparator" w:id="0">
    <w:p w14:paraId="380E696F" w14:textId="77777777" w:rsidR="005A5E9E" w:rsidRPr="00743098" w:rsidRDefault="005A5E9E">
      <w:r w:rsidRPr="00743098">
        <w:continuationSeparator/>
      </w:r>
    </w:p>
  </w:footnote>
  <w:footnote w:id="1">
    <w:p w14:paraId="1B73014B" w14:textId="3C36979A" w:rsidR="00D753FC" w:rsidRPr="00743098" w:rsidRDefault="00D753FC" w:rsidP="00743098">
      <w:pPr>
        <w:pStyle w:val="FootnoteText"/>
        <w:ind w:left="567" w:hanging="567"/>
        <w:rPr>
          <w:sz w:val="24"/>
          <w:lang w:val="cs-CZ"/>
        </w:rPr>
      </w:pPr>
      <w:r w:rsidRPr="00743098">
        <w:rPr>
          <w:rStyle w:val="FootnoteReference"/>
          <w:sz w:val="24"/>
          <w:lang w:val="cs-CZ"/>
        </w:rPr>
        <w:footnoteRef/>
      </w:r>
      <w:r w:rsidR="00743098" w:rsidRPr="00743098">
        <w:rPr>
          <w:sz w:val="24"/>
          <w:lang w:val="cs-CZ"/>
        </w:rPr>
        <w:t xml:space="preserve"> </w:t>
      </w:r>
      <w:r w:rsidR="00743098" w:rsidRPr="00743098">
        <w:rPr>
          <w:sz w:val="24"/>
          <w:lang w:val="cs-CZ"/>
        </w:rPr>
        <w:tab/>
      </w:r>
      <w:proofErr w:type="spellStart"/>
      <w:r w:rsidRPr="00743098">
        <w:rPr>
          <w:sz w:val="24"/>
          <w:lang w:val="cs-CZ"/>
        </w:rPr>
        <w:t>Úř</w:t>
      </w:r>
      <w:proofErr w:type="spellEnd"/>
      <w:r w:rsidRPr="00743098">
        <w:rPr>
          <w:sz w:val="24"/>
          <w:lang w:val="cs-CZ"/>
        </w:rPr>
        <w:t xml:space="preserve">. </w:t>
      </w:r>
      <w:proofErr w:type="spellStart"/>
      <w:r w:rsidRPr="00743098">
        <w:rPr>
          <w:sz w:val="24"/>
          <w:lang w:val="cs-CZ"/>
        </w:rPr>
        <w:t>věst</w:t>
      </w:r>
      <w:proofErr w:type="spellEnd"/>
      <w:r w:rsidRPr="00743098">
        <w:rPr>
          <w:sz w:val="24"/>
          <w:lang w:val="cs-CZ"/>
        </w:rPr>
        <w:t xml:space="preserve">. L, 2024/1263, 30.4.2024, ELI: </w:t>
      </w:r>
      <w:hyperlink r:id="rId1" w:history="1">
        <w:r w:rsidRPr="00743098">
          <w:rPr>
            <w:rStyle w:val="Hyperlink"/>
            <w:sz w:val="24"/>
            <w:lang w:val="cs-CZ"/>
          </w:rPr>
          <w:t>http://data.europa.eu/eli/reg/2024/1263/oj</w:t>
        </w:r>
      </w:hyperlink>
      <w:r w:rsidRPr="00743098">
        <w:rPr>
          <w:sz w:val="24"/>
          <w:lang w:val="cs-CZ"/>
        </w:rPr>
        <w:t>.</w:t>
      </w:r>
    </w:p>
  </w:footnote>
  <w:footnote w:id="2">
    <w:p w14:paraId="26054FBF" w14:textId="33A1E3A5" w:rsidR="00D753FC" w:rsidRPr="00743098" w:rsidRDefault="00D753FC" w:rsidP="00743098">
      <w:pPr>
        <w:pStyle w:val="FootnoteText"/>
        <w:ind w:left="567" w:hanging="567"/>
        <w:rPr>
          <w:sz w:val="24"/>
          <w:lang w:val="cs-CZ"/>
        </w:rPr>
      </w:pPr>
      <w:r w:rsidRPr="00743098">
        <w:rPr>
          <w:rStyle w:val="FootnoteReference"/>
          <w:sz w:val="24"/>
          <w:lang w:val="cs-CZ"/>
        </w:rPr>
        <w:footnoteRef/>
      </w:r>
      <w:r w:rsidR="00743098" w:rsidRPr="00743098">
        <w:rPr>
          <w:sz w:val="24"/>
          <w:lang w:val="cs-CZ"/>
        </w:rPr>
        <w:t xml:space="preserve"> </w:t>
      </w:r>
      <w:r w:rsidR="00743098" w:rsidRPr="00743098">
        <w:rPr>
          <w:sz w:val="24"/>
          <w:lang w:val="cs-CZ"/>
        </w:rPr>
        <w:tab/>
      </w:r>
      <w:r w:rsidRPr="00743098">
        <w:rPr>
          <w:sz w:val="24"/>
          <w:lang w:val="cs-CZ"/>
        </w:rPr>
        <w:t xml:space="preserve">Evropská komise, „Vývoj zaměstnanosti a sociální situace v Evropě (ESDE) 2024“, září 2024. </w:t>
      </w:r>
    </w:p>
  </w:footnote>
  <w:footnote w:id="3">
    <w:p w14:paraId="34D12063" w14:textId="01C6D295" w:rsidR="00D753FC" w:rsidRPr="00743098" w:rsidRDefault="00D753FC" w:rsidP="00743098">
      <w:pPr>
        <w:pStyle w:val="FootnoteText"/>
        <w:ind w:left="567" w:hanging="567"/>
        <w:rPr>
          <w:sz w:val="24"/>
          <w:lang w:val="cs-CZ"/>
        </w:rPr>
      </w:pPr>
      <w:r w:rsidRPr="00743098">
        <w:rPr>
          <w:rStyle w:val="FootnoteReference"/>
          <w:sz w:val="24"/>
          <w:lang w:val="cs-CZ"/>
        </w:rPr>
        <w:footnoteRef/>
      </w:r>
      <w:r w:rsidR="00743098" w:rsidRPr="00743098">
        <w:rPr>
          <w:sz w:val="24"/>
          <w:lang w:val="cs-CZ"/>
        </w:rPr>
        <w:t xml:space="preserve"> </w:t>
      </w:r>
      <w:r w:rsidR="00743098" w:rsidRPr="00743098">
        <w:rPr>
          <w:sz w:val="24"/>
          <w:lang w:val="cs-CZ"/>
        </w:rPr>
        <w:tab/>
      </w:r>
      <w:r w:rsidRPr="00743098">
        <w:rPr>
          <w:sz w:val="24"/>
          <w:lang w:val="cs-CZ"/>
        </w:rPr>
        <w:t>Pracovní dokument útvarů Komise ze dne 27. května 2020 s názvem „Zjišťování potřeb Evropy v oblasti oživení“ (SWD(2020</w:t>
      </w:r>
      <w:r w:rsidR="00F22A59">
        <w:rPr>
          <w:sz w:val="24"/>
          <w:lang w:val="cs-CZ"/>
        </w:rPr>
        <w:t>)</w:t>
      </w:r>
      <w:r w:rsidRPr="00743098">
        <w:rPr>
          <w:sz w:val="24"/>
          <w:lang w:val="cs-CZ"/>
        </w:rPr>
        <w:t>0098), který je doprovázen sdělením Komise s názvem „Chvíle pro Evropu: Náprava škod a příprava na příští generaci“ (COM(2020)0456).</w:t>
      </w:r>
    </w:p>
  </w:footnote>
  <w:footnote w:id="4">
    <w:p w14:paraId="55D4532D" w14:textId="1C054A99" w:rsidR="00D753FC" w:rsidRPr="00DA7074" w:rsidRDefault="00D753FC" w:rsidP="00DA7074">
      <w:pPr>
        <w:pStyle w:val="FootnoteText"/>
        <w:ind w:left="567" w:hanging="567"/>
        <w:rPr>
          <w:sz w:val="24"/>
          <w:szCs w:val="24"/>
          <w:lang w:val="cs-CZ"/>
        </w:rPr>
      </w:pPr>
      <w:r w:rsidRPr="00DA7074">
        <w:rPr>
          <w:rStyle w:val="FootnoteReference"/>
          <w:sz w:val="24"/>
          <w:szCs w:val="24"/>
          <w:lang w:val="cs-CZ"/>
        </w:rPr>
        <w:footnoteRef/>
      </w:r>
      <w:r w:rsidR="00743098" w:rsidRPr="00DA7074">
        <w:rPr>
          <w:sz w:val="24"/>
          <w:szCs w:val="24"/>
          <w:lang w:val="cs-CZ"/>
        </w:rPr>
        <w:t xml:space="preserve"> </w:t>
      </w:r>
      <w:r w:rsidR="00743098" w:rsidRPr="00DA7074">
        <w:rPr>
          <w:sz w:val="24"/>
          <w:szCs w:val="24"/>
          <w:lang w:val="cs-CZ"/>
        </w:rPr>
        <w:tab/>
      </w:r>
      <w:r w:rsidRPr="00DA7074">
        <w:rPr>
          <w:sz w:val="24"/>
          <w:szCs w:val="24"/>
          <w:lang w:val="cs-CZ"/>
        </w:rPr>
        <w:t xml:space="preserve">Evropský institut pro rovnost žen a mužů, „Index rovnosti žen a mužů“, </w:t>
      </w:r>
      <w:hyperlink r:id="rId2" w:history="1">
        <w:r w:rsidRPr="00DA7074">
          <w:rPr>
            <w:rStyle w:val="Hyperlink"/>
            <w:sz w:val="24"/>
            <w:szCs w:val="24"/>
            <w:lang w:val="cs-CZ"/>
          </w:rPr>
          <w:t>https://eige.europa.eu/gender-equality-index/2025/country</w:t>
        </w:r>
      </w:hyperlink>
      <w:r w:rsidRPr="00DA7074">
        <w:rPr>
          <w:sz w:val="24"/>
          <w:szCs w:val="24"/>
          <w:lang w:val="cs-CZ"/>
        </w:rPr>
        <w:t>.</w:t>
      </w:r>
    </w:p>
  </w:footnote>
  <w:footnote w:id="5">
    <w:p w14:paraId="41A3CEE4" w14:textId="0A8CBD60" w:rsidR="00DA7074" w:rsidRPr="00CE41A0" w:rsidRDefault="00DA7074" w:rsidP="00CE41A0">
      <w:pPr>
        <w:pStyle w:val="FootnoteText"/>
        <w:ind w:left="567" w:hanging="567"/>
        <w:rPr>
          <w:lang w:val="cs-CZ"/>
        </w:rPr>
      </w:pPr>
      <w:r w:rsidRPr="00CE41A0">
        <w:rPr>
          <w:rStyle w:val="FootnoteReference"/>
          <w:sz w:val="24"/>
          <w:szCs w:val="24"/>
        </w:rPr>
        <w:footnoteRef/>
      </w:r>
      <w:r w:rsidRPr="00CE41A0">
        <w:rPr>
          <w:sz w:val="24"/>
          <w:szCs w:val="24"/>
          <w:lang w:val="cs-CZ"/>
        </w:rPr>
        <w:t xml:space="preserve"> </w:t>
      </w:r>
      <w:r w:rsidRPr="00CE41A0">
        <w:rPr>
          <w:sz w:val="24"/>
          <w:szCs w:val="24"/>
          <w:lang w:val="cs-CZ"/>
        </w:rPr>
        <w:tab/>
      </w:r>
      <w:proofErr w:type="spellStart"/>
      <w:r>
        <w:rPr>
          <w:sz w:val="24"/>
          <w:szCs w:val="24"/>
          <w:lang w:val="cs-CZ"/>
        </w:rPr>
        <w:t>Úř</w:t>
      </w:r>
      <w:proofErr w:type="spellEnd"/>
      <w:r>
        <w:rPr>
          <w:sz w:val="24"/>
          <w:szCs w:val="24"/>
          <w:lang w:val="cs-CZ"/>
        </w:rPr>
        <w:t xml:space="preserve">. </w:t>
      </w:r>
      <w:proofErr w:type="spellStart"/>
      <w:r>
        <w:rPr>
          <w:sz w:val="24"/>
          <w:szCs w:val="24"/>
          <w:lang w:val="cs-CZ"/>
        </w:rPr>
        <w:t>věst</w:t>
      </w:r>
      <w:proofErr w:type="spellEnd"/>
      <w:r>
        <w:rPr>
          <w:sz w:val="24"/>
          <w:szCs w:val="24"/>
          <w:lang w:val="cs-CZ"/>
        </w:rPr>
        <w:t>.</w:t>
      </w:r>
      <w:r w:rsidRPr="00DA7074">
        <w:rPr>
          <w:sz w:val="24"/>
          <w:szCs w:val="24"/>
          <w:lang w:val="fi-FI"/>
        </w:rPr>
        <w:t xml:space="preserve"> L 223, 22.6.2021, </w:t>
      </w:r>
      <w:r>
        <w:rPr>
          <w:sz w:val="24"/>
          <w:szCs w:val="24"/>
          <w:lang w:val="fi-FI"/>
        </w:rPr>
        <w:t>s</w:t>
      </w:r>
      <w:r w:rsidRPr="00DA7074">
        <w:rPr>
          <w:sz w:val="24"/>
          <w:szCs w:val="24"/>
          <w:lang w:val="fi-FI"/>
        </w:rPr>
        <w:t xml:space="preserve">. 14, ELI: </w:t>
      </w:r>
      <w:hyperlink r:id="rId3" w:history="1">
        <w:r w:rsidRPr="00DA7074">
          <w:rPr>
            <w:rStyle w:val="Hyperlink"/>
            <w:sz w:val="24"/>
            <w:szCs w:val="24"/>
            <w:lang w:val="fi-FI"/>
          </w:rPr>
          <w:t>http://data.europa.eu/eli/reco/2021/1004/oj</w:t>
        </w:r>
      </w:hyperlink>
      <w:r w:rsidRPr="00DA7074">
        <w:rPr>
          <w:sz w:val="24"/>
          <w:szCs w:val="24"/>
          <w:lang w:val="fi-FI"/>
        </w:rPr>
        <w:t>.</w:t>
      </w:r>
    </w:p>
  </w:footnote>
  <w:footnote w:id="6">
    <w:p w14:paraId="7CF3B295" w14:textId="347F23C3" w:rsidR="00D753FC" w:rsidRPr="00743098" w:rsidRDefault="00D753FC" w:rsidP="00D46686">
      <w:pPr>
        <w:pStyle w:val="FootnoteText"/>
        <w:ind w:left="567" w:hanging="567"/>
        <w:rPr>
          <w:sz w:val="24"/>
          <w:lang w:val="cs-CZ"/>
        </w:rPr>
      </w:pPr>
      <w:r w:rsidRPr="00D46686">
        <w:rPr>
          <w:rStyle w:val="FootnoteReference"/>
          <w:sz w:val="24"/>
          <w:szCs w:val="24"/>
          <w:lang w:val="cs-CZ"/>
        </w:rPr>
        <w:footnoteRef/>
      </w:r>
      <w:r w:rsidR="00743098" w:rsidRPr="00D46686">
        <w:rPr>
          <w:sz w:val="24"/>
          <w:szCs w:val="24"/>
          <w:lang w:val="cs-CZ"/>
        </w:rPr>
        <w:t xml:space="preserve"> </w:t>
      </w:r>
      <w:r w:rsidR="00743098" w:rsidRPr="00D46686">
        <w:rPr>
          <w:sz w:val="24"/>
          <w:szCs w:val="24"/>
          <w:lang w:val="cs-CZ"/>
        </w:rPr>
        <w:tab/>
      </w:r>
      <w:r w:rsidRPr="00D46686">
        <w:rPr>
          <w:sz w:val="24"/>
          <w:szCs w:val="24"/>
          <w:lang w:val="cs-CZ"/>
        </w:rPr>
        <w:t>Nařízení Evropského parlamentu a Rady (EU</w:t>
      </w:r>
      <w:r w:rsidRPr="00743098">
        <w:rPr>
          <w:sz w:val="24"/>
          <w:lang w:val="cs-CZ"/>
        </w:rPr>
        <w:t>) 2021/1057 ze dne 24. června 2021, kterým se zřizuje Evropský sociální fond plus (ESF+) a zrušuje nařízení (EU) č. 1296/2013 (</w:t>
      </w:r>
      <w:proofErr w:type="spellStart"/>
      <w:r w:rsidRPr="00743098">
        <w:rPr>
          <w:sz w:val="24"/>
          <w:lang w:val="cs-CZ"/>
        </w:rPr>
        <w:t>Úř</w:t>
      </w:r>
      <w:proofErr w:type="spellEnd"/>
      <w:r w:rsidRPr="00743098">
        <w:rPr>
          <w:sz w:val="24"/>
          <w:lang w:val="cs-CZ"/>
        </w:rPr>
        <w:t>. </w:t>
      </w:r>
      <w:proofErr w:type="spellStart"/>
      <w:r w:rsidRPr="00743098">
        <w:rPr>
          <w:sz w:val="24"/>
          <w:lang w:val="cs-CZ"/>
        </w:rPr>
        <w:t>věst</w:t>
      </w:r>
      <w:proofErr w:type="spellEnd"/>
      <w:r w:rsidRPr="00743098">
        <w:rPr>
          <w:sz w:val="24"/>
          <w:lang w:val="cs-CZ"/>
        </w:rPr>
        <w:t>. L 231, 30.6.2021, s. 21, ELI:</w:t>
      </w:r>
      <w:r w:rsidR="00574D36">
        <w:rPr>
          <w:sz w:val="24"/>
          <w:lang w:val="cs-CZ"/>
        </w:rPr>
        <w:t xml:space="preserve"> </w:t>
      </w:r>
      <w:hyperlink r:id="rId4" w:tooltip="Umožňuje k tomuto dokumentu přístup prostřednictvím jeho ELI URI." w:history="1">
        <w:r w:rsidRPr="00743098">
          <w:rPr>
            <w:rStyle w:val="Hyperlink"/>
            <w:sz w:val="24"/>
            <w:lang w:val="cs-CZ"/>
          </w:rPr>
          <w:t>http://data.europa.eu/eli/reg/2021/1057/oj</w:t>
        </w:r>
      </w:hyperlink>
      <w:r w:rsidRPr="00743098">
        <w:rPr>
          <w:sz w:val="24"/>
          <w:lang w:val="cs-CZ"/>
        </w:rPr>
        <w:t>).</w:t>
      </w:r>
    </w:p>
  </w:footnote>
  <w:footnote w:id="7">
    <w:p w14:paraId="28FCC6AB" w14:textId="6BCA0BFA" w:rsidR="00587C31" w:rsidRPr="00CE41A0" w:rsidRDefault="00587C31" w:rsidP="00CE41A0">
      <w:pPr>
        <w:pStyle w:val="FootnoteText"/>
        <w:ind w:left="567" w:hanging="567"/>
        <w:rPr>
          <w:sz w:val="24"/>
          <w:szCs w:val="24"/>
          <w:lang w:val="cs-CZ"/>
        </w:rPr>
      </w:pPr>
      <w:r w:rsidRPr="00CE41A0">
        <w:rPr>
          <w:rStyle w:val="FootnoteReference"/>
          <w:sz w:val="24"/>
          <w:szCs w:val="24"/>
        </w:rPr>
        <w:footnoteRef/>
      </w:r>
      <w:r w:rsidRPr="00CE41A0">
        <w:rPr>
          <w:sz w:val="24"/>
          <w:szCs w:val="24"/>
          <w:lang w:val="cs-CZ"/>
        </w:rPr>
        <w:t xml:space="preserve"> </w:t>
      </w:r>
      <w:r w:rsidRPr="00CE41A0">
        <w:rPr>
          <w:sz w:val="24"/>
          <w:szCs w:val="24"/>
          <w:lang w:val="cs-CZ"/>
        </w:rPr>
        <w:tab/>
        <w:t>Návrh Komise ze dne 20. března 2024 na směrnici Evropského parlamentu a Rady o zlepšování a prosazování pracovních podmínek stážistů a boji proti zastírání řádných pracovních poměrů stážemi („směrnice o stážích“)</w:t>
      </w:r>
      <w:r>
        <w:rPr>
          <w:sz w:val="24"/>
          <w:szCs w:val="24"/>
          <w:lang w:val="cs-CZ"/>
        </w:rPr>
        <w:t xml:space="preserve"> </w:t>
      </w:r>
      <w:r w:rsidRPr="00CE41A0">
        <w:rPr>
          <w:sz w:val="24"/>
          <w:szCs w:val="24"/>
          <w:lang w:val="cs-CZ"/>
        </w:rPr>
        <w:t>(COM(2024)0132).</w:t>
      </w:r>
    </w:p>
  </w:footnote>
  <w:footnote w:id="8">
    <w:p w14:paraId="6B84E8B2" w14:textId="1D0AC3A2" w:rsidR="00D753FC" w:rsidRPr="00743098" w:rsidRDefault="00D753FC" w:rsidP="00743098">
      <w:pPr>
        <w:pStyle w:val="FootnoteText"/>
        <w:ind w:left="567" w:hanging="567"/>
        <w:rPr>
          <w:sz w:val="24"/>
          <w:lang w:val="cs-CZ"/>
        </w:rPr>
      </w:pPr>
      <w:r w:rsidRPr="00743098">
        <w:rPr>
          <w:rStyle w:val="FootnoteReference"/>
          <w:sz w:val="24"/>
          <w:lang w:val="cs-CZ"/>
        </w:rPr>
        <w:footnoteRef/>
      </w:r>
      <w:r w:rsidR="00743098" w:rsidRPr="00743098">
        <w:rPr>
          <w:sz w:val="24"/>
          <w:lang w:val="cs-CZ"/>
        </w:rPr>
        <w:t xml:space="preserve"> </w:t>
      </w:r>
      <w:r w:rsidR="00743098" w:rsidRPr="00743098">
        <w:rPr>
          <w:sz w:val="24"/>
          <w:lang w:val="cs-CZ"/>
        </w:rPr>
        <w:tab/>
      </w:r>
      <w:r w:rsidRPr="00743098">
        <w:rPr>
          <w:sz w:val="24"/>
          <w:lang w:val="cs-CZ"/>
        </w:rPr>
        <w:t>Směrnice Evropského parlamentu a Rady (EU) 2022/2041 ze dne 19. října 2022 o přiměřených minimálních mzdách v Evropské unii (</w:t>
      </w:r>
      <w:proofErr w:type="spellStart"/>
      <w:r w:rsidRPr="00743098">
        <w:rPr>
          <w:sz w:val="24"/>
          <w:lang w:val="cs-CZ"/>
        </w:rPr>
        <w:t>Úř</w:t>
      </w:r>
      <w:proofErr w:type="spellEnd"/>
      <w:r w:rsidRPr="00743098">
        <w:rPr>
          <w:sz w:val="24"/>
          <w:lang w:val="cs-CZ"/>
        </w:rPr>
        <w:t xml:space="preserve">. </w:t>
      </w:r>
      <w:proofErr w:type="spellStart"/>
      <w:r w:rsidRPr="00743098">
        <w:rPr>
          <w:sz w:val="24"/>
          <w:lang w:val="cs-CZ"/>
        </w:rPr>
        <w:t>věst</w:t>
      </w:r>
      <w:proofErr w:type="spellEnd"/>
      <w:r w:rsidRPr="00743098">
        <w:rPr>
          <w:sz w:val="24"/>
          <w:lang w:val="cs-CZ"/>
        </w:rPr>
        <w:t>. L 275, 25.10.2022, s. 33, ELI:</w:t>
      </w:r>
      <w:r w:rsidR="00574D36">
        <w:rPr>
          <w:sz w:val="24"/>
          <w:lang w:val="cs-CZ"/>
        </w:rPr>
        <w:t xml:space="preserve"> </w:t>
      </w:r>
      <w:hyperlink r:id="rId5" w:tooltip="Umožňuje k tomuto dokumentu přístup prostřednictvím jeho ELI URI." w:history="1">
        <w:r w:rsidRPr="00743098">
          <w:rPr>
            <w:rStyle w:val="Hyperlink"/>
            <w:sz w:val="24"/>
            <w:lang w:val="cs-CZ"/>
          </w:rPr>
          <w:t>http://data.europa.eu/eli/dir/2022/2041/oj</w:t>
        </w:r>
      </w:hyperlink>
      <w:r w:rsidRPr="00743098">
        <w:rPr>
          <w:sz w:val="24"/>
          <w:lang w:val="cs-CZ"/>
        </w:rPr>
        <w:t xml:space="preserve">). </w:t>
      </w:r>
    </w:p>
  </w:footnote>
  <w:footnote w:id="9">
    <w:p w14:paraId="64DFD3BF" w14:textId="43D3C041" w:rsidR="00D753FC" w:rsidRPr="00743098" w:rsidRDefault="00D753FC" w:rsidP="00743098">
      <w:pPr>
        <w:pStyle w:val="FootnoteText"/>
        <w:ind w:left="567" w:hanging="567"/>
        <w:rPr>
          <w:sz w:val="24"/>
          <w:lang w:val="cs-CZ"/>
        </w:rPr>
      </w:pPr>
      <w:r w:rsidRPr="00743098">
        <w:rPr>
          <w:rStyle w:val="FootnoteReference"/>
          <w:sz w:val="24"/>
          <w:lang w:val="cs-CZ"/>
        </w:rPr>
        <w:footnoteRef/>
      </w:r>
      <w:r w:rsidR="00743098" w:rsidRPr="00743098">
        <w:rPr>
          <w:sz w:val="24"/>
          <w:lang w:val="cs-CZ"/>
        </w:rPr>
        <w:t xml:space="preserve"> </w:t>
      </w:r>
      <w:r w:rsidR="00743098" w:rsidRPr="00743098">
        <w:rPr>
          <w:sz w:val="24"/>
          <w:lang w:val="cs-CZ"/>
        </w:rPr>
        <w:tab/>
      </w:r>
      <w:r w:rsidRPr="00743098">
        <w:rPr>
          <w:sz w:val="24"/>
          <w:lang w:val="cs-CZ"/>
        </w:rPr>
        <w:t>Doporučení Rady ze dne 30. ledna 2023 o přiměřeném minimálním příjmu zajišťujícím aktivní začleňování 2023/C 41/01 (</w:t>
      </w:r>
      <w:proofErr w:type="spellStart"/>
      <w:r w:rsidRPr="00743098">
        <w:rPr>
          <w:sz w:val="24"/>
          <w:lang w:val="cs-CZ"/>
        </w:rPr>
        <w:t>Úř</w:t>
      </w:r>
      <w:proofErr w:type="spellEnd"/>
      <w:r w:rsidRPr="00743098">
        <w:rPr>
          <w:sz w:val="24"/>
          <w:lang w:val="cs-CZ"/>
        </w:rPr>
        <w:t xml:space="preserve">. </w:t>
      </w:r>
      <w:proofErr w:type="spellStart"/>
      <w:r w:rsidRPr="00743098">
        <w:rPr>
          <w:sz w:val="24"/>
          <w:lang w:val="cs-CZ"/>
        </w:rPr>
        <w:t>věst</w:t>
      </w:r>
      <w:proofErr w:type="spellEnd"/>
      <w:r w:rsidRPr="00743098">
        <w:rPr>
          <w:sz w:val="24"/>
          <w:lang w:val="cs-CZ"/>
        </w:rPr>
        <w:t xml:space="preserve">. C 41, 3.2.2023, s. 1). </w:t>
      </w:r>
    </w:p>
  </w:footnote>
  <w:footnote w:id="10">
    <w:p w14:paraId="79CB338E" w14:textId="1FDEEFEC" w:rsidR="00D753FC" w:rsidRPr="00743098" w:rsidRDefault="00D753FC" w:rsidP="00743098">
      <w:pPr>
        <w:pStyle w:val="FootnoteText"/>
        <w:ind w:left="567" w:hanging="567"/>
        <w:rPr>
          <w:sz w:val="24"/>
          <w:lang w:val="cs-CZ"/>
        </w:rPr>
      </w:pPr>
      <w:r w:rsidRPr="00743098">
        <w:rPr>
          <w:rStyle w:val="FootnoteReference"/>
          <w:sz w:val="24"/>
          <w:lang w:val="cs-CZ"/>
        </w:rPr>
        <w:footnoteRef/>
      </w:r>
      <w:r w:rsidR="00743098" w:rsidRPr="00743098">
        <w:rPr>
          <w:sz w:val="24"/>
          <w:lang w:val="cs-CZ"/>
        </w:rPr>
        <w:t xml:space="preserve"> </w:t>
      </w:r>
      <w:r w:rsidR="00743098" w:rsidRPr="00743098">
        <w:rPr>
          <w:sz w:val="24"/>
          <w:lang w:val="cs-CZ"/>
        </w:rPr>
        <w:tab/>
      </w:r>
      <w:r w:rsidRPr="00743098">
        <w:rPr>
          <w:sz w:val="24"/>
          <w:lang w:val="cs-CZ"/>
        </w:rPr>
        <w:t>Doporučení Rady ze dne 8. listopadu 2019 o přístupu pracovníků a osob samostatně výdělečně činných k sociální ochraně (</w:t>
      </w:r>
      <w:proofErr w:type="spellStart"/>
      <w:r w:rsidRPr="00743098">
        <w:rPr>
          <w:sz w:val="24"/>
          <w:lang w:val="cs-CZ"/>
        </w:rPr>
        <w:t>Úř</w:t>
      </w:r>
      <w:proofErr w:type="spellEnd"/>
      <w:r w:rsidRPr="00743098">
        <w:rPr>
          <w:sz w:val="24"/>
          <w:lang w:val="cs-CZ"/>
        </w:rPr>
        <w:t xml:space="preserve">. </w:t>
      </w:r>
      <w:proofErr w:type="spellStart"/>
      <w:r w:rsidRPr="00743098">
        <w:rPr>
          <w:sz w:val="24"/>
          <w:lang w:val="cs-CZ"/>
        </w:rPr>
        <w:t>věst</w:t>
      </w:r>
      <w:proofErr w:type="spellEnd"/>
      <w:r w:rsidRPr="00743098">
        <w:rPr>
          <w:sz w:val="24"/>
          <w:lang w:val="cs-CZ"/>
        </w:rPr>
        <w:t>. C 387, 15.11.2019,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6BB99" w14:textId="77777777" w:rsidR="00064002" w:rsidRPr="007430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5433B" w14:textId="77777777" w:rsidR="00064002" w:rsidRPr="007430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805D0" w14:textId="77777777" w:rsidR="00064002" w:rsidRPr="007430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44507271">
    <w:abstractNumId w:val="9"/>
  </w:num>
  <w:num w:numId="2" w16cid:durableId="518156241">
    <w:abstractNumId w:val="9"/>
  </w:num>
  <w:num w:numId="3" w16cid:durableId="1745452012">
    <w:abstractNumId w:val="7"/>
  </w:num>
  <w:num w:numId="4" w16cid:durableId="1633369283">
    <w:abstractNumId w:val="7"/>
  </w:num>
  <w:num w:numId="5" w16cid:durableId="1158378226">
    <w:abstractNumId w:val="6"/>
  </w:num>
  <w:num w:numId="6" w16cid:durableId="2027973864">
    <w:abstractNumId w:val="6"/>
  </w:num>
  <w:num w:numId="7" w16cid:durableId="1296329988">
    <w:abstractNumId w:val="5"/>
  </w:num>
  <w:num w:numId="8" w16cid:durableId="125585943">
    <w:abstractNumId w:val="5"/>
  </w:num>
  <w:num w:numId="9" w16cid:durableId="1407340170">
    <w:abstractNumId w:val="4"/>
  </w:num>
  <w:num w:numId="10" w16cid:durableId="1437362548">
    <w:abstractNumId w:val="4"/>
  </w:num>
  <w:num w:numId="11" w16cid:durableId="278880555">
    <w:abstractNumId w:val="8"/>
  </w:num>
  <w:num w:numId="12" w16cid:durableId="2061399068">
    <w:abstractNumId w:val="8"/>
  </w:num>
  <w:num w:numId="13" w16cid:durableId="1443109013">
    <w:abstractNumId w:val="3"/>
  </w:num>
  <w:num w:numId="14" w16cid:durableId="1688170953">
    <w:abstractNumId w:val="3"/>
  </w:num>
  <w:num w:numId="15" w16cid:durableId="439422686">
    <w:abstractNumId w:val="2"/>
  </w:num>
  <w:num w:numId="16" w16cid:durableId="1867404765">
    <w:abstractNumId w:val="2"/>
  </w:num>
  <w:num w:numId="17" w16cid:durableId="1940521126">
    <w:abstractNumId w:val="1"/>
  </w:num>
  <w:num w:numId="18" w16cid:durableId="1585067515">
    <w:abstractNumId w:val="1"/>
  </w:num>
  <w:num w:numId="19" w16cid:durableId="1730423464">
    <w:abstractNumId w:val="0"/>
  </w:num>
  <w:num w:numId="20" w16cid:durableId="2101756473">
    <w:abstractNumId w:val="0"/>
  </w:num>
  <w:num w:numId="21" w16cid:durableId="1488592491">
    <w:abstractNumId w:val="9"/>
  </w:num>
  <w:num w:numId="22" w16cid:durableId="481778734">
    <w:abstractNumId w:val="7"/>
  </w:num>
  <w:num w:numId="23" w16cid:durableId="794712641">
    <w:abstractNumId w:val="6"/>
  </w:num>
  <w:num w:numId="24" w16cid:durableId="1941141301">
    <w:abstractNumId w:val="5"/>
  </w:num>
  <w:num w:numId="25" w16cid:durableId="1244880288">
    <w:abstractNumId w:val="4"/>
  </w:num>
  <w:num w:numId="26" w16cid:durableId="1796867902">
    <w:abstractNumId w:val="8"/>
  </w:num>
  <w:num w:numId="27" w16cid:durableId="1463186872">
    <w:abstractNumId w:val="3"/>
  </w:num>
  <w:num w:numId="28" w16cid:durableId="1738085202">
    <w:abstractNumId w:val="2"/>
  </w:num>
  <w:num w:numId="29" w16cid:durableId="1987470051">
    <w:abstractNumId w:val="1"/>
  </w:num>
  <w:num w:numId="30" w16cid:durableId="1627198435">
    <w:abstractNumId w:val="0"/>
  </w:num>
  <w:num w:numId="31" w16cid:durableId="959841045">
    <w:abstractNumId w:val="9"/>
  </w:num>
  <w:num w:numId="32" w16cid:durableId="50999970">
    <w:abstractNumId w:val="7"/>
  </w:num>
  <w:num w:numId="33" w16cid:durableId="915476253">
    <w:abstractNumId w:val="6"/>
  </w:num>
  <w:num w:numId="34" w16cid:durableId="883910781">
    <w:abstractNumId w:val="5"/>
  </w:num>
  <w:num w:numId="35" w16cid:durableId="393117376">
    <w:abstractNumId w:val="4"/>
  </w:num>
  <w:num w:numId="36" w16cid:durableId="882598992">
    <w:abstractNumId w:val="8"/>
  </w:num>
  <w:num w:numId="37" w16cid:durableId="1225489310">
    <w:abstractNumId w:val="3"/>
  </w:num>
  <w:num w:numId="38" w16cid:durableId="1757938956">
    <w:abstractNumId w:val="2"/>
  </w:num>
  <w:num w:numId="39" w16cid:durableId="1929118353">
    <w:abstractNumId w:val="1"/>
  </w:num>
  <w:num w:numId="40" w16cid:durableId="329798780">
    <w:abstractNumId w:val="0"/>
  </w:num>
  <w:num w:numId="41" w16cid:durableId="319500174">
    <w:abstractNumId w:val="10"/>
  </w:num>
  <w:num w:numId="42" w16cid:durableId="2062174172">
    <w:abstractNumId w:val="10"/>
  </w:num>
  <w:num w:numId="43" w16cid:durableId="1788885239">
    <w:abstractNumId w:val="10"/>
  </w:num>
  <w:num w:numId="44" w16cid:durableId="8905801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6"/>
    <w:docVar w:name="dvlangue" w:val="CS"/>
    <w:docVar w:name="dvnumam" w:val="0"/>
    <w:docVar w:name="dvpe" w:val="779.558"/>
    <w:docVar w:name="dvrapporteur" w:val="Zpravodajka: "/>
    <w:docVar w:name="dvtitre" w:val="Usnesení Evropského parlamentu ze dne 11. března 2026 o evropském semestru pro koordinaci hospodářských politik: priority v oblasti zaměstnanosti a v sociální oblasti – výroční zpráva za rok 2026(2025/2183(INI))"/>
  </w:docVars>
  <w:rsids>
    <w:rsidRoot w:val="005A5E9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656"/>
    <w:rsid w:val="004C5D52"/>
    <w:rsid w:val="0050519A"/>
    <w:rsid w:val="005072A1"/>
    <w:rsid w:val="00514517"/>
    <w:rsid w:val="00545827"/>
    <w:rsid w:val="00560270"/>
    <w:rsid w:val="00574D36"/>
    <w:rsid w:val="00587C31"/>
    <w:rsid w:val="005A5E9E"/>
    <w:rsid w:val="005C2568"/>
    <w:rsid w:val="005F1B17"/>
    <w:rsid w:val="006037C0"/>
    <w:rsid w:val="006631B6"/>
    <w:rsid w:val="00680577"/>
    <w:rsid w:val="006A656F"/>
    <w:rsid w:val="006F4589"/>
    <w:rsid w:val="006F74FA"/>
    <w:rsid w:val="00731ADD"/>
    <w:rsid w:val="00734777"/>
    <w:rsid w:val="00743098"/>
    <w:rsid w:val="00747932"/>
    <w:rsid w:val="00751A4A"/>
    <w:rsid w:val="00756632"/>
    <w:rsid w:val="007605AB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73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108E"/>
    <w:rsid w:val="00AB441E"/>
    <w:rsid w:val="00AB6293"/>
    <w:rsid w:val="00AE0928"/>
    <w:rsid w:val="00AF3B82"/>
    <w:rsid w:val="00B12E95"/>
    <w:rsid w:val="00B22876"/>
    <w:rsid w:val="00B35D8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1A0"/>
    <w:rsid w:val="00CF071A"/>
    <w:rsid w:val="00D058B8"/>
    <w:rsid w:val="00D46686"/>
    <w:rsid w:val="00D56C11"/>
    <w:rsid w:val="00D753FC"/>
    <w:rsid w:val="00D834A0"/>
    <w:rsid w:val="00D872DF"/>
    <w:rsid w:val="00D91E21"/>
    <w:rsid w:val="00DA7074"/>
    <w:rsid w:val="00DA7FCD"/>
    <w:rsid w:val="00E365E1"/>
    <w:rsid w:val="00E60A45"/>
    <w:rsid w:val="00E820A4"/>
    <w:rsid w:val="00EB006A"/>
    <w:rsid w:val="00EB4772"/>
    <w:rsid w:val="00ED169E"/>
    <w:rsid w:val="00ED4235"/>
    <w:rsid w:val="00F04346"/>
    <w:rsid w:val="00F075DC"/>
    <w:rsid w:val="00F149E9"/>
    <w:rsid w:val="00F22A59"/>
    <w:rsid w:val="00F40CC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C7FEBE"/>
  <w15:chartTrackingRefBased/>
  <w15:docId w15:val="{AD2E5964-EC48-4B79-9CF2-B91CCC2DA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753F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D753FC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D753FC"/>
    <w:pPr>
      <w:widowControl/>
      <w:spacing w:after="240"/>
      <w:ind w:left="566" w:hanging="566"/>
    </w:pPr>
    <w:rPr>
      <w:szCs w:val="24"/>
      <w:lang w:eastAsia="en-US"/>
    </w:rPr>
  </w:style>
  <w:style w:type="character" w:styleId="Hyperlink">
    <w:name w:val="Hyperlink"/>
    <w:basedOn w:val="DefaultParagraphFont"/>
    <w:rsid w:val="00D753F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74D3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co/2021/1004/oj" TargetMode="External"/><Relationship Id="rId2" Type="http://schemas.openxmlformats.org/officeDocument/2006/relationships/hyperlink" Target="https://eige.europa.eu/gender-equality-index/2025/country" TargetMode="External"/><Relationship Id="rId1" Type="http://schemas.openxmlformats.org/officeDocument/2006/relationships/hyperlink" Target="http://data.europa.eu/eli/reg/2024/1263/oj" TargetMode="External"/><Relationship Id="rId5" Type="http://schemas.openxmlformats.org/officeDocument/2006/relationships/hyperlink" Target="http://data.europa.eu/eli/dir/2022/2041/oj" TargetMode="External"/><Relationship Id="rId4" Type="http://schemas.openxmlformats.org/officeDocument/2006/relationships/hyperlink" Target="http://data.europa.eu/eli/reg/2021/105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5763</Words>
  <Characters>34533</Characters>
  <Application>Microsoft Office Word</Application>
  <DocSecurity>0</DocSecurity>
  <Lines>1279</Lines>
  <Paragraphs>333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SOCHOROVA Lenka</cp:lastModifiedBy>
  <cp:revision>2</cp:revision>
  <cp:lastPrinted>2004-11-19T15:42:00Z</cp:lastPrinted>
  <dcterms:created xsi:type="dcterms:W3CDTF">2026-04-22T15:09:00Z</dcterms:created>
  <dcterms:modified xsi:type="dcterms:W3CDTF">2026-04-22T15:09:00Z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A10-0033/2026</vt:lpwstr>
  </property>
  <property fmtid="{D5CDD505-2E9C-101B-9397-08002B2CF9AE}" pid="4" name="&lt;Type&gt;">
    <vt:lpwstr>RR</vt:lpwstr>
  </property>
</Properties>
</file>