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C37F5" w14:paraId="2C701E2F" w14:textId="77777777" w:rsidTr="0010095E">
        <w:trPr>
          <w:trHeight w:hRule="exact" w:val="1418"/>
        </w:trPr>
        <w:tc>
          <w:tcPr>
            <w:tcW w:w="6804" w:type="dxa"/>
            <w:shd w:val="clear" w:color="auto" w:fill="auto"/>
            <w:vAlign w:val="center"/>
          </w:tcPr>
          <w:p w14:paraId="6E3518B6" w14:textId="77777777" w:rsidR="00751A4A" w:rsidRPr="005C37F5" w:rsidRDefault="00320E85" w:rsidP="0010095E">
            <w:pPr>
              <w:pStyle w:val="EPName"/>
            </w:pPr>
            <w:r w:rsidRPr="005C37F5">
              <w:t>Ευρωπαϊκό Κοινοβούλιο</w:t>
            </w:r>
          </w:p>
          <w:p w14:paraId="0601F2A2" w14:textId="77777777" w:rsidR="00751A4A" w:rsidRPr="005C37F5" w:rsidRDefault="005F1B17" w:rsidP="005F1B17">
            <w:pPr>
              <w:pStyle w:val="EPTerm"/>
              <w:rPr>
                <w:rStyle w:val="HideTWBExt"/>
                <w:noProof w:val="0"/>
                <w:vanish w:val="0"/>
                <w:color w:val="auto"/>
              </w:rPr>
            </w:pPr>
            <w:r w:rsidRPr="005C37F5">
              <w:t>2024</w:t>
            </w:r>
            <w:r w:rsidR="00817416" w:rsidRPr="005C37F5">
              <w:t>-202</w:t>
            </w:r>
            <w:r w:rsidRPr="005C37F5">
              <w:t>9</w:t>
            </w:r>
          </w:p>
        </w:tc>
        <w:tc>
          <w:tcPr>
            <w:tcW w:w="2268" w:type="dxa"/>
            <w:shd w:val="clear" w:color="auto" w:fill="auto"/>
          </w:tcPr>
          <w:p w14:paraId="13C5F5B7" w14:textId="77777777" w:rsidR="00751A4A" w:rsidRPr="005C37F5" w:rsidRDefault="00187494" w:rsidP="0010095E">
            <w:pPr>
              <w:pStyle w:val="EPLogo"/>
            </w:pPr>
            <w:r w:rsidRPr="005C37F5">
              <w:rPr>
                <w:noProof/>
                <w:lang w:eastAsia="ja-JP"/>
              </w:rPr>
              <w:drawing>
                <wp:inline distT="0" distB="0" distL="0" distR="0" wp14:anchorId="12005A59" wp14:editId="3296D22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442CD75" w14:textId="77777777" w:rsidR="00D058B8" w:rsidRPr="005C37F5" w:rsidRDefault="00D058B8" w:rsidP="004C5D52">
      <w:pPr>
        <w:pStyle w:val="LineTop"/>
      </w:pPr>
    </w:p>
    <w:p w14:paraId="71D10048" w14:textId="77777777" w:rsidR="00680577" w:rsidRPr="005C37F5" w:rsidRDefault="00320E85" w:rsidP="00680577">
      <w:pPr>
        <w:pStyle w:val="EPBodyTA1"/>
      </w:pPr>
      <w:r w:rsidRPr="005C37F5">
        <w:t>ΚΕΙΜΕΝΑ ΠΟΥ ΕΓΚΡΙΘΗΚΑΝ</w:t>
      </w:r>
    </w:p>
    <w:p w14:paraId="7A04B0E1" w14:textId="77777777" w:rsidR="00D058B8" w:rsidRPr="005C37F5" w:rsidRDefault="00D058B8" w:rsidP="00D058B8">
      <w:pPr>
        <w:pStyle w:val="LineBottom"/>
      </w:pPr>
    </w:p>
    <w:p w14:paraId="2102A924" w14:textId="51DD151E" w:rsidR="00320E85" w:rsidRPr="005C37F5" w:rsidRDefault="00320E85" w:rsidP="00320E85">
      <w:pPr>
        <w:pStyle w:val="ATHeading1"/>
      </w:pPr>
      <w:bookmarkStart w:id="0" w:name="TANumber"/>
      <w:r w:rsidRPr="005C37F5">
        <w:t>P10_TA(2026)00</w:t>
      </w:r>
      <w:r w:rsidR="001F46D2">
        <w:t>76</w:t>
      </w:r>
      <w:bookmarkEnd w:id="0"/>
    </w:p>
    <w:p w14:paraId="7E1F983A" w14:textId="002545FE" w:rsidR="00320E85" w:rsidRPr="005C37F5" w:rsidRDefault="008973DA" w:rsidP="008973DA">
      <w:pPr>
        <w:pStyle w:val="ATHeading2"/>
      </w:pPr>
      <w:bookmarkStart w:id="1" w:name="title"/>
      <w:r>
        <w:t>Ευρωπαϊκό Εξάμηνο για τον συντονισμό των οικονομικών πολιτικών: απασχόληση και κοινωνικές προτεραιότητες για το 2026</w:t>
      </w:r>
      <w:bookmarkEnd w:id="1"/>
    </w:p>
    <w:p w14:paraId="1D1FD438" w14:textId="77777777" w:rsidR="00320E85" w:rsidRPr="005C37F5" w:rsidRDefault="00320E85" w:rsidP="00320E85">
      <w:pPr>
        <w:rPr>
          <w:i/>
          <w:vanish/>
        </w:rPr>
      </w:pPr>
      <w:r w:rsidRPr="005C37F5">
        <w:rPr>
          <w:i/>
        </w:rPr>
        <w:fldChar w:fldCharType="begin"/>
      </w:r>
      <w:r w:rsidRPr="005C37F5">
        <w:rPr>
          <w:i/>
        </w:rPr>
        <w:instrText xml:space="preserve"> TC"(</w:instrText>
      </w:r>
      <w:bookmarkStart w:id="2" w:name="DocNumber"/>
      <w:r w:rsidRPr="005C37F5">
        <w:rPr>
          <w:i/>
        </w:rPr>
        <w:instrText>A10-0033/2026</w:instrText>
      </w:r>
      <w:bookmarkEnd w:id="2"/>
      <w:r w:rsidRPr="005C37F5">
        <w:rPr>
          <w:i/>
        </w:rPr>
        <w:instrText xml:space="preserve"> - Εισηγήτρια: Nela Riehl)"\l3 \n&gt; \* MERGEFORMAT </w:instrText>
      </w:r>
      <w:r w:rsidRPr="005C37F5">
        <w:rPr>
          <w:i/>
        </w:rPr>
        <w:fldChar w:fldCharType="end"/>
      </w:r>
    </w:p>
    <w:p w14:paraId="691D3897" w14:textId="77777777" w:rsidR="00320E85" w:rsidRPr="005C37F5" w:rsidRDefault="00320E85" w:rsidP="00320E85">
      <w:pPr>
        <w:rPr>
          <w:vanish/>
        </w:rPr>
      </w:pPr>
      <w:bookmarkStart w:id="3" w:name="Commission"/>
      <w:r w:rsidRPr="005C37F5">
        <w:rPr>
          <w:vanish/>
        </w:rPr>
        <w:t>Επιτροπή Απασχόλησης και Κοινωνικών Υποθέσεων</w:t>
      </w:r>
      <w:bookmarkEnd w:id="3"/>
    </w:p>
    <w:p w14:paraId="2110E74D" w14:textId="77777777" w:rsidR="00320E85" w:rsidRPr="005C37F5" w:rsidRDefault="00320E85" w:rsidP="00320E85">
      <w:pPr>
        <w:rPr>
          <w:vanish/>
        </w:rPr>
      </w:pPr>
      <w:bookmarkStart w:id="4" w:name="PE"/>
      <w:r w:rsidRPr="005C37F5">
        <w:rPr>
          <w:vanish/>
        </w:rPr>
        <w:t>PE779.558</w:t>
      </w:r>
      <w:bookmarkEnd w:id="4"/>
    </w:p>
    <w:p w14:paraId="208644C6" w14:textId="64FFBF2A" w:rsidR="00320E85" w:rsidRPr="005C37F5" w:rsidRDefault="00320E85" w:rsidP="00320E85">
      <w:pPr>
        <w:pStyle w:val="ATHeading3"/>
      </w:pPr>
      <w:bookmarkStart w:id="5" w:name="Sujet"/>
      <w:r w:rsidRPr="005C37F5">
        <w:t xml:space="preserve">Ψήφισμα του Ευρωπαϊκού Κοινοβουλίου της </w:t>
      </w:r>
      <w:r w:rsidR="007F7269">
        <w:t>11ης Μαρτίου</w:t>
      </w:r>
      <w:r w:rsidR="007F7269" w:rsidRPr="005C37F5">
        <w:t xml:space="preserve"> </w:t>
      </w:r>
      <w:r w:rsidRPr="005C37F5">
        <w:t>2026 σχετικά με το Ευρωπαϊκό Εξάμηνο για τον συντονισμό των οικονομικών πολιτικών: απασχόληση και κοινωνικές προτεραιότητες — ετήσια έκθεση 2026</w:t>
      </w:r>
      <w:bookmarkEnd w:id="5"/>
      <w:r w:rsidRPr="005C37F5">
        <w:t xml:space="preserve"> </w:t>
      </w:r>
      <w:bookmarkStart w:id="6" w:name="References"/>
      <w:r w:rsidRPr="005C37F5">
        <w:t>(2025/2183(INI))</w:t>
      </w:r>
      <w:bookmarkEnd w:id="6"/>
    </w:p>
    <w:p w14:paraId="73AB680D" w14:textId="77777777" w:rsidR="008B6ECC" w:rsidRDefault="008B6ECC" w:rsidP="00671F6D">
      <w:pPr>
        <w:pStyle w:val="Normal12"/>
        <w:rPr>
          <w:i/>
        </w:rPr>
      </w:pPr>
    </w:p>
    <w:p w14:paraId="4A68306B" w14:textId="67D50EF3" w:rsidR="00671F6D" w:rsidRPr="005C37F5" w:rsidRDefault="00671F6D" w:rsidP="00671F6D">
      <w:pPr>
        <w:pStyle w:val="Normal12"/>
      </w:pPr>
      <w:r w:rsidRPr="005C37F5">
        <w:rPr>
          <w:i/>
        </w:rPr>
        <w:t>Το Ευρωπαϊκό Κοινοβούλιο</w:t>
      </w:r>
      <w:r w:rsidRPr="005C37F5">
        <w:t>,</w:t>
      </w:r>
    </w:p>
    <w:p w14:paraId="1A16557C" w14:textId="77777777" w:rsidR="00671F6D" w:rsidRPr="005C37F5" w:rsidRDefault="00671F6D" w:rsidP="00671F6D">
      <w:pPr>
        <w:pStyle w:val="NormalHanging"/>
      </w:pPr>
      <w:r w:rsidRPr="005C37F5">
        <w:t>–</w:t>
      </w:r>
      <w:r w:rsidRPr="005C37F5">
        <w:tab/>
        <w:t>έχοντας υπόψη το άρθρο 3 της Συνθήκης για την Ευρωπαϊκή Ένωση,</w:t>
      </w:r>
    </w:p>
    <w:p w14:paraId="65DA3D01" w14:textId="476F3B80" w:rsidR="00671F6D" w:rsidRPr="005C37F5" w:rsidRDefault="00671F6D" w:rsidP="00671F6D">
      <w:pPr>
        <w:pStyle w:val="NormalHanging"/>
      </w:pPr>
      <w:r w:rsidRPr="005C37F5">
        <w:t>–</w:t>
      </w:r>
      <w:r w:rsidRPr="005C37F5">
        <w:tab/>
        <w:t>έχοντας υπόψη τα άρθρα 9, 121, 148 και 149 της Συνθήκης για τη λειτουργία της Ευρωπαϊκής Ένωσης,</w:t>
      </w:r>
    </w:p>
    <w:p w14:paraId="006329BB" w14:textId="114A6A28" w:rsidR="00671F6D" w:rsidRPr="005C37F5" w:rsidRDefault="00671F6D" w:rsidP="00671F6D">
      <w:pPr>
        <w:pStyle w:val="NormalHanging"/>
      </w:pPr>
      <w:r w:rsidRPr="005C37F5">
        <w:t>–</w:t>
      </w:r>
      <w:r w:rsidRPr="005C37F5">
        <w:tab/>
        <w:t>έχοντας υπόψη τον ευρωπαϊκό πυλώνα κοινωνικών δικαιωμάτων, που διακηρύχθηκε και υπογράφηκε από το Συμβούλιο, το Κοινοβούλιο και την Επιτροπή στις 17</w:t>
      </w:r>
      <w:r w:rsidR="008B6ECC">
        <w:t> </w:t>
      </w:r>
      <w:r w:rsidRPr="005C37F5">
        <w:t>Νοεμβρίου 2017, και το σχέδιο δράσης του που εγκρίθηκε το 2021, ιδίως τους πρωταρχικούς στόχους που προτείνει για το 2030 όσον αφορά την απασχόληση, την κατάρτιση και τη μείωση της φτώχειας,</w:t>
      </w:r>
    </w:p>
    <w:p w14:paraId="7744A0A7" w14:textId="33BA560B" w:rsidR="00671F6D" w:rsidRPr="005C37F5" w:rsidRDefault="00671F6D" w:rsidP="00671F6D">
      <w:pPr>
        <w:pStyle w:val="NormalHanging"/>
      </w:pPr>
      <w:r w:rsidRPr="005C37F5">
        <w:t>–</w:t>
      </w:r>
      <w:r w:rsidRPr="005C37F5">
        <w:tab/>
        <w:t>έχοντας υπόψη τον κανονισμό (ΕΕ) 2024/1263 του Ευρωπαϊκού Κοινοβουλίου και του Συμβουλίου, της 29ης Απριλίου 2024, σχετικά με τον αποτελεσματικό συντονισμό των οικονομικών πολιτικών και την πολυμερή δημοσιονομική εποπτεία και την κατάργηση του κανονισμού (ΕΚ) αριθ. 1466/97</w:t>
      </w:r>
      <w:r w:rsidR="008B6ECC" w:rsidRPr="005C37F5">
        <w:t xml:space="preserve"> του Συμβουλίου</w:t>
      </w:r>
      <w:r w:rsidRPr="005C37F5">
        <w:rPr>
          <w:vertAlign w:val="superscript"/>
        </w:rPr>
        <w:footnoteReference w:id="1"/>
      </w:r>
      <w:r w:rsidRPr="005C37F5">
        <w:t>, και ιδίως τα άρθρα 3,4,13 και 27,</w:t>
      </w:r>
    </w:p>
    <w:p w14:paraId="1ED42FF1" w14:textId="77777777" w:rsidR="00671F6D" w:rsidRPr="005C37F5" w:rsidRDefault="00671F6D" w:rsidP="00671F6D">
      <w:pPr>
        <w:pStyle w:val="NormalHanging"/>
      </w:pPr>
      <w:r w:rsidRPr="005C37F5">
        <w:t>–</w:t>
      </w:r>
      <w:r w:rsidRPr="005C37F5">
        <w:tab/>
        <w:t>έχοντας υπόψη την έκθεση της Επιτροπής με τίτλο «Απασχόληση και κοινωνικές εξελίξεις στην Ευρώπη το 2025», που δημοσιεύτηκε τον Σεπτέμβριο του 2025,</w:t>
      </w:r>
    </w:p>
    <w:p w14:paraId="4D3FE96C" w14:textId="77777777" w:rsidR="00671F6D" w:rsidRPr="005C37F5" w:rsidRDefault="00671F6D" w:rsidP="00671F6D">
      <w:pPr>
        <w:pStyle w:val="NormalHanging"/>
      </w:pPr>
      <w:r w:rsidRPr="005C37F5">
        <w:t>–</w:t>
      </w:r>
      <w:r w:rsidRPr="005C37F5">
        <w:tab/>
        <w:t xml:space="preserve">έχοντας υπόψη την έκθεση της Επιτροπής με τίτλο «Labour Market and </w:t>
      </w:r>
      <w:proofErr w:type="spellStart"/>
      <w:r w:rsidRPr="005C37F5">
        <w:t>Wage</w:t>
      </w:r>
      <w:proofErr w:type="spellEnd"/>
      <w:r w:rsidRPr="005C37F5">
        <w:t xml:space="preserve"> Development in Europe» (Ανάπτυξη της αγοράς εργασίας και των μισθών στην Ευρώπη), που δημοσιεύτηκε τον Οκτώβριο του 2025,</w:t>
      </w:r>
    </w:p>
    <w:p w14:paraId="27EAA8E8" w14:textId="77777777" w:rsidR="00671F6D" w:rsidRPr="005C37F5" w:rsidRDefault="00671F6D" w:rsidP="00671F6D">
      <w:pPr>
        <w:pStyle w:val="NormalHanging"/>
      </w:pPr>
      <w:r w:rsidRPr="005C37F5">
        <w:t>–</w:t>
      </w:r>
      <w:r w:rsidRPr="005C37F5">
        <w:tab/>
        <w:t>έχοντας υπόψη την πρόταση της Επιτροπής, της 25ης Νοεμβρίου 2025, για μια κοινή έκθεση για την απασχόληση από την Επιτροπή και το Συμβούλιο (COM(2025)0958),</w:t>
      </w:r>
    </w:p>
    <w:p w14:paraId="705E897F" w14:textId="77777777" w:rsidR="00671F6D" w:rsidRPr="005C37F5" w:rsidRDefault="00671F6D" w:rsidP="00671F6D">
      <w:pPr>
        <w:pStyle w:val="NormalHanging"/>
      </w:pPr>
      <w:r w:rsidRPr="005C37F5">
        <w:lastRenderedPageBreak/>
        <w:t>–</w:t>
      </w:r>
      <w:r w:rsidRPr="005C37F5">
        <w:tab/>
        <w:t>έχοντας υπόψη τη σύσταση της Επιτροπής, της 25ης Νοεμβρίου 2025, για σύσταση του Συμβουλίου σχετικά με την οικονομική πολιτική της ζώνης του ευρώ (COM(2025)0957),</w:t>
      </w:r>
    </w:p>
    <w:p w14:paraId="75CDB655" w14:textId="77777777" w:rsidR="00671F6D" w:rsidRPr="005C37F5" w:rsidRDefault="00671F6D" w:rsidP="00671F6D">
      <w:pPr>
        <w:pStyle w:val="NormalHanging"/>
      </w:pPr>
      <w:r w:rsidRPr="005C37F5">
        <w:t>–</w:t>
      </w:r>
      <w:r w:rsidRPr="005C37F5">
        <w:tab/>
        <w:t>έχοντας υπόψη την ανακοίνωση της Επιτροπής, της 25ης Νοεμβρίου 2025, με τίτλο «Έκθεση του μηχανισμού επαγρύπνησης 2026» (COM(2025)0956),</w:t>
      </w:r>
    </w:p>
    <w:p w14:paraId="6FD8DBFA" w14:textId="6AEEFC43" w:rsidR="00671F6D" w:rsidRPr="005C37F5" w:rsidRDefault="00671F6D" w:rsidP="00671F6D">
      <w:pPr>
        <w:pStyle w:val="NormalHanging"/>
      </w:pPr>
      <w:r w:rsidRPr="005C37F5">
        <w:t>–</w:t>
      </w:r>
      <w:r w:rsidRPr="005C37F5">
        <w:tab/>
        <w:t xml:space="preserve">έχοντας υπόψη τη σύσταση της Επιτροπής, της 25ης Νοεμβρίου 2025, για σύσταση του Συμβουλίου σχετικά με το ανθρώπινο κεφάλαιο στην Ευρωπαϊκή Ένωση </w:t>
      </w:r>
      <w:r w:rsidR="007F7269">
        <w:t>(</w:t>
      </w:r>
      <w:r w:rsidRPr="005C37F5">
        <w:t>COM(2025)0959</w:t>
      </w:r>
      <w:r w:rsidR="007F7269">
        <w:t>)</w:t>
      </w:r>
      <w:r w:rsidRPr="005C37F5">
        <w:t>,</w:t>
      </w:r>
    </w:p>
    <w:p w14:paraId="6D7C04D2" w14:textId="77777777" w:rsidR="00671F6D" w:rsidRPr="005C37F5" w:rsidRDefault="00671F6D" w:rsidP="00671F6D">
      <w:pPr>
        <w:pStyle w:val="NormalHanging"/>
      </w:pPr>
      <w:r w:rsidRPr="005C37F5">
        <w:t>–</w:t>
      </w:r>
      <w:r w:rsidRPr="005C37F5">
        <w:tab/>
        <w:t>έχοντας υπόψη τη συμβολή των Ευρωπαίων κοινωνικών εταίρων στο Ευρωπαϊκό Εξάμηνο 2026 και ιδίως στη φθινοπωρινή δέσμη μέτρων,</w:t>
      </w:r>
    </w:p>
    <w:p w14:paraId="49D1E7FF" w14:textId="77777777" w:rsidR="00671F6D" w:rsidRPr="005C37F5" w:rsidRDefault="00671F6D" w:rsidP="00671F6D">
      <w:pPr>
        <w:pStyle w:val="NormalHanging"/>
      </w:pPr>
      <w:r w:rsidRPr="005C37F5">
        <w:t>–</w:t>
      </w:r>
      <w:r w:rsidRPr="005C37F5">
        <w:tab/>
        <w:t xml:space="preserve">έχοντας υπόψη την έκθεση του </w:t>
      </w:r>
      <w:proofErr w:type="spellStart"/>
      <w:r w:rsidRPr="005C37F5">
        <w:t>Mario</w:t>
      </w:r>
      <w:proofErr w:type="spellEnd"/>
      <w:r w:rsidRPr="005C37F5">
        <w:t xml:space="preserve"> </w:t>
      </w:r>
      <w:proofErr w:type="spellStart"/>
      <w:r w:rsidRPr="005C37F5">
        <w:t>Draghi</w:t>
      </w:r>
      <w:proofErr w:type="spellEnd"/>
      <w:r w:rsidRPr="005C37F5">
        <w:t xml:space="preserve">, με τίτλο «The </w:t>
      </w:r>
      <w:proofErr w:type="spellStart"/>
      <w:r w:rsidRPr="005C37F5">
        <w:t>future</w:t>
      </w:r>
      <w:proofErr w:type="spellEnd"/>
      <w:r w:rsidRPr="005C37F5">
        <w:t xml:space="preserve"> of European </w:t>
      </w:r>
      <w:proofErr w:type="spellStart"/>
      <w:r w:rsidRPr="005C37F5">
        <w:t>competitiveness</w:t>
      </w:r>
      <w:proofErr w:type="spellEnd"/>
      <w:r w:rsidRPr="005C37F5">
        <w:t>» (Το μέλλον της ευρωπαϊκής ανταγωνιστικότητας), που δημοσιεύτηκε τον Σεπτέμβριο του 2024,</w:t>
      </w:r>
    </w:p>
    <w:p w14:paraId="14BDF748" w14:textId="77777777" w:rsidR="00671F6D" w:rsidRPr="005C37F5" w:rsidRDefault="00671F6D" w:rsidP="00671F6D">
      <w:pPr>
        <w:pStyle w:val="NormalHanging"/>
      </w:pPr>
      <w:r w:rsidRPr="005C37F5">
        <w:t>–</w:t>
      </w:r>
      <w:r w:rsidRPr="005C37F5">
        <w:tab/>
        <w:t xml:space="preserve">έχοντας υπόψη την έκθεση του </w:t>
      </w:r>
      <w:proofErr w:type="spellStart"/>
      <w:r w:rsidRPr="005C37F5">
        <w:t>Enrico</w:t>
      </w:r>
      <w:proofErr w:type="spellEnd"/>
      <w:r w:rsidRPr="005C37F5">
        <w:t xml:space="preserve"> Letta σχετικά με το μέλλον της ενιαίας αγοράς, με τίτλο «</w:t>
      </w:r>
      <w:proofErr w:type="spellStart"/>
      <w:r w:rsidRPr="005C37F5">
        <w:t>More</w:t>
      </w:r>
      <w:proofErr w:type="spellEnd"/>
      <w:r w:rsidRPr="005C37F5">
        <w:t xml:space="preserve"> </w:t>
      </w:r>
      <w:proofErr w:type="spellStart"/>
      <w:r w:rsidRPr="005C37F5">
        <w:t>than</w:t>
      </w:r>
      <w:proofErr w:type="spellEnd"/>
      <w:r w:rsidRPr="005C37F5">
        <w:t xml:space="preserve"> a Market» (Πολύ περισσότερο από μια απλή αγορά), η οποία δημοσιεύτηκε τον Απρίλιο του 2024,</w:t>
      </w:r>
    </w:p>
    <w:p w14:paraId="56C4503C" w14:textId="77777777" w:rsidR="00671F6D" w:rsidRPr="005C37F5" w:rsidRDefault="00671F6D" w:rsidP="00671F6D">
      <w:pPr>
        <w:pStyle w:val="NormalHanging"/>
      </w:pPr>
      <w:r w:rsidRPr="005C37F5">
        <w:t>–</w:t>
      </w:r>
      <w:r w:rsidRPr="005C37F5">
        <w:tab/>
        <w:t>έχοντας υπόψη την έκθεση της ομάδας υψηλού επιπέδου για το μέλλον της κοινωνικής προστασίας και του κράτους πρόνοιας στην ΕΕ, που δημοσιεύθηκε τον Ιανουάριο του 2023,</w:t>
      </w:r>
    </w:p>
    <w:p w14:paraId="4446E7C9" w14:textId="77777777" w:rsidR="00671F6D" w:rsidRPr="005C37F5" w:rsidRDefault="00671F6D" w:rsidP="00671F6D">
      <w:pPr>
        <w:pStyle w:val="NormalHanging"/>
      </w:pPr>
      <w:r w:rsidRPr="005C37F5">
        <w:t>–</w:t>
      </w:r>
      <w:r w:rsidRPr="005C37F5">
        <w:tab/>
        <w:t>έχοντας υπόψη το άρθρο 55 του Κανονισμού του,</w:t>
      </w:r>
    </w:p>
    <w:p w14:paraId="6F36E9A0" w14:textId="77777777" w:rsidR="00671F6D" w:rsidRPr="005C37F5" w:rsidRDefault="00671F6D" w:rsidP="00671F6D">
      <w:pPr>
        <w:pStyle w:val="NormalHanging"/>
      </w:pPr>
      <w:r w:rsidRPr="005C37F5">
        <w:t>–</w:t>
      </w:r>
      <w:r w:rsidRPr="005C37F5">
        <w:tab/>
        <w:t>έχοντας υπόψη την έκθεση της Επιτροπής Απασχόλησης και Κοινωνικών Υποθέσεων (A10-0033/2026),</w:t>
      </w:r>
    </w:p>
    <w:p w14:paraId="28AD96A3" w14:textId="77777777" w:rsidR="00671F6D" w:rsidRPr="005C37F5" w:rsidRDefault="00671F6D" w:rsidP="00671F6D">
      <w:pPr>
        <w:pStyle w:val="NormalHanging"/>
      </w:pPr>
      <w:r w:rsidRPr="005C37F5">
        <w:t>Α.</w:t>
      </w:r>
      <w:r w:rsidRPr="005C37F5">
        <w:tab/>
        <w:t>λαμβάνοντας υπόψη ότι σημειώνεται πρόοδος όσον αφορά την επίτευξη του στόχου της ΕΕ για απασχόληση τουλάχιστον του 78 % των ατόμων ηλικίας 20 έως 64 ετών έως το 2030· λαμβάνοντας υπόψη ότι τον Οκτώβριο του 2025, ο μέσος όρος του ποσοστού ανεργίας στην ΕΕ ήταν 6 % (από 2,6 % έως και 10,6% στα κράτη μέλη) ενώ η ανεργία των νέων παραμένει υψηλή στο 13,2 %· λαμβάνοντας υπόψη ότι τα επίπεδα ανεργίας και οι επισφαλείς συνθήκες εργασίας παραμένουν σταθερά υψηλά για τους νέους, τις γυναίκες, τους εργαζομένους μεγαλύτερης ηλικίας, τους υπηκόους τρίτων χωρών χαμηλής και μεσαίας ειδίκευσης, τα άτομα με αναπηρία, τους Ρομά και άλλες εθνοτικές μειονότητες, καθώς όλες οι εν λόγω κοινωνικές ομάδες αντιμετωπίζουν διαρθρωτικά εμπόδια στην απασχόληση· λαμβάνοντας υπόψη ότι η ανεργία των ατόμων με αναπηρία ανέρχεται στο 15,1 %· λαμβάνοντας υπόψη ότι τα υψηλότερα επίπεδα απασχόλησης στην ΕΕ θα πρέπει να συμβαδίζουν με την ποιότητα των θέσεων εργασίας, τους αξιοπρεπείς μισθούς, τις αυξήσεις των μισθών και την αύξηση της παραγωγικότητας·</w:t>
      </w:r>
    </w:p>
    <w:p w14:paraId="2678BA44" w14:textId="77777777" w:rsidR="00671F6D" w:rsidRPr="005C37F5" w:rsidRDefault="00671F6D" w:rsidP="00671F6D">
      <w:pPr>
        <w:pStyle w:val="NormalHanging"/>
      </w:pPr>
      <w:r w:rsidRPr="005C37F5">
        <w:t>Β.</w:t>
      </w:r>
      <w:r w:rsidRPr="005C37F5">
        <w:tab/>
        <w:t xml:space="preserve">λαμβάνοντας υπόψη ότι το Ευρωπαϊκό Εξάμηνο παραμένει βασικό μέσο για τον συντονισμό της οικονομικής, δημοσιονομικής, εργασιακής και κοινωνικής πολιτικής σε ολόκληρη την ΕΕ και θα πρέπει να αποσκοπεί στη συστηματικότερη ενσωμάτωση της κοινωνικής δικαιοσύνης, της περιβαλλοντικής βιωσιμότητας και της διαγενεακής δικαιοσύνης στη μακροοικονομική διακυβέρνηση, θέτοντας τον ευρωπαϊκό πυλώνα κοινωνικών δικαιωμάτων στον πυρήνα του και τηρώντας την αρχή της επικουρικότητας· λαμβάνοντας υπόψη ότι έχουν καταβληθεί προσπάθειες για την </w:t>
      </w:r>
      <w:r w:rsidRPr="005C37F5">
        <w:lastRenderedPageBreak/>
        <w:t>καλύτερη εξισορρόπηση της παρακολούθησης των οικονομικών και κοινωνικών στόχων στη διαδικασία του Ευρωπαϊκού Εξαμήνου με την ανάπτυξη του κοινωνικού πίνακα αποτελεσμάτων και την πρόσφατη ενσωμάτωση σε αυτή του πλαισίου κοινωνικής σύγκλισης· λαμβάνοντας υπόψη ότι η φθινοπωρινή δέσμη μέτρων του 2026 παρουσιάστηκε χωρίς να έχει προηγηθεί ετήσια έρευνα για τη βιώσιμη ανάπτυξη που να καθορίζει μια ολιστική και ισορροπημένη στρατηγική για την οικονομία, την κοινωνία και την απασχόληση της Ένωσης, καθώς και για το περιβάλλον, και να εδραιώνει το Ευρωπαϊκό Εξάμηνο σε ένα ευρύ όραμα βιώσιμης ανάπτυξης για την Ένωση· λαμβάνοντας υπόψη ότι η ΕΕ πρέπει να παραμείνει προσηλωμένη στην ανταγωνιστικότητα, τη βιωσιμότητα και την κοινωνική δικαιοσύνη, χωρίς να επιτρέπει την επιδίωξη ενός στόχου εις βάρος των άλλων·</w:t>
      </w:r>
    </w:p>
    <w:p w14:paraId="008E8E63" w14:textId="77777777" w:rsidR="00671F6D" w:rsidRPr="005C37F5" w:rsidRDefault="00671F6D" w:rsidP="00671F6D">
      <w:pPr>
        <w:pStyle w:val="NormalHanging"/>
      </w:pPr>
      <w:r w:rsidRPr="005C37F5">
        <w:t>Γ.</w:t>
      </w:r>
      <w:r w:rsidRPr="005C37F5">
        <w:tab/>
        <w:t>λαμβάνοντας υπόψη ότι 93,3 εκατομμύρια άνθρωποι, ήτοι το 21 % του πληθυσμού της ΕΕ, αντιμετώπιζαν κίνδυνο φτώχειας ή κοινωνικού αποκλεισμού (AROPE) το 2024, γεγονός που δείχνει ότι έχει σημειωθεί μικρή πρόοδος στην επίτευξη του στόχου του ευρωπαϊκού πυλώνα κοινωνικών δικαιωμάτων για το 2030 όσον αφορά τη μείωση της φτώχειας, με περισσότερα από τα μισά κράτη μέλη να κινούνται προς την λάθος κατεύθυνση· λαμβάνοντας υπόψη ότι ο κίνδυνος φτώχειας είναι πολύ υψηλότερος για τις γυναίκες, τα παιδιά, τους ηλικιωμένους, τα άτομα με αναπηρία, την κοινότητα ΛΟΑΤΚΙ +, τα άτομα χαμηλής ειδίκευσης, τους υπηκόους τρίτων χωρών, τους Ρομά, τα μονογονεϊκά νοικοκυριά και τα άτομα που ζουν σε ερημωμένες περιοχές, και ότι εξακολουθούν να υπάρχουν σημαντικές αποκλίσεις μεταξύ και εντός των κρατών μελών, μεταξύ άλλων και μεταξύ αγροτικών και αστικών περιοχών· λαμβάνοντας υπόψη ότι αυτή η απόκλιση μεταξύ των αυξανόμενων μέσων εισοδημάτων και των επίμονων επιπέδων φτώχειας αναδεικνύει διαρθρωτικές προκλήσεις στην κατανομή του εισοδήματος, στις αγορές εργασίας και στον σχεδιασμό και την κάλυψη των συστημάτων κοινωνικής προστασίας· λαμβάνοντας υπόψη ότι περισσότερα από 40 εκατομμύρια άτομα στην ΕΕ, ήτοι περίπου το 9,2 % του πληθυσμού, βίωσαν ενεργειακή φτώχεια το 2024, με αποτέλεσμα την υλική στέρηση· λαμβάνοντας υπόψη ότι η ανεπαρκής κάλυψη και ανεπάρκεια των συστημάτων ελάχιστου εισοδήματος, των επιδομάτων ανεργίας και των οικογενειακών επιδομάτων και των επιδομάτων τέκνων, καθώς και τα εμπόδια στην ένταξη στην αγορά εργασίας αλλά και στην πρόσβαση σε ποιοτικές δημόσιες υπηρεσίες, όπως η υγεία, η εκπαίδευση, η φροντίδα και η στέγαση, συμβάλλουν στη διατήρηση της φτώχειας και του κοινωνικού αποκλεισμού, ιδίως μεταξύ των πλέον μειονεκτουσών ομάδων· λαμβάνοντας υπόψη ότι, χωρίς αλλαγή προσέγγισης όσον αφορά την αντιμετώπιση της φτώχειας σε ενωσιακό και εθνικό επίπεδο, δεν θα είναι δυνατή η αντιστροφή της τάσης που επικρατεί· λαμβάνοντας υπόψη ότι θα είναι απαραίτητη μια φιλόδοξη στρατηγική της ΕΕ για την καταπολέμηση της φτώχειας για την παροχή απαντήσεων στο πολυδιάστατο φαινόμενο της φτώχειας·</w:t>
      </w:r>
    </w:p>
    <w:p w14:paraId="77F90A9C" w14:textId="77777777" w:rsidR="00671F6D" w:rsidRPr="005C37F5" w:rsidRDefault="00671F6D" w:rsidP="00671F6D">
      <w:pPr>
        <w:pStyle w:val="NormalHanging"/>
      </w:pPr>
      <w:r w:rsidRPr="005C37F5">
        <w:t>Δ.</w:t>
      </w:r>
      <w:r w:rsidRPr="005C37F5">
        <w:tab/>
        <w:t xml:space="preserve">λαμβάνοντας υπόψη ότι ένα στα τέσσερα παιδιά, δηλαδή ποσοστό υψηλότερο από εκείνο του συνόλου του πληθυσμού, εξακολουθεί να διατρέχει κίνδυνο φτώχειας ή κοινωνικού αποκλεισμού στην Ευρωπαϊκή Ένωση· λαμβάνοντας υπόψη ότι δεν έχει σημειωθεί επαρκής πρόοδος προς την επίτευξη του στόχου της μείωσης του αριθμού των παιδιών που διατρέχουν κίνδυνο φτώχειας ή κοινωνικού αποκλεισμού κατά 5 εκατομμύρια έως το 2030, με το ποσοστό των παιδιών AROPE να αυξάνεται κάθε χρόνο μεταξύ 2019 και 2023 και να παραμένει σταθερά υψηλό· λαμβάνοντας υπόψη ότι, σύμφωνα με την πρόταση της Επιτροπής για κοινή έκθεση για την απασχόληση του 2026, το 2024 περίπου 19,5 εκατομμύρια παιδιά (24,2 %) αντιμετώπιζαν κίνδυνο φτώχειας ή κοινωνικού αποκλεισμού στην ΕΕ· λαμβάνοντας υπόψη ότι οι πολιτικές και οι υπηρεσίες προληπτικής στήριξης των παιδιών και της οικογένειας, σύμφωνα με την </w:t>
      </w:r>
      <w:r w:rsidRPr="005C37F5">
        <w:lastRenderedPageBreak/>
        <w:t>ευρωπαϊκή εγγύηση για τα παιδιά, είναι απαραίτητες για την αντιμετώπιση των κοινωνικοοικονομικών συνθηκών που ενδέχεται να οδηγήσουν σε χωρισμό της οικογένειας και ιδρυματοποίηση των παιδιών· λαμβάνοντας υπόψη ότι ένα ειδικό χρηματοδοτικό μέσο για την ευρωπαϊκή εγγύηση για τα παιδιά, καθώς και συνέργειες με άλλα ενωσιακά και εθνικά ταμεία, είναι υψίστης σημασίας, τόσο στο τρέχον όσο και στο επόμενο πολυετές δημοσιονομικό πλαίσιο· λαμβάνοντας υπόψη ότι, σύμφωνα με την Επιτροπή, η ΕΕ πρέπει να επενδύσει περισσότερα από 11 δισεκατομμύρια EUR επιπλέον ετησίως, προκειμένου να επιτευχθούν οι στόχοι της Βαρκελώνης του 2030 για την προσχολική εκπαίδευση και φροντίδα (ΠΕΦ)</w:t>
      </w:r>
      <w:r w:rsidRPr="005C37F5">
        <w:rPr>
          <w:vertAlign w:val="superscript"/>
        </w:rPr>
        <w:footnoteReference w:id="2"/>
      </w:r>
      <w:r w:rsidRPr="005C37F5">
        <w:t>· λαμβάνοντας υπόψη ότι τα παιδιά που μπορούν να επωφεληθούν περισσότερο από την προσχολική εκπαίδευση και φροντίδα (ΠΕΦ), όπως εκείνα που προέρχονται από μειονεκτούντα περιβάλλοντα, τείνουν να συμμετέχουν λιγότερο και εξακολουθούν να αντιμετωπίζουν εμπόδια στην πρόσβαση·</w:t>
      </w:r>
    </w:p>
    <w:p w14:paraId="2818E7AE" w14:textId="77777777" w:rsidR="00671F6D" w:rsidRPr="005C37F5" w:rsidRDefault="00671F6D" w:rsidP="00671F6D">
      <w:pPr>
        <w:pStyle w:val="NormalHanging"/>
      </w:pPr>
      <w:r w:rsidRPr="005C37F5">
        <w:t>Ε.</w:t>
      </w:r>
      <w:r w:rsidRPr="005C37F5">
        <w:tab/>
        <w:t xml:space="preserve">λαμβάνοντας υπόψη ότι εξακολουθούν να υπάρχουν τουλάχιστον 1,4 εκατομμύρια άτομα με αναπηρία και σχεδόν 300 000 παιδιά που ζουν σε ιδρύματα στην ΕΕ· λαμβάνοντας υπόψη ότι οι τρόφιμοι των ιδρυμάτων είναι απομονωμένοι από την ευρύτερη κοινότητα και δεν έχουν επαρκή έλεγχο της ζωής τους και των αποφάσεων που τους επηρεάζουν· λαμβάνοντας υπόψη ότι, παρόλο που η ΕΕ έχει προ πολλού αναλάβει δεσμεύσεις όσον αφορά τη διαδικασία αποϊδρυματοποίησης, εξακολουθούν να απαιτούνται προσπάθειες τόσο σε ενωσιακό όσο και σε εθνικό επίπεδο ώστε οι ευάλωτες ομάδες να μπορούν να ζουν ανεξάρτητες σε οικογενειακό περιβάλλον ή περιβάλλον κοινότητας· </w:t>
      </w:r>
    </w:p>
    <w:p w14:paraId="5E7CB788" w14:textId="77777777" w:rsidR="00671F6D" w:rsidRPr="005C37F5" w:rsidRDefault="00671F6D" w:rsidP="00671F6D">
      <w:pPr>
        <w:pStyle w:val="NormalHanging"/>
      </w:pPr>
      <w:r w:rsidRPr="005C37F5">
        <w:t>ΣΤ.</w:t>
      </w:r>
      <w:r w:rsidRPr="005C37F5">
        <w:tab/>
        <w:t>λαμβάνοντας υπόψη ότι 1 στους 12 εργαζομένους (8,2 %) στην ΕΕ βίωσαν φτώχεια των εργαζομένων το 2024, γεγονός που υπονομεύει την κοινωνική συνοχή και υπογραμμίζει ότι η απασχόληση από μόνη της δεν παρέχει πλήρη προστασία από τη φτώχεια ούτε οδηγεί σε καλύτερες συνθήκες διαβίωσης λόγω του αυξανόμενου κόστους ζωής και της μειωμένης αγοραστικής δύναμης· λαμβάνοντας υπόψη ότι οι πρόσφατες αυξήσεις των νόμιμων κατώτατων μισθών, συχνά πάνω από 20 % μεταξύ 2022 και 2025 και πάνω από 40 % σε αρκετά κράτη μέλη, συνέβαλαν στην προστασία της αγοραστικής δύναμης των χαμηλόμισθων εργαζομένων και στήριξαν την αύξηση των μισθών σε χαμηλά αμειβόμενους τομείς· λαμβάνοντας υπόψη ότι, παρά το γεγονός ότι οι πραγματικοί μισθοί έχουν υπερβεί τα προ της πανδημίας επίπεδα στα περισσότερα κράτη μέλη, αρκετές μεγάλες οικονομίες δεν έχουν ακόμη επανέλθει στα επίπεδα αυτά·</w:t>
      </w:r>
    </w:p>
    <w:p w14:paraId="7199B485" w14:textId="77777777" w:rsidR="00671F6D" w:rsidRPr="005C37F5" w:rsidRDefault="00671F6D" w:rsidP="00671F6D">
      <w:pPr>
        <w:pStyle w:val="NormalHanging"/>
      </w:pPr>
      <w:r w:rsidRPr="005C37F5">
        <w:t>Ζ.</w:t>
      </w:r>
      <w:r w:rsidRPr="005C37F5">
        <w:tab/>
        <w:t xml:space="preserve">λαμβάνοντας υπόψη ότι η κλιματική αλλαγή έχει επιδεινώσει τις ανισότητες και έχει επηρεάσει ιδιαίτερα τις πλέον ευάλωτες ομάδες, οι οποίες τείνουν να είναι περισσότερο εκτεθειμένες σε περιβαλλοντικούς κινδύνους, όπως οι υψηλές θερμοκρασίες, με αποτέλεσμα χαμηλότερα πρότυπα ποιότητας της εργασίας, απώλεια παραγωγικότητας και μεγαλύτερη εργασιακή ανασφάλεια· λαμβάνοντας υπόψη ότι η μετάβαση προς την κλιματική ουδετερότητα πρέπει να είναι κοινωνικά δίκαιη και χωρίς αποκλεισμούς για όλους και αναμένεται να δημιουργήσει από 1 έως 2,5 εκατομμύρια πρόσθετες θέσεις εργασίας έως το 2030, εάν υποστηριχθεί από τις κατάλληλες πολιτικές απασχόλησης και εκπαίδευσης· λαμβάνοντας υπόψη ότι τα ισχυρά και επαρκώς χρηματοδοτούμενα συστήματα κοινωνικής προστασίας αλλά και οι πολιτικές δημιουργίας ποιοτικών </w:t>
      </w:r>
      <w:r w:rsidRPr="005C37F5">
        <w:lastRenderedPageBreak/>
        <w:t xml:space="preserve">θέσεων εργασίας αποτελούν προϋπόθεση για τη διασφάλιση δίκαιης και ισότιμης μετάβασης προς την κλιματική ουδετερότητα και τον ψηφιακό μετασχηματισμό· </w:t>
      </w:r>
    </w:p>
    <w:p w14:paraId="30AF4389" w14:textId="77777777" w:rsidR="00671F6D" w:rsidRPr="005C37F5" w:rsidRDefault="00671F6D" w:rsidP="00671F6D">
      <w:pPr>
        <w:pStyle w:val="NormalHanging"/>
      </w:pPr>
      <w:r w:rsidRPr="005C37F5">
        <w:t>Η.</w:t>
      </w:r>
      <w:r w:rsidRPr="005C37F5">
        <w:tab/>
        <w:t>λαμβάνοντας υπόψη ότι η ΕΕ αντιμετωπίζει επίμονες ελλείψεις εργατικού δυναμικού και δεξιοτήτων σε διάφορους τομείς, οι οποίες οφείλονται σε διάφορους παράγοντες, όπως η δημογραφική και τεχνολογική αλλαγή, οι αναντιστοιχίες δεξιοτήτων, η ποιότητα των θέσεων εργασίας και η έλλειψη ελκυστικότητας και επενδύσεων σε ποιοτικές δημόσιες υπηρεσίες, γεγονός που έχει προσδιοριστεί ως βασικό εμπόδιο για την ανάπτυξη και την ανταγωνιστικότητα της ΕΕ· λαμβάνοντας υπόψη ότι οι περιορισμένες προοπτικές σταδιοδρομίας και οι επισφαλείς συνθήκες εργασίας των νέων σε περιοχές της Ένωσης συμβάλλουν στις εκροές ταλέντων μεταξύ των περιφερειών της ΕΕ και τρίτων χωρών, επιδεινώνοντας περαιτέρω αυτές τις ελλείψεις· λαμβάνοντας υπόψη ότι η πρόταση της Επιτροπής για κοινή έκθεση για την απασχόληση του 2026 επισημαίνει ότι η αντιμετώπιση των διαρθρωτικών αδυναμιών της αγοράς εργασίας μέσω της βελτίωσης της ποιότητας των θέσεων εργασίας στηρίζει την αύξηση της παραγωγικότητας, των οικονομικών επιδόσεων, της κοινωνικής δικαιοσύνης και της συνοχής· λαμβάνοντας υπόψη ότι η βελτίωση των δικαιωμάτων των εργαζομένων, οι συλλογικές διαπραγματεύσεις, οι ενεργητικές πολιτικές για την αγορά εργασίας, η πρόσβαση στην κοινωνική προστασία και οι ευκαιρίες ανάπτυξης δεξιοτήτων για όλους, συμπεριλαμβανομένων των υπηκόων τρίτων χωρών, καθώς και τα στοχευμένα μέτρα ενεργοποίησης για 51 εκατομμύρια άτομα σε ηλικία εργασίας που επί του παρόντος δεν αποτελούν μέρος του εργατικού δυναμικού, θα συμβάλουν στην ενίσχυση της συμμετοχής, της συμπερίληψης και της ανταγωνιστικότητας· λαμβάνοντας υπόψη ότι, έως το 2050, ο ενεργός πληθυσμός της ΕΕ αναμένεται να συρρικνωθεί κατά έως και 18,8 εκατομμύρια άτομα, γεγονός που υποδηλώνει ότι η νόμιμη μετανάστευση εργατικού δυναμικού μπορεί να συμβάλει στην αντιμετώπιση των εξελισσόμενων αναγκών της αγοράς εργασίας·</w:t>
      </w:r>
    </w:p>
    <w:p w14:paraId="4EBEA3EE" w14:textId="77777777" w:rsidR="00671F6D" w:rsidRPr="005C37F5" w:rsidRDefault="00671F6D" w:rsidP="00671F6D">
      <w:pPr>
        <w:pStyle w:val="NormalHanging"/>
      </w:pPr>
      <w:r w:rsidRPr="005C37F5">
        <w:t>Θ.</w:t>
      </w:r>
      <w:r w:rsidRPr="005C37F5">
        <w:tab/>
        <w:t>λαμβάνοντας υπόψη ότι το 2022, το ποσοστό συμμετοχής των ενηλίκων στη μάθηση ανήλθε σε 39,5 %, γεγονός που υποδηλώνει ότι απαιτούνται περισσότερες προσπάθειες στα περισσότερα κράτη μέλη για την επίτευξη του στόχου συμμετοχής του 60 % των ενηλίκων στην εκπαίδευση και την κατάρτιση έως το 2030· λαμβάνοντας υπόψη ότι η ολοκληρωμένη προσέγγιση για τον συντονισμό των πολιτικών εντός του Ευρωπαϊκού Εξαμήνου παρέχει το πλαίσιο για την καθοδήγηση των απαραίτητων επενδύσεων στην ανάπτυξη του ανθρώπινου κεφαλαίου και στα συστήματα εκπαίδευσης και κατάρτισης· λαμβάνοντας υπόψη ότι απαιτούνται περαιτέρω ουσιαστικές προσπάθειες για να διασφαλιστεί, ιδίως για τους εργαζομένους σε επαγγέλματα χαμηλότερης ειδίκευσης, η παροχή ποιοτικών πολιτικών κατάρτισης, καθώς και η πρόσβαση σε αυτές τις πολιτικές, οι οποίες προωθούν τη δια βίου μάθηση και ενισχύουν την ανταγωνιστικότητα, την ανθεκτικότητα και τη συμπεριληπτικότητα του εργατικού δυναμικού της ΕΕ· λαμβάνοντας υπόψη ότι οι δημόσιες δαπάνες από μόνες τους ενδέχεται να μην ανταποκρίνονται στην κλίμακα των αναγκών αναβάθμισης των δεξιοτήτων και επανειδίκευσης ενόψει των μετασχηματιστικών προκλήσεων που αντιμετωπίζει η ΕΕ· λαμβάνοντας υπόψη ότι το 2022 η μέση βαθμολογία για τις βασικές δεξιότητες ατόμων ηλικίας 15 ετών στο Πρόγραμμα Διεθνούς Αξιολόγησης Μαθητών (PISA) μειώθηκε σε σύγκριση με το 2018, με τους μειονεκτούντες μαθητές να σημειώνουν δυσανάλογα χαμηλές επιδόσεις, γεγονός που αναδεικνύει την ανάγκη για μεταρρυθμίσεις και συνεχείς επενδύσεις στην εκπαίδευση και την κατάρτιση για τη στήριξη των μελλοντικών γενεών και της μετάβασής τους από την εκπαίδευση στην εργασία·</w:t>
      </w:r>
    </w:p>
    <w:p w14:paraId="02A3AE0B" w14:textId="77777777" w:rsidR="00671F6D" w:rsidRPr="005C37F5" w:rsidRDefault="00671F6D" w:rsidP="00671F6D">
      <w:pPr>
        <w:pStyle w:val="NormalHanging"/>
      </w:pPr>
      <w:r w:rsidRPr="005C37F5">
        <w:lastRenderedPageBreak/>
        <w:t>Ι.</w:t>
      </w:r>
      <w:r w:rsidRPr="005C37F5">
        <w:tab/>
        <w:t>λαμβάνοντας υπόψη ότι οι πρόσθετες επενδυτικές ανάγκες σε κοινωνικές υποδομές εκτιμώνται σε 192 δισεκατομμύρια EUR ετησίως, μεταξύ άλλων στους τομείς της οικονομικά προσιτής στέγασης, της υγείας και της μακροχρόνιας φροντίδας, της εκπαίδευσης και της διά βίου κατάρτισης</w:t>
      </w:r>
      <w:r w:rsidRPr="005C37F5">
        <w:rPr>
          <w:vertAlign w:val="superscript"/>
        </w:rPr>
        <w:footnoteReference w:id="3"/>
      </w:r>
      <w:r w:rsidRPr="005C37F5">
        <w:t>· λαμβάνοντας υπόψη ότι πρέπει να δοθεί αξία στην οικονομική απόδοση των κοινωνικών επενδύσεων, ιδίως των δημόσιων δαπανών για τα παιδιά και τους νέους, οι οποίες όχι μόνο βελτιώνουν το βιοτικό επίπεδο και μειώνουν τη φτώχεια, αλλά αποτελούν επίσης βασικούς μοχλούς βιώσιμης και χωρίς αποκλεισμούς οικονομικής ανάπτυξης, υψηλότερης παραγωγικότητας και αυξημένων ποσοστών απασχόλησης· λαμβάνοντας υπόψη ότι οι ανεπαρκείς επενδύσεις στην εκπαίδευση και την έρευνα αποδυναμώνουν τις μακροπρόθεσμες προοπτικές ανάπτυξης· λαμβάνοντας υπόψη ότι, για τα παιδιά, οι κοινωνικές επενδύσεις αποτελούν επένδυση στο μέλλον, η οποία οδηγεί σε καλύτερες προοπτικές εκπαίδευσης και απασχόλησης, γεγονός που με τη σειρά του ενισχύει τους οικονομικούς δείκτες· λαμβάνοντας υπόψη ότι απαιτούνται περαιτέρω προσπάθειες για την αξιολόγηση του χάσματος στις κοινωνικές επενδύσεις μετά την ανάκαμψη στην ΕΕ, καθώς και των επενδύσεων σε κοινωνικές υπηρεσίες, της κάλυψής τους και του οικονομικού τους αντίκτυπου· λαμβάνοντας υπόψη ότι η ανάπτυξη κοινών δεικτών δεδομένων σχετικά με τις δαπάνες και την κάλυψη των κοινωνικών υπηρεσιών, όπως ο ευρωπαϊκός δείκτης κοινωνικών υπηρεσιών, θα ενισχύσει τις τεκμηριωμένες συστάσεις και την αποτελεσματική παρακολούθηση της εφαρμογής τους στο πλαίσιο του Ευρωπαϊκού Εξαμήνου·</w:t>
      </w:r>
    </w:p>
    <w:p w14:paraId="5C588189" w14:textId="77777777" w:rsidR="00671F6D" w:rsidRPr="005C37F5" w:rsidRDefault="00671F6D" w:rsidP="00671F6D">
      <w:pPr>
        <w:pStyle w:val="NormalHanging"/>
      </w:pPr>
      <w:r w:rsidRPr="005C37F5">
        <w:t>ΙΑ.</w:t>
      </w:r>
      <w:r w:rsidRPr="005C37F5">
        <w:tab/>
        <w:t>λαμβάνοντας υπόψη ότι οι πιέσεις από το κόστος στέγασης και οι υψηλές τιμές της ενέργειας επιβαρύνουν σημαντικά τα νοικοκυριά, ωστόσο η στεγαστική πολιτική συχνά υποεκπροσωπείται στις ειδικές ανά χώρα συστάσεις, παρά τη μακροοικονομική της σημασία τον κεντρικό ρόλο της στην εισοδηματική ασφάλεια, την κοινωνική ένταξη και την ανθεκτικότητα ως προς το κόστος ζωής· λαμβάνοντας υπόψη ότι οι επενδύσεις σε κοινωνικές υπηρεσίες και η αύξηση της προσφοράς κατοικιών, συμπεριλαμβανομένης της κοινωνικής και οικονομικά προσιτής στέγασης, καθώς και στην ενεργειακή απόδοση, την ανακαίνιση κτιρίων και την αντιμετώπιση των ελλείψεων δεξιοτήτων διαδραματίζουν καίριο ρόλο στη μείωση της φτώχειας, συμπεριλαμβανομένης της ενεργειακής φτώχειας, και στη βελτίωση της οικονομικής προσιτότητας·</w:t>
      </w:r>
    </w:p>
    <w:p w14:paraId="4A6E3EAF" w14:textId="77777777" w:rsidR="00671F6D" w:rsidRPr="005C37F5" w:rsidRDefault="00671F6D" w:rsidP="00671F6D">
      <w:pPr>
        <w:pStyle w:val="NormalHanging"/>
      </w:pPr>
      <w:r w:rsidRPr="005C37F5">
        <w:t>ΙΒ.</w:t>
      </w:r>
      <w:r w:rsidRPr="005C37F5">
        <w:tab/>
        <w:t>λαμβάνοντας υπόψη ότι το μισθολογικό χάσμα μεταξύ των φύλων στην ΕΕ ανέρχεται επί του παρόντος στο 12 %, λόγω, μεταξύ άλλων παραγόντων, του δυσανάλογου μεριδίου των οικιακών ευθυνών και των ευθυνών φροντίδας των παιδιών που επωμίζονται οι γυναίκες και της συνεχιζόμενης υποτίμησης των επαγγελμάτων στα οποία κυριαρχούν οι γυναίκες· λαμβάνοντας υπόψη ότι οι γυναίκες αντιμετωπίζουν υψηλότερο κίνδυνο φτώχειας, ιδίως σε μεγαλύτερη ηλικία, με το συνταξιοδοτικό χάσμα μεταξύ των φύλων να ανέρχεται επί του παρόντος στο 25 %</w:t>
      </w:r>
      <w:r w:rsidRPr="005C37F5">
        <w:rPr>
          <w:vertAlign w:val="superscript"/>
        </w:rPr>
        <w:footnoteReference w:id="4"/>
      </w:r>
      <w:r w:rsidRPr="005C37F5">
        <w:t>·</w:t>
      </w:r>
    </w:p>
    <w:p w14:paraId="0267AF39" w14:textId="30D53C8D" w:rsidR="00671F6D" w:rsidRPr="005C37F5" w:rsidRDefault="00BD4943" w:rsidP="00BD4943">
      <w:pPr>
        <w:pStyle w:val="NormalHanging12a"/>
        <w:ind w:left="567" w:hanging="570"/>
      </w:pPr>
      <w:r w:rsidRPr="005C37F5">
        <w:lastRenderedPageBreak/>
        <w:t>1.</w:t>
      </w:r>
      <w:r w:rsidRPr="005C37F5">
        <w:tab/>
      </w:r>
      <w:r w:rsidR="00671F6D" w:rsidRPr="005C37F5">
        <w:t xml:space="preserve">τονίζει το ανταγωνιστικό πλεονέκτημα των επενδύσεων στο κοινωνικό μοντέλο της ΕΕ· ζητεί να ενσωματωθούν στη διαδικασία του Ευρωπαϊκού Εξαμήνου οι συστάσεις της ομάδας υψηλού επιπέδου για το μέλλον της κοινωνικής προστασίας και του κράτους πρόνοιας, καθώς και οι συστάσεις των εκθέσεων Letta και Draghi προκειμένου να προστατευθεί και να ενισχυθεί η κοινωνική οικονομία της αγοράς της ΕΕ· τονίζει την ανάγκη για μια ισορροπημένη προσέγγιση που θα στηρίζει τόσο τα κοινωνικά δικαιώματα, τις δημόσιες υπηρεσίες και τις δομές συλλογικών διαπραγματεύσεων όσο και την ανταγωνιστικότητα· εκφράζει την ικανοποίησή του για την ενσωμάτωση του ευρωπαϊκού πυλώνα κοινωνικών δικαιωμάτων στο πλαίσιο οικονομικής διακυβέρνησης και καλεί τα κράτη μέλη να αξιοποιήσουν τη δυνατότητα παράτασης της περιόδου προσαρμογής για να επενδύσουν στις προτεραιότητες του ευρωπαϊκού πυλώνα κοινωνικών δικαιωμάτων· ζητεί το ολοκληρωμένο πλαίσιο διακυβέρνησης να αποτυπώνεται στις εσωτερικές διαδικασίες των θεσμικών οργάνων της ΕΕ με την ισότιμη συμμετοχή των οικονομικών και κοινωνικών φορέων· </w:t>
      </w:r>
    </w:p>
    <w:p w14:paraId="5EB9C38B" w14:textId="3ED5F2ED" w:rsidR="00671F6D" w:rsidRPr="005C37F5" w:rsidRDefault="00BD4943" w:rsidP="00BD4943">
      <w:pPr>
        <w:pStyle w:val="NormalHanging12a"/>
        <w:ind w:left="567" w:hanging="570"/>
      </w:pPr>
      <w:r w:rsidRPr="005C37F5">
        <w:t>2.</w:t>
      </w:r>
      <w:r w:rsidRPr="005C37F5">
        <w:tab/>
      </w:r>
      <w:r w:rsidR="00671F6D" w:rsidRPr="005C37F5">
        <w:t xml:space="preserve">προτρέπει την Επιτροπή και τα κράτη μέλη να εφαρμόσουν πλήρως τον ευρωπαϊκό πυλώνα κοινωνικών δικαιωμάτων· τονίζει ότι το επικαιροποιημένο σχέδιο δράσης του ευρωπαϊκού πυλώνα κοινωνικών δικαιωμάτων πρέπει να μετουσιώσει τις πολιτικές δεσμεύσεις σε συγκεκριμένα και φιλόδοξα μέτρα, υποστηριζόμενα από σαφείς, μετρήσιμους στόχους και ισχυρούς δείκτες παρακολούθησης, προκειμένου να αντιμετωπιστούν αποτελεσματικά η φτώχεια και ο κοινωνικός αποκλεισμός και να στηριχθούν οι εργαζόμενοι στη διαχείριση της πράσινης και της ψηφιακής μετάβασης, ιδίως όσον αφορά τις δεξιότητες, την επαγγελματική εκπαίδευση και κατάρτιση και τη διά βίου μάθηση· ζητεί οι στόχοι του σχεδίου δράσης για τον ευρωπαϊκό πυλώνα κοινωνικών δικαιωμάτων να ενσωματωθούν στον πυρήνα του Ευρωπαϊκού Εξαμήνου, καθιστώντας τους σημεία αναφοράς στις αξιολογήσεις του Ευρωπαϊκού Εξαμήνου· σημειώνει ότι η πρόταση της Επιτροπής για κοινή έκθεση του 2026 για την απασχόληση επικεντρώνεται σε μεγάλο βαθμό στις ελλείψεις δεξιοτήτων και εργατικού δυναμικού και δεν περιλαμβάνει ολοκληρωμένη αξιολόγηση της εφαρμογής των 20 αρχών του ευρωπαϊκού πυλώνα κοινωνικών δικαιωμάτων, όπως προβλέπεται από τον κανονισμό (ΕΕ) 2024/1263· καλεί την Επιτροπή να διασφαλίσει ότι όλες οι αρχές του ευρωπαϊκού πυλώνα κοινωνικών δικαιωμάτων θα εξεταστούν στο μέλλον, ώστε να διασφαλιστεί μια ακριβής και πλήρης εικόνα της κοινωνικής κατάστασης στην ΕΕ· </w:t>
      </w:r>
    </w:p>
    <w:p w14:paraId="178FA14A" w14:textId="7D3D96FA" w:rsidR="00671F6D" w:rsidRDefault="00BD4943" w:rsidP="00BD4943">
      <w:pPr>
        <w:pStyle w:val="NormalHanging12a"/>
        <w:ind w:left="567" w:hanging="570"/>
      </w:pPr>
      <w:r>
        <w:t>3.</w:t>
      </w:r>
      <w:r>
        <w:tab/>
      </w:r>
      <w:r w:rsidR="00671F6D" w:rsidRPr="005C37F5">
        <w:t xml:space="preserve">επικροτεί τη φιλοδοξία της Επιτροπής να εξαλείψει τη φτώχεια έως το 2050, το ευρωπαϊκό της σχέδιο για οικονομικά προσιτή στέγαση, καθώς και την πρόθεσή της να προτείνει μια νομοθετική πράξη για ποιοτικές θέσεις εργασίας· επικροτεί, επίσης, την πρώτη στρατηγική της ΕΕ για την καταπολέμηση της φτώχειας και την ενίσχυση της ευρωπαϊκής εγγύησης για τα παιδιά· τονίζει την ανάγκη συνοχής μεταξύ του Ευρωπαϊκού Εξαμήνου, της παρακολούθησης του σχεδίου δράσης για τον ευρωπαϊκό πυλώνα κοινωνικών δικαιωμάτων και των εν λόγω επικείμενων μέσων, με μετρήσιμους στόχους και αντίστοιχες ανά χώρα συστάσεις· </w:t>
      </w:r>
    </w:p>
    <w:p w14:paraId="33981096" w14:textId="14D65312" w:rsidR="001F46D2" w:rsidRPr="005C37F5" w:rsidRDefault="00BD4943" w:rsidP="00BD4943">
      <w:pPr>
        <w:pStyle w:val="NormalHanging12a"/>
        <w:ind w:left="567" w:hanging="570"/>
      </w:pPr>
      <w:r w:rsidRPr="005C37F5">
        <w:t>4.</w:t>
      </w:r>
      <w:r w:rsidRPr="005C37F5">
        <w:tab/>
      </w:r>
      <w:r w:rsidR="001F46D2" w:rsidRPr="001F46D2">
        <w:t xml:space="preserve">υπενθυμίζει τη δέσμευση της Προέδρου της Επιτροπής </w:t>
      </w:r>
      <w:proofErr w:type="spellStart"/>
      <w:r w:rsidR="001F46D2" w:rsidRPr="001F46D2">
        <w:t>Ursula</w:t>
      </w:r>
      <w:proofErr w:type="spellEnd"/>
      <w:r w:rsidR="001F46D2" w:rsidRPr="001F46D2">
        <w:t xml:space="preserve"> </w:t>
      </w:r>
      <w:proofErr w:type="spellStart"/>
      <w:r w:rsidR="001F46D2" w:rsidRPr="001F46D2">
        <w:t>von</w:t>
      </w:r>
      <w:proofErr w:type="spellEnd"/>
      <w:r w:rsidR="001F46D2" w:rsidRPr="001F46D2">
        <w:t xml:space="preserve"> </w:t>
      </w:r>
      <w:proofErr w:type="spellStart"/>
      <w:r w:rsidR="001F46D2" w:rsidRPr="001F46D2">
        <w:t>der</w:t>
      </w:r>
      <w:proofErr w:type="spellEnd"/>
      <w:r w:rsidR="001F46D2" w:rsidRPr="001F46D2">
        <w:t xml:space="preserve"> </w:t>
      </w:r>
      <w:proofErr w:type="spellStart"/>
      <w:r w:rsidR="001F46D2" w:rsidRPr="001F46D2">
        <w:t>Leyen</w:t>
      </w:r>
      <w:proofErr w:type="spellEnd"/>
      <w:r w:rsidR="001F46D2" w:rsidRPr="001F46D2">
        <w:t>, το 2019, να διασφαλίσει ότι κάθε παιδί στην Ευρώπη που διατρέχει κίνδυνο φτώχειας ή κοινωνικού αποκλεισμού έχει πρόσβαση στα πλέον βασικά δικαιώματα, όπως η υγειονομική περίθαλψη και η εκπαίδευση, την οποία ακολούθησε η έγκριση της σύστασης (ΕΕ) 2021/1004 του Συμβουλίου της 14ης Ιουνίου 2021 για τη θέσπιση ευρωπαϊκής εγγύησης για τα παιδιά</w:t>
      </w:r>
      <w:r w:rsidR="001F46D2">
        <w:rPr>
          <w:rStyle w:val="FootnoteReference"/>
        </w:rPr>
        <w:footnoteReference w:id="5"/>
      </w:r>
      <w:r w:rsidR="001F46D2" w:rsidRPr="001F46D2">
        <w:t xml:space="preserve">· τονίζει ότι οι στόχοι της ευρωπαϊκής εγγύησης για </w:t>
      </w:r>
      <w:r w:rsidR="001F46D2" w:rsidRPr="001F46D2">
        <w:lastRenderedPageBreak/>
        <w:t>τα παιδιά δεν μπορούν να επιτευχθούν χωρίς έναν φιλόδοξο ειδικό προϋπολογισμό τόσο σε ενωσιακό όσο και σε εθνικό επίπεδο· επαναλαμβάνει, στο πλαίσιο αυτό, την έκκλησή του για σημαντικό ειδικό προϋπολογισμό ύψους τουλάχιστον 20</w:t>
      </w:r>
      <w:r w:rsidR="001F46D2">
        <w:t> </w:t>
      </w:r>
      <w:r w:rsidR="001F46D2" w:rsidRPr="001F46D2">
        <w:t>δισεκατομμυρίων</w:t>
      </w:r>
      <w:r w:rsidR="001F46D2">
        <w:t> </w:t>
      </w:r>
      <w:r w:rsidR="001F46D2" w:rsidRPr="001F46D2">
        <w:t>EUR για την ευρωπαϊκή εγγύηση για τα παιδιά· υπογραμμίζει την επείγουσα ανάγκη αυτός ο ειδικός προϋπολογισμός να διατεθεί στο επόμενο πολυετές δημοσιονομικό πλαίσιο, προκειμένου να ανταποκριθεί στην αυξανόμενη πρόκληση της παιδικής φτώχειας και του κοινωνικού αποκλεισμού·</w:t>
      </w:r>
    </w:p>
    <w:p w14:paraId="7C2B4CAD" w14:textId="1317D86C" w:rsidR="00671F6D" w:rsidRPr="005C37F5" w:rsidRDefault="00BD4943" w:rsidP="00BD4943">
      <w:pPr>
        <w:pStyle w:val="NormalHanging12a"/>
        <w:ind w:left="567" w:hanging="570"/>
      </w:pPr>
      <w:r w:rsidRPr="005C37F5">
        <w:t>5.</w:t>
      </w:r>
      <w:r w:rsidRPr="005C37F5">
        <w:tab/>
      </w:r>
      <w:r w:rsidR="00671F6D" w:rsidRPr="005C37F5">
        <w:t>τονίζει τη σημασία της εξάλειψης της παιδικής φτώχειας και του κοινωνικού αποκλεισμού προκειμένου να σπάσουν οι διαγενεακοί κύκλοι· εκφράζει την ικανοποίησή του για τη συμπερίληψη αξιολόγησης της εφαρμογής της ευρωπαϊκής εγγύησης για τα παιδιά σε όλες τις εκθέσεις ανά χώρα στην εαρινή δέσμη μέτρων του 2025 και ενθαρρύνει τη συνεχή παρακολούθηση της προόδου στο πλαίσιο του Ευρωπαϊκού Εξαμήνου· εκφράζει, ωστόσο, τη λύπη του για την έλλειψη συνέχειας στα πορίσματα αυτά, καθώς μόνο δύο ειδικές ανά χώρα συστάσεις το 2025 ζητούσαν την ανάληψη δράσης για την αντιμετώπιση της παιδικής φτώχειας· θεωρεί ότι οι ειδικές ανά χώρα συστάσεις θα πρέπει να αντικατοπτρίζουν τη δημοσιονομική συμμόρφωση των κρατών μελών με τις ελάχιστες απαιτήσεις κατανομής για την αντιμετώπιση της παιδικής φτώχειας που ορίζονται στον κανονισμό ΕΚΤ +</w:t>
      </w:r>
      <w:r w:rsidR="00671F6D" w:rsidRPr="005C37F5">
        <w:rPr>
          <w:vertAlign w:val="superscript"/>
        </w:rPr>
        <w:footnoteReference w:id="6"/>
      </w:r>
      <w:r w:rsidR="00671F6D" w:rsidRPr="005C37F5">
        <w:t xml:space="preserve">· </w:t>
      </w:r>
    </w:p>
    <w:p w14:paraId="24297CEA" w14:textId="1284FE2E" w:rsidR="00671F6D" w:rsidRPr="005C37F5" w:rsidRDefault="00BD4943" w:rsidP="00BD4943">
      <w:pPr>
        <w:pStyle w:val="NormalHanging12a"/>
        <w:ind w:left="567" w:hanging="570"/>
      </w:pPr>
      <w:r w:rsidRPr="005C37F5">
        <w:t>6.</w:t>
      </w:r>
      <w:r w:rsidRPr="005C37F5">
        <w:tab/>
      </w:r>
      <w:r w:rsidR="00671F6D" w:rsidRPr="005C37F5">
        <w:t>επαναλαμβάνει την έκκλησή του για αύξηση της χρηματοδότησης της ευρωπαϊκής εγγύησης για τα παιδιά με</w:t>
      </w:r>
      <w:r w:rsidR="001F46D2">
        <w:t xml:space="preserve"> σημαντικό</w:t>
      </w:r>
      <w:r w:rsidR="00671F6D" w:rsidRPr="005C37F5">
        <w:t xml:space="preserve"> ειδικό προϋπολογισμό και ζητεί από τα κράτη μέλη να διαθέσουν τουλάχιστον το 5 % των κονδυλίων του ΕΚΤ + που τους έχουν διατεθεί για την καταπολέμηση της παιδικής φτώχειας και την προώθηση της ευημερίας των παιδιών, με τουλάχιστον το 10 % να προορίζεται για κράτη μέλη με επίπεδα παιδικής φτώχειας που υπερβαίνουν τον μέσο όρο της ΕΕ·</w:t>
      </w:r>
    </w:p>
    <w:p w14:paraId="66A9DE6B" w14:textId="442D222D" w:rsidR="00671F6D" w:rsidRDefault="00BD4943" w:rsidP="00BD4943">
      <w:pPr>
        <w:pStyle w:val="NormalHanging12a"/>
        <w:ind w:left="567" w:hanging="570"/>
      </w:pPr>
      <w:r>
        <w:t>7.</w:t>
      </w:r>
      <w:r>
        <w:tab/>
      </w:r>
      <w:r w:rsidR="00671F6D" w:rsidRPr="005C37F5">
        <w:t>εκφράζει την ανησυχία του για το ποσοστό ανεργίας των νέων, το οποίο παραμένει υπερδιπλάσιο από το συνολικό ποσοστό ανεργίας στην ΕΕ· τονίζει ότι, για τους νέους, είναι σημαντικό να συμπληρωθούν τα μέτρα ενεργοποίησης της απασχόλησης με συνεχή στήριξη, μεταξύ άλλων με πρόσβαση σε ολοκληρωμένες κοινωνικές υπηρεσίες, στέγαση και υπηρεσίες ψυχικής υγείας, ώστε να διασφαλιστεί η συνεχής συμμετοχή τους στην εκπαίδευση ή την απασχόληση· τονίζει την ανάγκη να επενδύσουν τα κράτη μέλη στις ενισχυμένες εγγυήσεις για τη νεολαία, προκειμένου να διασφαλιστεί η ποιοτική και έγκαιρη στήριξη όλων των νέων κάτω των 30 ετών που δεν συμμετέχουν στην εκπαίδευση, την απασχόληση ή την κατάρτιση (ΕΑΕΚ)· παροτρύνει τα κράτη μέλη να ενισχύσουν την εφαρμογή των ενισχυμένων «Εγγυήσεων για τη Νεολαία» ως εργαλείο για τη στήριξη των ατόμων που εγκαταλείπουν την περίθαλψη αλλά και για την πρόληψη του φαινομένου της απότομης λήξης των παροχών φροντίδας («</w:t>
      </w:r>
      <w:proofErr w:type="spellStart"/>
      <w:r w:rsidR="00671F6D" w:rsidRPr="005C37F5">
        <w:t>care</w:t>
      </w:r>
      <w:proofErr w:type="spellEnd"/>
      <w:r w:rsidR="00671F6D" w:rsidRPr="005C37F5">
        <w:t xml:space="preserve"> </w:t>
      </w:r>
      <w:proofErr w:type="spellStart"/>
      <w:r w:rsidR="00671F6D" w:rsidRPr="005C37F5">
        <w:t>cliff</w:t>
      </w:r>
      <w:proofErr w:type="spellEnd"/>
      <w:r w:rsidR="00671F6D" w:rsidRPr="005C37F5">
        <w:t xml:space="preserve">»), μεταξύ άλλων μέσω της πρόσβασης σε επαγγελματικό προσανατολισμό· </w:t>
      </w:r>
    </w:p>
    <w:p w14:paraId="25DF3C9E" w14:textId="7FD5B27B" w:rsidR="001F46D2" w:rsidRPr="005C37F5" w:rsidRDefault="00BD4943" w:rsidP="00BD4943">
      <w:pPr>
        <w:pStyle w:val="NormalHanging12a"/>
        <w:ind w:left="567" w:hanging="570"/>
      </w:pPr>
      <w:r w:rsidRPr="005C37F5">
        <w:t>8.</w:t>
      </w:r>
      <w:r w:rsidRPr="005C37F5">
        <w:tab/>
      </w:r>
      <w:r w:rsidR="001F46D2" w:rsidRPr="001F46D2">
        <w:t xml:space="preserve">καλεί την Επιτροπή και τα κράτη μέλη, στο πλαίσιο του Ευρωπαϊκού Εξαμήνου, να προωθήσουν τις ποιοτικές και δίκαια αμειβόμενες περιόδους πρακτικής άσκησης και να αποτρέψουν την κατάχρησή τους ως υποκατάστατου της κανονικής απασχόλησης· </w:t>
      </w:r>
      <w:r w:rsidR="001F46D2" w:rsidRPr="001F46D2">
        <w:lastRenderedPageBreak/>
        <w:t>ζητεί η επικείμενη οδηγία για τη βελτίωση των συνθηκών εργασίας</w:t>
      </w:r>
      <w:r w:rsidR="001F46D2">
        <w:rPr>
          <w:rStyle w:val="FootnoteReference"/>
        </w:rPr>
        <w:footnoteReference w:id="7"/>
      </w:r>
      <w:r w:rsidR="001F46D2" w:rsidRPr="001F46D2">
        <w:t xml:space="preserve"> να είναι φιλόδοξη και ολοκληρωμένη, διασφαλίζοντας την πλήρη προστασία των δικαιωμάτων των ασκουμένων, συμπεριλαμβανομένης της δυνατότητας τερματισμού της πρακτικής άσκησης χωρίς αρνητικές συνέπειες σε περίπτωση παραβίασης των θεμελιωδών δικαιωμάτων, και ζητεί την ταχεία ολοκλήρωση των διαπραγματεύσεων·</w:t>
      </w:r>
    </w:p>
    <w:p w14:paraId="1DC69EAB" w14:textId="7A1B2E8C" w:rsidR="00671F6D" w:rsidRPr="005C37F5" w:rsidRDefault="00BD4943" w:rsidP="00BD4943">
      <w:pPr>
        <w:pStyle w:val="NormalHanging12a"/>
        <w:ind w:left="567" w:hanging="570"/>
      </w:pPr>
      <w:r w:rsidRPr="005C37F5">
        <w:t>9.</w:t>
      </w:r>
      <w:r w:rsidRPr="005C37F5">
        <w:tab/>
      </w:r>
      <w:r w:rsidR="00671F6D" w:rsidRPr="005C37F5">
        <w:t>θεωρεί ότι απαιτείται δράση σε επίπεδο ΕΕ και κρατών μελών για την πρόληψη και την αντιμετώπιση των σταθερά υψηλών επιπέδων φτώχειας και κοινωνικού αποκλεισμού, και επικροτεί την ανακοίνωση της πρώτης στρατηγικής της ΕΕ για την καταπολέμηση της φτώχειας στο πλαίσιο αυτό· πιστεύει ότι η στρατηγική πρέπει να παρέχει μια ολοκληρωμένη προσέγγιση για την αντιμετώπιση των βαθύτερων αιτίων και των πολυδιάστατων πτυχών της φτώχειας και του κοινωνικού αποκλεισμού, με συγκεκριμένες δράσεις, ισχυρή χρηματοδότηση από τον προϋπολογισμό, σαφείς στόχους, ορόσημα και διαρθρωτικά μέτρα, διασφαλίζοντας παράλληλα ισχυρή εφαρμογή και παρακολούθηση· καλεί τα κράτη μέλη να εφαρμόσουν την οδηγία για επαρκείς κατώτατους μισθούς</w:t>
      </w:r>
      <w:r w:rsidR="00671F6D" w:rsidRPr="005C37F5">
        <w:rPr>
          <w:vertAlign w:val="superscript"/>
        </w:rPr>
        <w:footnoteReference w:id="8"/>
      </w:r>
      <w:r w:rsidR="00671F6D" w:rsidRPr="005C37F5">
        <w:t xml:space="preserve"> για την καταπολέμηση της φτώχειας των εργαζομένων και την παροχή κινήτρων για εργασία· ζητεί η καταπολέμηση της παιδικής φτώχειας να βρίσκεται στο επίκεντρο της σχετικής στρατηγικής της ΕΕ προκειμένου να σπάσει ο κύκλος της φτώχειας· παροτρύνει τα κράτη μέλη να εφαρμόσουν πλήρως τη σύσταση του Συμβουλίου σχετικά με το επαρκές ελάχιστο εισόδημα</w:t>
      </w:r>
      <w:r w:rsidR="00671F6D" w:rsidRPr="005C37F5">
        <w:rPr>
          <w:vertAlign w:val="superscript"/>
        </w:rPr>
        <w:footnoteReference w:id="9"/>
      </w:r>
      <w:r w:rsidR="00671F6D" w:rsidRPr="005C37F5">
        <w:t xml:space="preserve">· </w:t>
      </w:r>
    </w:p>
    <w:p w14:paraId="67C1B9E5" w14:textId="62C6A7AB" w:rsidR="00671F6D" w:rsidRPr="005C37F5" w:rsidRDefault="00BD4943" w:rsidP="00BD4943">
      <w:pPr>
        <w:pStyle w:val="NormalHanging12a"/>
        <w:ind w:left="567" w:hanging="570"/>
      </w:pPr>
      <w:r w:rsidRPr="005C37F5">
        <w:t>10.</w:t>
      </w:r>
      <w:r w:rsidRPr="005C37F5">
        <w:tab/>
      </w:r>
      <w:r w:rsidR="00671F6D" w:rsidRPr="005C37F5">
        <w:t>υπενθυμίζει ότι είναι σημαντικό να βελτιωθεί η πρόσβαση των αυτοαπασχολουμένων στην κοινωνική προστασία και καλεί την Επιτροπή να χρησιμοποιήσει τη διαδικασία του Ευρωπαϊκού Εξαμήνου για την παρακολούθηση της εφαρμογής σε εθνικό επίπεδο της σύστασης του Συμβουλίου σχετικά με την πρόσβαση στην κοινωνική προστασία για τους εργαζομένους και τους αυτοαπασχολούμενους</w:t>
      </w:r>
      <w:r w:rsidR="00671F6D" w:rsidRPr="005C37F5">
        <w:rPr>
          <w:rStyle w:val="FootnoteReference"/>
        </w:rPr>
        <w:footnoteReference w:id="10"/>
      </w:r>
      <w:r w:rsidR="00671F6D" w:rsidRPr="005C37F5">
        <w:t>, μεταξύ άλλων στο πλαίσιο των ειδικών ανά χώρα συστάσεων· υπενθυμίζει, δεδομένου ότι το ποσοστό των αυτοαπασχολούμενων επαγγελματιών στους τομείς του πολιτισμού και της δημιουργίας είναι υπερδιπλάσιο από ό,τι στον γενικό πληθυσμό, την ανάγκη για στοχευμένα μέτρα για τον εν λόγω τομέα· επικροτεί, στο πλαίσιο αυτό, την ανακοίνωση ενός Χάρτη Καλλιτεχνών της ΕΕ με στόχο να επισημανθούν οι βασικές θεμελιώδεις αρχές και δεσμεύσεις για δίκαιες συνθήκες εργασίας σε αυτόν τον τομέα, αλλά παροτρύνει την Επιτροπή να επισπεύσει τη δημοσίευσή του έως το 2026, καθώς πρόκειται για μακροχρόνια ζητήματα·</w:t>
      </w:r>
    </w:p>
    <w:p w14:paraId="0235E292" w14:textId="3CAA0D22" w:rsidR="00671F6D" w:rsidRPr="005C37F5" w:rsidRDefault="00BD4943" w:rsidP="00BD4943">
      <w:pPr>
        <w:pStyle w:val="NormalHanging12a"/>
        <w:ind w:left="567" w:hanging="570"/>
      </w:pPr>
      <w:r w:rsidRPr="005C37F5">
        <w:t>11.</w:t>
      </w:r>
      <w:r w:rsidRPr="005C37F5">
        <w:tab/>
      </w:r>
      <w:r w:rsidR="00671F6D" w:rsidRPr="005C37F5">
        <w:t xml:space="preserve">εκφράζει τη δυσαρέσκειά του για το γεγονός ότι οι στόχοι του στρατηγικού πλαισίου της ΕΕ για τους Ρομά δεν επιδιώκονται πιο ενεργά στα κράτη μέλη και δεν δίνεται </w:t>
      </w:r>
      <w:r w:rsidR="00671F6D" w:rsidRPr="005C37F5">
        <w:lastRenderedPageBreak/>
        <w:t>μεγαλύτερη προσοχή στη διαδικασία του Ευρωπαϊκού Εξαμήνου, ιδίως στις ειδικές ανά χώρα συστάσεις· τονίζει τον στόχο του στρατηγικού πλαισίου να μειωθεί κατά το ήμισυ το χάσμα απασχόλησης μεταξύ των Ρομά και του γενικού πληθυσμού και να διασφαλιστεί ότι τουλάχιστον το 60 % των Ρομά θα εργάζεται επ' αμοιβή έως το 2030· παροτρύνει τα κράτη μέλη να υιοθετήσουν μια ολοκληρωμένη προσέγγιση με επίκεντρο την ισότητα και να διασφαλίσουν ότι οι δημόσιες πολιτικές και υπηρεσίες απευθύνονται αποτελεσματικά σε όλους τους Ρομά, συμπεριλαμβανομένων εκείνων που βρίσκονται σε απομακρυσμένες και αγροτικές περιοχές·</w:t>
      </w:r>
    </w:p>
    <w:p w14:paraId="6841A466" w14:textId="4ACD2FA8" w:rsidR="00671F6D" w:rsidRPr="005C37F5" w:rsidRDefault="00BD4943" w:rsidP="00BD4943">
      <w:pPr>
        <w:pStyle w:val="NormalHanging12a"/>
        <w:ind w:left="567" w:hanging="570"/>
      </w:pPr>
      <w:r w:rsidRPr="005C37F5">
        <w:t>12.</w:t>
      </w:r>
      <w:r w:rsidRPr="005C37F5">
        <w:tab/>
      </w:r>
      <w:r w:rsidR="00671F6D" w:rsidRPr="005C37F5">
        <w:t>υπενθυμίζει με ανησυχία το επίμονο χάσμα απασχόλησης των ατόμων με αναπηρία, το οποίο ανέρχεται σε 24 %, και από την άλλη πλευρά τον στόχο της ΕΕ για μετάβαση από την ιδρυματική φροντίδα στη φροντίδα σε επίπεδο κοινότητας ή οικογένειας για όλα τα ενδιαφερόμενα άτομα· καλεί την Επιτροπή να αντιμετωπίσει το χάσμα απασχόλησης των ατόμων με αναπηρία μέσω του Ευρωπαϊκού Εξαμήνου, μεταξύ άλλων στις ειδικές ανά χώρα συστάσεις, και να επικαιροποιήσει τη στρατηγική της ΕΕ για τα δικαιώματα των ατόμων με αναπηρία 2021-2030 σύμφωνα με τη Σύμβαση των Ηνωμένων Εθνών για τα δικαιώματα των ατόμων με αναπηρία, με νέες εμβληματικές πρωτοβουλίες, συμπεριλαμβανομένης μιας ευρωπαϊκής εγγύησης για την απασχόληση και τις δεξιότητες των ατόμων με αναπηρία· επαναλαμβάνει την έκκλησή του προς την Επιτροπή να υποβάλει σχέδιο δράσης για την αποϊδρυματοποίηση, το οποίο θα καλύπτει όλες τις ομάδες που εξακολουθούν να ζουν σε ιδρύματα, συμπεριλαμβανομένων των παιδιών, των ατόμων με αναπηρία, των ατόμων με προβλήματα ψυχικής υγείας και των αστέγων· τονίζει ότι η πρόοδος όσον αφορά την αποϊδρυματοποίηση θα πρέπει να παρακολουθείται στο πλαίσιο του Ευρωπαϊκού Εξαμήνου, και καλεί τα κράτη μέλη να αξιοποιήσουν πλήρως το ΕΚΤ+ και άλλα ενωσιακά και εθνικά κονδύλια για την ολοκλήρωση αυτής της διαδικασίας, την ανάπτυξη υπηρεσιών σε επίπεδο κοινότητας και την επένδυση στην πρόληψη·</w:t>
      </w:r>
    </w:p>
    <w:p w14:paraId="394CC116" w14:textId="0BDA2514" w:rsidR="00671F6D" w:rsidRPr="005C37F5" w:rsidRDefault="00BD4943" w:rsidP="00BD4943">
      <w:pPr>
        <w:pStyle w:val="NormalHanging12a"/>
        <w:ind w:left="567" w:hanging="570"/>
      </w:pPr>
      <w:r w:rsidRPr="005C37F5">
        <w:t>13.</w:t>
      </w:r>
      <w:r w:rsidRPr="005C37F5">
        <w:tab/>
      </w:r>
      <w:r w:rsidR="00671F6D" w:rsidRPr="005C37F5">
        <w:t>εκφράζει την ικανοποίησή του για τη μόνιμη συμπερίληψη του πλαισίου κοινωνικής σύγκλισης στο Ευρωπαϊκό Εξάμηνο· τονίζει τη σημασία του, σε συνδυασμό με τον πίνακα κοινωνικών αποτελεσμάτων, για τον εντοπισμό των κινδύνων και την παρακολούθηση της προόδου όσον αφορά την ανοδική κοινωνική σύγκλιση, τη μείωση των ανισοτήτων, την ενίσχυση των συστημάτων κοινωνικής προστασίας και την προώθηση αξιοπρεπών συνθηκών εργασίας και μέτρων στήριξης για τη διασφάλιση της δικαιοσύνης κατά τη μετάβαση· καλεί την Επιτροπή να αναπτύξει περαιτέρω καινοτόμα εργαλεία ποσοτικής και ποιοτικής ανάλυσης εντός αυτού του νέου πλαισίου, προκειμένου να γίνει βέλτιστη χρήση του στους μελλοντικούς κύκλους του Ευρωπαϊκού Εξαμήνου· καλεί την Επιτροπή να αναλύσει τους κινδύνους που απειλούν την ανοδική κοινωνική σύγκλιση που επισημαίνονται στην κοινή της έκθεση για την απασχόληση του 2025, συμπεριλαμβανομένων των αποτελεσμάτων όσον αφορά την απασχόληση των υποεκπροσωπούμενων ομάδων, της πρόωρης εγκατάλειψης του σχολείου και της εκπαίδευσης ενηλίκων, καθώς και της φτώχειας, στο δεύτερο στάδιο της ανάλυσης, και να συζητήσει με τα ενδιαφερόμενα κράτη μέλη τα μέτρα που έχουν ληφθεί ή προγραμματιστεί για την αντιμετώπιση αυτών των κινδύνων· σημειώνει ότι η αντιμετώπιση των προκλήσεων που προσδιορίζονται στην κοινή έκθεση για την απασχόληση θα συμβάλει στην επίτευξη ανοδικής κοινωνικής σύγκλισης·</w:t>
      </w:r>
    </w:p>
    <w:p w14:paraId="50984647" w14:textId="1210069B" w:rsidR="00671F6D" w:rsidRPr="005C37F5" w:rsidRDefault="00BD4943" w:rsidP="00BD4943">
      <w:pPr>
        <w:pStyle w:val="NormalHanging12a"/>
        <w:ind w:left="567" w:hanging="570"/>
      </w:pPr>
      <w:r w:rsidRPr="005C37F5">
        <w:t>14.</w:t>
      </w:r>
      <w:r w:rsidRPr="005C37F5">
        <w:tab/>
      </w:r>
      <w:r w:rsidR="00671F6D" w:rsidRPr="005C37F5">
        <w:t xml:space="preserve">καλεί την Επιτροπή να βελτιώσει και να επικαιροποιήσει τον κοινωνικό πίνακα αποτελεσμάτων, διασφαλίζοντας ότι αποτυπώνονται σε αυτόν οι παράγοντες και οι επιπτώσεις της ανισότητας, μεταξύ άλλων όσον αφορά τις ίσες ευκαιρίες, την ποιοτική απασχόληση, την κατανομή του πλούτου, την πρόσβαση σε δημόσιες και κοινωνικές </w:t>
      </w:r>
      <w:r w:rsidR="00671F6D" w:rsidRPr="005C37F5">
        <w:lastRenderedPageBreak/>
        <w:t>υπηρεσίες, τις επαρκείς συντάξεις, τη στέγαση και την αστεγία, την ψυχική υγεία, τις διακρίσεις και τις κοινωνικές επιπτώσεις της υποβάθμισης του περιβάλλοντος και της κλιματικής αλλαγής· καλεί την Επιτροπή να αντιμετωπίσει τη φτώχεια των εργαζομένων ως προειδοποιητικό μήνυμα στο πλαίσιο του κοινωνικού πίνακα αποτελεσμάτων και να προτείνει ειδικές ανά χώρα συστάσεις όπου οι τάσεις αυτές εξακολουθούν να υφίστανται· τονίζει την ανάγκη να αντιμετωπιστούν οι προκλήσεις που επισημαίνονται ως «κρίσιμες» ή «ανησυχητικές» στον πίνακα αποτελεσμάτων, συμπεριλαμβανομένων της πρόωρης εγκατάλειψης του σχολείου, της υπερβολικής επιβάρυνσης με δαπάνες στέγασης, του αντικτύπου των κοινωνικών μεταβιβάσεων, του χάσματος στην απασχόληση ατόμων με αναπηρία, των αναγκών ιατρικής περίθαλψης που δεν καλύπτονται κατά δήλωση των ίδιων των ατόμων, της παιδικής φροντίδας, των βασικών ψηφιακών δεξιοτήτων και της παιδικής φτώχειας· ζητεί τη συμπερίληψη ενός δείκτη κοινωνικής προόδου και του δείκτη ισότητας των φύλων για την καλύτερη μέτρηση της ανισότητας, της πρόσβασης σε ευκαιρίες και της ευημερίας με τη χρήση αναλυτικών δεδομένων· τονίζει την ανάγκη για έγκαιρα, εναρμονισμένα και διαφανή δεδομένα και μεθοδολογίες για τη βελτίωση της τεκμηριωμένης χάραξης πολιτικής και των στοχευμένων κοινωνικών επενδύσεων, καθώς και για την ευθυγράμμιση του κοινωνικού πίνακα αποτελεσμάτων και με τις 20 αρχές του ευρωπαϊκού πυλώνα κοινωνικών δικαιωμάτων·</w:t>
      </w:r>
    </w:p>
    <w:p w14:paraId="7CCCF119" w14:textId="6EE99542" w:rsidR="00671F6D" w:rsidRPr="005C37F5" w:rsidRDefault="00BD4943" w:rsidP="00BD4943">
      <w:pPr>
        <w:pStyle w:val="NormalHanging12a"/>
        <w:ind w:left="567" w:hanging="570"/>
      </w:pPr>
      <w:r w:rsidRPr="005C37F5">
        <w:t>15.</w:t>
      </w:r>
      <w:r w:rsidRPr="005C37F5">
        <w:tab/>
      </w:r>
      <w:r w:rsidR="00671F6D" w:rsidRPr="005C37F5">
        <w:t xml:space="preserve">υπενθυμίζει ότι ο δείκτης AROPE δεν αποτυπώνει επαρκώς τα βαθύτερα αίτια της φτώχειας και των πολύπλοκων ανισοτήτων, ιδίως την ένταξη των ατόμων που ζουν εκτός ιδιωτικών νοικοκυριών, τις ποιοτικές πτυχές της φτώχειας και τις βιωμένες εμπειρίες περιθωριοποίησης, λαμβάνοντας παράλληλα υπόψη ότι η φτώχεια δεν περιορίζεται μόνο στο ανεπαρκές εισόδημα ή τη στέρηση υλικών αγαθών· καλεί την Επιτροπή Κοινωνικής Προστασίας να ασχοληθεί με την ανανέωση του στατιστικού στοιχείου AROPE, προκειμένου ο δείκτης αυτός να διευρυνθεί σε ένα ισχυρότερο, αναλυτικό και πιο πολυδιάστατο όραμα για τη φτώχεια και τον κοινωνικό αποκλεισμό· </w:t>
      </w:r>
    </w:p>
    <w:p w14:paraId="5D4A4E15" w14:textId="22F011DA" w:rsidR="00671F6D" w:rsidRPr="005C37F5" w:rsidRDefault="00BD4943" w:rsidP="00BD4943">
      <w:pPr>
        <w:pStyle w:val="NormalHanging12a"/>
        <w:ind w:left="567" w:hanging="570"/>
      </w:pPr>
      <w:r w:rsidRPr="005C37F5">
        <w:t>16.</w:t>
      </w:r>
      <w:r w:rsidRPr="005C37F5">
        <w:tab/>
      </w:r>
      <w:r w:rsidR="00671F6D" w:rsidRPr="005C37F5">
        <w:t xml:space="preserve">υπενθυμίζει ότι οι κοινωνικές επενδύσεις μπορούν να έχουν θετικό αντίκτυπο στην οικονομική ανάπτυξη, την παραγωγικότητα και την ανταγωνιστικότητα, συμβάλλοντας παράλληλα στη δημοσιονομική βιωσιμότητα και προωθώντας την ανοδική κοινωνική συνοχή, στις συνθήκες διαβίωσης και εργασίας και την ένταξη ευάλωτων ομάδων· καλεί την Επιτροπή και τα κράτη μέλη να αντιμετωπίσουν τις κοινωνικές επενδύσεις ως θεμελιώδεις για τη βιώσιμη ανάπτυξη και να επικεντρωθούν σε επενδύσεις που έχουν αποδείξει την αποτελεσματικότητά τους όσον αφορά την ανάπτυξη, την παραγωγικότητα, την ποιότητα των θέσεων εργασίας και την αυξημένη συμμετοχή στην αγορά εργασίας· καλεί τα κράτη μέλη να αξιοποιήσουν πλήρως και στοχευμένα τον Μηχανισμό Ανάκαμψης και Ανθεκτικότητας έως τις 31 Δεκεμβρίου 2026 για την αντιμετώπιση των προκλήσεων που προσδιορίζονται στις ειδικές ανά χώρα συστάσεις· ζητεί από την Επιτροπή να παράσχει καθοδήγηση σχετικά με την αξιοποίηση ιδιωτικών επενδύσεων και συμπράξεων μεταξύ του δημόσιου και του ιδιωτικού τομέα για την κάλυψη των κενών στις κοινωνικές υποδομές· εκφράζει την ικανοποίησή του για τη δρομολόγηση του κόμβου γνώσεων για τις κοινωνικές επενδύσεις με σκοπό την ενίσχυση της αμοιβαίας μάθησης και της τεχνικής βοήθειας, τη συνέχιση της βελτίωσης της έγκαιρης υποβολής και της διαθεσιμότητας των κοινωνικών δεικτών, τη μείωση των καθυστερήσεων στην αξιολόγηση των τάσεων φτώχειας και ανισότητας και την ενίσχυση της πρόσβασης των κρατών μελών σε δεδομένα για την αξιολόγηση των πολιτικών και την εκτίμηση επιπτώσεων· </w:t>
      </w:r>
    </w:p>
    <w:p w14:paraId="06A25B2B" w14:textId="21646128" w:rsidR="00671F6D" w:rsidRPr="005C37F5" w:rsidRDefault="00BD4943" w:rsidP="00BD4943">
      <w:pPr>
        <w:pStyle w:val="NormalHanging12a"/>
        <w:ind w:left="567" w:hanging="570"/>
      </w:pPr>
      <w:r w:rsidRPr="005C37F5">
        <w:lastRenderedPageBreak/>
        <w:t>17.</w:t>
      </w:r>
      <w:r w:rsidRPr="005C37F5">
        <w:tab/>
      </w:r>
      <w:r w:rsidR="00671F6D" w:rsidRPr="005C37F5">
        <w:t>υπενθυμίζει ότι η κοινωνική οικονομία αποτελεί βασική συνιστώσα των κοινωνικών επενδύσεων, διαδραματίζοντας νευραλγικό ρόλο στην ανάπτυξη συμπεριληπτικών και καινοτόμων λύσεων σε τοπικό επίπεδο, συμβάλλοντας στη δημιουργία ποιοτικών θέσεων εργασίας, στην παροχή οικονομικά προσιτών και προσβάσιμων κοινωνικών υπηρεσιών και υπηρεσιών εγγύτητας, καθώς και στην πράσινη και την ψηφιακή μετάβαση· σημειώνει ότι η στήριξη των πολιτών προς την κοινωνική οικονομία είναι ισχυρή καθώς το 88 % όσων απάντησαν στο Ευρωβαρόμετρο υποστηρίζει τη θέσπιση στρατηγικών και νομοθεσίας για την προώθησή της· καλεί την Επιτροπή και τα κράτη μέλη να ενισχύσουν τις συνθήκες-πλαίσιο διευκολύνοντας την πρόσβαση σε χρηματοδότηση, παρέχοντας ευκαιρίες ανάπτυξης ικανοτήτων και διασφαλίζοντας την προβολή της, και να λάβουν υπόψη τους στόχους του σχεδίου δράσης για την κοινωνική οικονομία στο Ευρωπαϊκό Εξάμηνο, μεταξύ άλλων μέσω ειδικών ανά χώρα συστάσεων και στοχευμένης χρήσης των κονδυλίων της ΕΕ·</w:t>
      </w:r>
    </w:p>
    <w:p w14:paraId="1D902470" w14:textId="56EEC765" w:rsidR="00671F6D" w:rsidRPr="005C37F5" w:rsidRDefault="00BD4943" w:rsidP="00BD4943">
      <w:pPr>
        <w:pStyle w:val="NormalHanging12a"/>
        <w:ind w:left="567" w:hanging="570"/>
      </w:pPr>
      <w:r w:rsidRPr="005C37F5">
        <w:t>18.</w:t>
      </w:r>
      <w:r w:rsidRPr="005C37F5">
        <w:tab/>
      </w:r>
      <w:r w:rsidR="00671F6D" w:rsidRPr="005C37F5">
        <w:t>επισημαίνει ότι το σχέδιο οικονομικά προσιτής στέγασης της Επιτροπής θα πρέπει να ενσωματωθεί καλύτερα στο Ευρωπαϊκό Εξάμηνο, με μεγαλύτερη έμφαση στις ειδικές ανά χώρα συστάσεις για οικονομικά προσιτή, αξιοπρεπή και βιώσιμη στέγαση, ιδίως για τις ομάδες χαμηλού και μεσαίου εισοδήματος, καθώς και για τα άτομα με αναπηρία και τους ηλικιωμένους· ζητεί ενισχυμένη παρακολούθηση της προόδου των κρατών μελών όσον αφορά τη διασφάλιση της πρόσβασης σε επαρκή, ασφαλή και μη διαχωρισμένη στέγαση για τις κοινότητες Ρομά που βιώνουν ακραία φτώχεια· υπενθυμίζει στα υπογράφοντα μέρη της δήλωσης της Λισαβόνας σχετικά με την ευρωπαϊκή πλατφόρμα για την καταπολέμηση του φαινομένου της αστεγίας, τον στόχο της εξάλειψης του φαινομένου αυτού έως το 2030· καλεί τα κράτη μέλη να συνδυάσουν μέτρα που αυξάνουν την προσφορά, μειώνουν το κόστος κατασκευής και αντιμετωπίζουν τις ελλείψεις εργατικού δυναμικού στον κατασκευαστικό και στεγαστικό τομέα με στήριξη από την πλευρά της ζήτησης παρέχοντας έτσι την ευκαιρία στα άτομα, ιδίως στα νοικοκυριά που βρίσκονται σε ευάλωτη κατάσταση, να έχουν πρόσβαση σε οικονομικά προσιτή, αξιοπρεπή και βιώσιμη στέγαση· τονίζει ότι τα εθνικά μεσοπρόθεσμα δημοσιονομικά-διαρθρωτικά σχέδια και οι επενδυτικές στρατηγικές θα πρέπει να στηρίζουν την κοινωνική και οικονομικά προσιτή στέγαση, την πρόληψη και τη μείωση της αστεγίας, καθώς και τις ανακαινίσεις κτιρίων για τη μείωση της ενεργειακής φτώχειας και τη βελτίωση των συνθηκών στέγασης, ιδίως για τα ευάλωτα νοικοκυριά· υπενθυμίζει ότι το Κοινωνικό Ταμείο για το Κλίμα θα παρέχει χρηματοδότηση στα κράτη μέλη από το 2026 για τη στήριξη ευάλωτων νοικοκυριών και πολύ μικρών επιχειρήσεων·</w:t>
      </w:r>
    </w:p>
    <w:p w14:paraId="3DD2AFC9" w14:textId="1FFD63EA" w:rsidR="00671F6D" w:rsidRPr="005C37F5" w:rsidRDefault="00BD4943" w:rsidP="00BD4943">
      <w:pPr>
        <w:pStyle w:val="NormalHanging12a"/>
        <w:ind w:left="567" w:hanging="570"/>
      </w:pPr>
      <w:r w:rsidRPr="005C37F5">
        <w:t>19.</w:t>
      </w:r>
      <w:r w:rsidRPr="005C37F5">
        <w:tab/>
      </w:r>
      <w:r w:rsidR="00671F6D" w:rsidRPr="005C37F5">
        <w:t xml:space="preserve">τονίζει ότι οι επενδύσεις σε υψηλής ποιότητας, προσβάσιμη εκπαίδευση και διά βίου μάθηση αποτελούν στρατηγική κοινωνική επένδυση που είναι απαραίτητη για τη συνοχή, την ένταξη και την προετοιμασία του εργατικού δυναμικού για την πράσινη και την ψηφιακή μετάβαση και τις ανάγκες της ΕΕ που σχετίζονται με την άμυνα, μεταξύ άλλων μέσω της επαγγελματικής εκπαίδευσης και κατάρτισης και των προγραμμάτων μαθητείας· εκφράζει την ικανοποίησή του για την πρόταση σύστασης του Συμβουλίου σχετικά με το ανθρώπινο κεφάλαιο στην ΕΕ και την εστίασή της στην αντιμετώπιση των ελλείψεων δεξιοτήτων, τη χρήση πληροφοριών σχετικά με τις δεξιότητες για τον σχεδιασμό σχετικών στρατηγικών και την ανάπτυξη ενός ευρέος συνόλου βασικών δεξιοτήτων που απαιτούνται για τη σύγχρονη ζωή, συμπεριλαμβανομένων των ψηφιακών δεξιοτήτων, των ικανοτήτων που σχετίζονται με την ιδιότητα του πολίτη και του γραμματισμού στον τομέα της ΤΝ, προκειμένου να προετοιμαστούν οι άνθρωποι για τη σύγχρονη ζωή· αναγνωρίζει ότι οι ανεπαρκείς επενδύσεις σε ανθρώπινο </w:t>
      </w:r>
      <w:r w:rsidR="00671F6D" w:rsidRPr="005C37F5">
        <w:lastRenderedPageBreak/>
        <w:t xml:space="preserve">κεφάλαιο παρεμποδίζουν την καινοτομία, την ανταγωνιστικότητα και την ικανότητα των ανθρώπων να αξιοποιήσουν πλήρως τις δυνατότητές τους· </w:t>
      </w:r>
    </w:p>
    <w:p w14:paraId="56AE765A" w14:textId="611FE768" w:rsidR="00671F6D" w:rsidRPr="005C37F5" w:rsidRDefault="00BD4943" w:rsidP="00BD4943">
      <w:pPr>
        <w:pStyle w:val="NormalHanging12a"/>
        <w:ind w:left="567" w:hanging="570"/>
      </w:pPr>
      <w:r w:rsidRPr="005C37F5">
        <w:t>20.</w:t>
      </w:r>
      <w:r w:rsidRPr="005C37F5">
        <w:tab/>
      </w:r>
      <w:r w:rsidR="00671F6D" w:rsidRPr="005C37F5">
        <w:t>επισημαίνει ότι οι πρωτοβουλίες της ΕΕ για τις ελλείψεις δεξιοτήτων πρέπει να παρέχουν ισχυρότερη στήριξη για ολοκληρωμένα συστήματα εκπαίδευσης και κατάρτισης χωρίς αποκλεισμούς, μεταξύ άλλων μέσω ενεργητικών πολιτικών για την αγορά εργασίας, ατομικών λογαριασμών μάθησης και μικροδιαπιστευτηρίων, καθώς και μέσω της ενίσχυσης των διαδικασιών αναγνώρισης της μη τυπικής και της άτυπης μάθησης· τονίζει περαιτέρω τη σημασία της βελτίωσης και της διευκόλυνσης της δίκαιης κινητικότητας του εργατικού δυναμικού εντός της ΕΕ και του ρόλου της νόμιμης μετανάστευσης και της αναγνώρισης προσόντων από την αλλοδαπή για την αντιμετώπιση των ελλείψεων δεξιοτήτων· εκφράζει την ανησυχία του για το γεγονός ότι η συμμετοχή των ενηλίκων στην κατάρτιση παραμένει πολύ κάτω από τον στόχο του 60 % στα περισσότερα κράτη μέλη, ιδίως μεταξύ των εργαζομένων χαμηλής ειδίκευσης, των εργαζομένων μεγαλύτερης ηλικίας, των υπηκόων τρίτων χωρών και των ατόμων με αναπηρία· καλεί την Επιτροπή να προτείνει συγκεκριμένες λύσεις για τις ελλείψεις δεξιοτήτων και να αντιμετωπίσει τις επίμονες προκλήσεις στην επικείμενη δέσμη μέτρων για τη δίκαιη κινητικότητα του εργατικού δυναμικού, διασφαλίζοντας ότι η επικείμενη πρωτοβουλία για τη φορητότητα δεξιοτήτων αντιμετωπίζει τα υφιστάμενα εμπόδια στην αναγνώριση των δεξιοτήτων·</w:t>
      </w:r>
    </w:p>
    <w:p w14:paraId="7DFF4DB5" w14:textId="738F7246" w:rsidR="00671F6D" w:rsidRPr="005C37F5" w:rsidRDefault="00BD4943" w:rsidP="00BD4943">
      <w:pPr>
        <w:pStyle w:val="NormalHanging12a"/>
        <w:ind w:left="567" w:hanging="570"/>
      </w:pPr>
      <w:r w:rsidRPr="005C37F5">
        <w:t>21.</w:t>
      </w:r>
      <w:r w:rsidRPr="005C37F5">
        <w:tab/>
      </w:r>
      <w:r w:rsidR="00671F6D" w:rsidRPr="005C37F5">
        <w:t>πιστεύει ακράδαντα ότι το ατομικό δικαίωμα στην κατάρτιση για τους εργαζόμενους κατά τη διάρκεια του ωραρίου εργασίας τους, το οποίο αντιμετωπίζει τα κύρια εμπόδια για τη συμμετοχή σε κατάρτιση, μπορεί να εξασφαλίσει ποιοτική αναβάθμιση των δεξιοτήτων ή επανειδίκευση, κατάρτιση των εργαζομένων και υποστήριξη της επαγγελματικής τους εξέλιξης προκειμένου να εξασφαλίσει για τους εργοδότες μια προβλέψιμη και σταθερή προσφορά ειδικευμένων εργαζόμενων· τονίζει την ανάγκη να εξαλειφθεί το οικονομικό εμπόδιο με τη διασφάλιση ότι η κατάρτιση είναι δωρεάν για τους εργαζόμενους, υποστηριζόμενη από χρηματοδότηση, φορολογικά κίνητρα και εταιρικές σχέσεις· τονίζει ότι οι εθνικοί οργανισμοί και οι κοινωνικοί εταίροι είναι υπεύθυνοι για την κατάρτιση των εργαζομένων και υπογραμμίζει τον ουσιαστικό ρόλο τους στην εφαρμογή του δικαιώματος στην κατάρτιση· καλεί, στο πλαίσιο αυτό, τα κράτη μέλη να δώσουν προτεραιότητα και να προωθήσουν προγράμματα κατάρτισης που αναπτύσσονται από κοινού από τους εργαζόμενους και τους εργοδότες τους, διασφαλίζοντας ότι η αναβάθμιση των δεξιοτήτων και η επανειδίκευση ανταποκρίνονται στην πραγματική ζήτηση της αγοράς και συμβάλλουν στην επαγγελματική εξέλιξη· καλεί την Επιτροπή να εξετάσει και να εκδώσει κατευθυντήριες γραμμές σχετικά με τον τρόπο με τον οποίο οι συμπράξεις δημόσιου και ιδιωτικού τομέα μεταξύ κρατών μελών και επιχειρήσεων μπορούν να χρηματοδοτήσουν την κατάρτιση, την επανειδίκευση και την αναβάθμιση των δεξιοτήτων των εργαζομένων, ιδίως το δικαίωμα στην κατάρτιση για τους επιμέρους εργαζομένους·</w:t>
      </w:r>
    </w:p>
    <w:p w14:paraId="465511FD" w14:textId="4C625624" w:rsidR="00671F6D" w:rsidRPr="005C37F5" w:rsidRDefault="00BD4943" w:rsidP="00BD4943">
      <w:pPr>
        <w:pStyle w:val="NormalHanging12a"/>
        <w:ind w:left="567" w:hanging="570"/>
      </w:pPr>
      <w:r w:rsidRPr="005C37F5">
        <w:t>22.</w:t>
      </w:r>
      <w:r w:rsidRPr="005C37F5">
        <w:tab/>
      </w:r>
      <w:r w:rsidR="00671F6D" w:rsidRPr="005C37F5">
        <w:t xml:space="preserve">επισημαίνει ότι η διαγενεακή δικαιοσύνη πρέπει να αποτελέσει διαρθρωτικό στοιχείο του Ευρωπαϊκού Εξαμήνου· καλεί την Επιτροπή, στο πλαίσιο της στρατηγικής της για τη διαγενεακή δικαιοσύνη, να ενσωματώσει δείκτες για την ευημερία των νέων και των ηλικιωμένων, την πρόσβαση σε ποιοτικές θέσεις εργασίας, την οικονομική προσιτότητα της στέγασης, τη διαθεσιμότητα, τη φυσική προσβασιμότητα, την επάρκεια του ελάχιστου εισοδήματος και των συντάξεων, την πρόσβαση σε ποιοτικές υπηρεσίες ψυχικής υγείας και την υψηλής ποιότητας εκπαίδευση και δεξιότητες στο πλαίσιο αξιολόγησης του Ευρωπαϊκού Εξαμήνου, και να αξιολογήσει τις μακροπρόθεσμες και επιπτώσεις και τις επιπτώσεις στην κατανομή των δημοσιονομικών και </w:t>
      </w:r>
      <w:r w:rsidR="00671F6D" w:rsidRPr="005C37F5">
        <w:lastRenderedPageBreak/>
        <w:t>μεταρρυθμιστικών συστάσεων· καλεί την Επιτροπή να αξιολογήσει τις μακροπρόθεσμες οικονομικές, περιβαλλοντικές και κοινωνικές επιπτώσεις των συστάσεων πολιτικής, συμπεριλαμβανομένων των ανεπαρκών επενδύσεων, στις μελλοντικές γενιές· τονίζει την ανάγκη καλύτερης ενσωμάτωσης του αντίκτυπου του δημογραφικού μετασχηματισμού και της αυξημένης μακροζωίας στο Ευρωπαϊκό Εξάμηνο· τονίζει ότι η δημογραφική αλλαγή απαιτεί πολιτικές για την αύξηση της συμμετοχής του εργατικού δυναμικού· τονίζει την ανάγκη για μέτρα που στηρίζουν την ενεργό γήρανση και διασφαλίζουν τη μακροπρόθεσμη βιωσιμότητα των συνταξιοδοτικών συστημάτων και των συστημάτων φροντίδας· θεωρεί ότι οι ειδικές ανά χώρα συστάσεις θα πρέπει να προωθούν συντάξεις που διασφαλίζουν αξιοπρεπή διαβίωση, ευημερία και ποιοτική και οικονομικά προσιτή υγεία, καθώς και πρόληψη για όλους·</w:t>
      </w:r>
    </w:p>
    <w:p w14:paraId="489FECDA" w14:textId="31635FE3" w:rsidR="00671F6D" w:rsidRPr="005C37F5" w:rsidRDefault="00BD4943" w:rsidP="00BD4943">
      <w:pPr>
        <w:pStyle w:val="NormalHanging12a"/>
        <w:ind w:left="567" w:hanging="570"/>
      </w:pPr>
      <w:r w:rsidRPr="005C37F5">
        <w:t>23.</w:t>
      </w:r>
      <w:r w:rsidRPr="005C37F5">
        <w:tab/>
      </w:r>
      <w:r w:rsidR="00671F6D" w:rsidRPr="005C37F5">
        <w:t>τονίζει ότι, στο πλαίσιο του Ευρωπαϊκού Εξαμήνου, οι αμυντικές δαπάνες πρέπει να σχεδιάζονται με συντονισμένο, αποτελεσματικό, διαφανή και ευρωπαϊκό τρόπο, ώστε να μεγιστοποιούνται τα κοινωνικά οφέλη· υπογραμμίζει ότι οι επενδύσεις που σχετίζονται με την ασφάλεια θα πρέπει να περιλαμβάνουν την κοινωνική ανθεκτικότητα, συμπεριλαμβανομένων των υποδομών με υψηλά οφέλη για τους πολίτες, την κοινωνική προστασία, την αγωγή του πολίτη, τη δημοκρατική ανθεκτικότητα και την προστασία από την παραπληροφόρηση, αναγνωρίζοντας ότι η κοινωνική σταθερότητα και η δημοκρατική εμπιστοσύνη αποτελούν σημαντικές συνιστώσες της ευρωπαϊκής αρχιτεκτονικής ασφάλειας και πρέπει να λαμβάνονται υπόψη στην ανάλυση των μακροπρόθεσμων μεταρρυθμιστικών και επενδυτικών αναγκών στο πλαίσιο του Εξαμήνου·</w:t>
      </w:r>
    </w:p>
    <w:p w14:paraId="3A4E4E26" w14:textId="48850025" w:rsidR="00671F6D" w:rsidRPr="005C37F5" w:rsidRDefault="00BD4943" w:rsidP="00BD4943">
      <w:pPr>
        <w:pStyle w:val="NormalHanging12a"/>
        <w:ind w:left="567" w:hanging="570"/>
      </w:pPr>
      <w:r w:rsidRPr="005C37F5">
        <w:t>24.</w:t>
      </w:r>
      <w:r w:rsidRPr="005C37F5">
        <w:tab/>
      </w:r>
      <w:r w:rsidR="00671F6D" w:rsidRPr="005C37F5">
        <w:t>υπογραμμίζει ότι οι συστάσεις του Ευρωπαϊκού Εξαμήνου το 2026 θα είναι νευραλγικής σημασίας για τη διαμόρφωση του επόμενου πολυετούς δημοσιονομικού πλαισίου· θεωρεί ότι οι μεταρρυθμίσεις και οι επενδύσεις θα πρέπει επιλέγονται για την αποδοτικότητα και την αποτελεσματικότητα με την οποία ανταποκρίνονται στις σχετικές ανά χώρα συστάσεις· προειδοποιεί ότι, προκειμένου η χρηματοδότηση της ΕΕ να συνδεθεί με τις κατευθυντήριες γραμμές του Ευρωπαϊκού Εξαμήνου, αυτές πρέπει να είναι κοινωνικά ισορροπημένες και πλήρως ευθυγραμμισμένες με τον ευρωπαϊκό πυλώνα κοινωνικών δικαιωμάτων, και ότι οι περιφερειακοί και τοπικοί φορείς πρέπει να διαδραματίσουν σημαντικό ρόλο στην εκταμίευση των κονδυλίων· σημειώνει με ανησυχία, στο πλαίσιο αυτό, την πρόταση της Επιτροπής για τις κοινωνικές δαπάνες, η οποία θα μπορούσε να αποδυναμώσει την εστίαση στην απασχόληση και τους κοινωνικούς στόχους, και ζητεί ένα αυτόνομο και ενισχυμένο ΕΚΤ + με θεματικές συγκεντρώσεις·</w:t>
      </w:r>
    </w:p>
    <w:p w14:paraId="6918D14F" w14:textId="5D5CB47D" w:rsidR="00671F6D" w:rsidRPr="005C37F5" w:rsidRDefault="00BD4943" w:rsidP="00BD4943">
      <w:pPr>
        <w:pStyle w:val="NormalHanging12a"/>
        <w:ind w:left="567" w:hanging="570"/>
      </w:pPr>
      <w:r w:rsidRPr="005C37F5">
        <w:t>25.</w:t>
      </w:r>
      <w:r w:rsidRPr="005C37F5">
        <w:tab/>
      </w:r>
      <w:r w:rsidR="00671F6D" w:rsidRPr="005C37F5">
        <w:t>θεωρεί ότι το κοινωνικό μοντέλο της ΕΕ αποτελεί αναπόσπαστο μέρος της ανταγωνιστικότητάς της και ότι οι προσπάθειες απλούστευσης του διοικητικού φόρτου για τις επιχειρήσεις πρέπει να διαφυλάσσουν και να διασφαλίζουν τα κοινωνικά δικαιώματα· τονίζει ότι η ποιότητα της απασχόλησης και η ανταγωνιστικότητα που δεν σχετίζεται με το κόστος, όπως η ποιότητα των προϊόντων και των υπηρεσιών, μπορούν επίσης να στηρίξουν την παραγωγικότητα και την αύξηση των αποδοχών· τονίζει τη σημασία της παροχής μεγαλύτερης σαφήνειας, αναλογικότητας και ασφάλειας δικαίου, ιδίως για τις μικρές και μεσαίες επιχειρήσεις και τους αυτοαπασχολούμενους επαγγελματίες, και τονίζει ότι οι προσεγγίσεις αυτές θα πρέπει να σέβονται την πολυμορφία των μοντέλων της αγοράς εργασίας σε όλα τα κράτη μέλη, στηρίζοντας παράλληλα τη βιώσιμη οικονομική δραστηριότητα και τη δημιουργία ποιοτικών θέσεων εργασίας·</w:t>
      </w:r>
    </w:p>
    <w:p w14:paraId="7822A4CE" w14:textId="0001BA82" w:rsidR="00671F6D" w:rsidRPr="005C37F5" w:rsidRDefault="00BD4943" w:rsidP="00BD4943">
      <w:pPr>
        <w:pStyle w:val="NormalHanging12a"/>
        <w:ind w:left="567" w:hanging="570"/>
      </w:pPr>
      <w:r w:rsidRPr="005C37F5">
        <w:lastRenderedPageBreak/>
        <w:t>26.</w:t>
      </w:r>
      <w:r w:rsidRPr="005C37F5">
        <w:tab/>
      </w:r>
      <w:r w:rsidR="00671F6D" w:rsidRPr="005C37F5">
        <w:t xml:space="preserve">υποστηρίζει μια πιο δημοκρατική διαδικασία του Ευρωπαϊκού Εξαμήνου, με το Κοινοβούλιο να συμμετέχει ενεργά στον καθορισμό προτεραιοτήτων οικονομικής και κοινωνικής πολιτικής καθώς και στη λήψη αποφάσεων οικονομικής διακυβέρνησης· επιμένει ότι στη διαμόρφωση, την εποπτεία και την παρακολούθηση των εθνικών μεταρρυθμίσεων πρέπει να συμμετέχουν συστηματικά οι κοινωνικοί εταίροι, οι οργανώσεις της κοινωνίας των πολιτών και οι περιφερειακοί και τοπικοί φορείς, έχοντας επαρκή χρόνο και διαφάνεια· παροτρύνει την Επιτροπή και τα κράτη μέλη να διασφαλίσουν τη δέουσα συμμετοχή τους σε όλα τα στάδια της ανάλυσης, μεταξύ άλλων εντός του πλαισίου κοινωνικής σύγκλισης, προκειμένου να ενισχυθεί η οικειοποίηση και να διασφαλιστεί ότι τα κοινωνικά δικαιώματα της ΕΕ αποτελούν πραγματικότητα στην πράξη· επισημαίνει ότι ο σεβασμός της αρχής της επικουρικότητας και της εθνικής αρμοδιότητας παραμένει στο επίκεντρο του Ευρωπαϊκού Εξαμήνου· υπενθυμίζει ότι η Επιτροπή πρέπει να διασφαλίσει ότι το Ευρωπαϊκό Εξάμηνο και το πλαίσιο οικονομικής διακυβέρνησης της ΕΕ αξιολογούν τον αντίκτυπο των συνιστώμενων μεταρρυθμίσεων στην ισότητα των φύλων και την ένταξη των γυναικών στην αγορά εργασίας, και να προωθήσει τις επενδύσεις σε ποιοτικές δημόσιες υπηρεσίες και υποδομές φροντίδας· </w:t>
      </w:r>
    </w:p>
    <w:p w14:paraId="64195C42" w14:textId="2CDEF24A" w:rsidR="00671F6D" w:rsidRPr="005C37F5" w:rsidRDefault="00BD4943" w:rsidP="00BD4943">
      <w:pPr>
        <w:pStyle w:val="NormalHanging12a"/>
        <w:ind w:left="567" w:hanging="570"/>
      </w:pPr>
      <w:r w:rsidRPr="005C37F5">
        <w:t>27.</w:t>
      </w:r>
      <w:r w:rsidRPr="005C37F5">
        <w:tab/>
      </w:r>
      <w:r w:rsidR="00671F6D" w:rsidRPr="005C37F5">
        <w:t>εφιστά την προσοχή στην έλλειψη διαφανούς μεθοδολογίας για τη διατύπωση ειδικών ανά χώρα συστάσεων και σαφήνειας όσον αφορά τα κριτήρια που χρησιμοποιούνται για την επιλογή τους· προειδοποιεί ότι αυτό υπονομεύει τη λογοδοσία και ενέχει τον κίνδυνο άνισης μεταχείρισης των κρατών μελών· καλεί την Επιτροπή να διασφαλίσει πλήρη διαφάνεια όσον αφορά τις διαδικασίες και την εσωτερική λήψη αποφάσεων, συμπεριλαμβανομένων των εμπλεκόμενων γενικών διευθύνσεων, και να ενισχύσει τη λογοδοσία και την ανταλλαγή πληροφοριών με το Κοινοβούλιο· εκφράζει την ανησυχία του για το γεγονός ότι η συμμόρφωση με τις ειδικές ανά χώρα συστάσεις παραμένει σταθερά χαμηλή· καλεί τα κράτη μέλη να λάβουν καλύτερα υπόψη τις συστάσεις στους τομείς της απασχόλησης και των κοινωνικών πολιτικών· καλεί την Επιτροπή να ενισχύσει τον διάλογό της με τα κράτη μέλη σχετικά με την εφαρμογή των υφιστάμενων συστάσεων και των κατευθυντήριων γραμμών για την απασχόληση, συμπεριλαμβανομένης της παρακολούθησης των τρεχουσών και προγραμματισμένων δράσεων πολιτικής·</w:t>
      </w:r>
    </w:p>
    <w:p w14:paraId="3BF53FB2" w14:textId="1BA89168" w:rsidR="005C37F5" w:rsidRPr="005C37F5" w:rsidRDefault="00BD4943" w:rsidP="00BD4943">
      <w:pPr>
        <w:pStyle w:val="NormalHanging12a"/>
        <w:ind w:left="567" w:hanging="570"/>
      </w:pPr>
      <w:r w:rsidRPr="005C37F5">
        <w:t>28.</w:t>
      </w:r>
      <w:r w:rsidRPr="005C37F5">
        <w:tab/>
      </w:r>
      <w:r w:rsidR="00671F6D" w:rsidRPr="005C37F5">
        <w:t>αναθέτει στην Πρόεδρό του να διαβιβάσει το παρόν ψήφισμα στο Συμβούλιο και στην Επιτροπή.</w:t>
      </w:r>
    </w:p>
    <w:p w14:paraId="61DD4A7D" w14:textId="3AD87371" w:rsidR="00E365E1" w:rsidRPr="005C37F5" w:rsidRDefault="00E365E1" w:rsidP="00320E85"/>
    <w:sectPr w:rsidR="00E365E1" w:rsidRPr="005C37F5" w:rsidSect="005C37F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D91D5C" w14:textId="77777777" w:rsidR="00320E85" w:rsidRPr="005C37F5" w:rsidRDefault="00320E85">
      <w:r w:rsidRPr="005C37F5">
        <w:separator/>
      </w:r>
    </w:p>
  </w:endnote>
  <w:endnote w:type="continuationSeparator" w:id="0">
    <w:p w14:paraId="28B45991" w14:textId="77777777" w:rsidR="00320E85" w:rsidRPr="005C37F5" w:rsidRDefault="00320E85">
      <w:r w:rsidRPr="005C37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860D2" w14:textId="77777777" w:rsidR="00064002" w:rsidRPr="005C37F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723C2" w14:textId="77777777" w:rsidR="00064002" w:rsidRPr="005C37F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1EF68" w14:textId="77777777" w:rsidR="00064002" w:rsidRPr="005C37F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3E18D1" w14:textId="77777777" w:rsidR="00320E85" w:rsidRPr="005C37F5" w:rsidRDefault="00320E85">
      <w:r w:rsidRPr="005C37F5">
        <w:separator/>
      </w:r>
    </w:p>
  </w:footnote>
  <w:footnote w:type="continuationSeparator" w:id="0">
    <w:p w14:paraId="138E9FA8" w14:textId="77777777" w:rsidR="00320E85" w:rsidRPr="005C37F5" w:rsidRDefault="00320E85">
      <w:r w:rsidRPr="005C37F5">
        <w:continuationSeparator/>
      </w:r>
    </w:p>
  </w:footnote>
  <w:footnote w:id="1">
    <w:p w14:paraId="10F0CFE5" w14:textId="7D2D206D" w:rsidR="00671F6D" w:rsidRPr="00BD4943" w:rsidRDefault="00671F6D" w:rsidP="001F46D2">
      <w:pPr>
        <w:pStyle w:val="FootnoteText"/>
        <w:ind w:left="567" w:hanging="567"/>
        <w:rPr>
          <w:sz w:val="24"/>
          <w:lang w:val="fi-FI"/>
        </w:rPr>
      </w:pPr>
      <w:r w:rsidRPr="005C37F5">
        <w:rPr>
          <w:rStyle w:val="FootnoteReference"/>
          <w:sz w:val="24"/>
          <w:lang w:val="el-GR"/>
        </w:rPr>
        <w:footnoteRef/>
      </w:r>
      <w:r w:rsidR="005C37F5" w:rsidRPr="00BD4943">
        <w:rPr>
          <w:sz w:val="24"/>
          <w:lang w:val="fi-FI"/>
        </w:rPr>
        <w:t xml:space="preserve"> </w:t>
      </w:r>
      <w:r w:rsidR="005C37F5" w:rsidRPr="00BD4943">
        <w:rPr>
          <w:sz w:val="24"/>
          <w:lang w:val="fi-FI"/>
        </w:rPr>
        <w:tab/>
      </w:r>
      <w:r w:rsidRPr="005C37F5">
        <w:rPr>
          <w:sz w:val="24"/>
          <w:lang w:val="el-GR"/>
        </w:rPr>
        <w:t>ΕΕ</w:t>
      </w:r>
      <w:r w:rsidRPr="00BD4943">
        <w:rPr>
          <w:sz w:val="24"/>
          <w:lang w:val="fi-FI"/>
        </w:rPr>
        <w:t xml:space="preserve"> L, 2024/1263, 30.4.2024, ELI: </w:t>
      </w:r>
      <w:hyperlink r:id="rId1" w:history="1">
        <w:r w:rsidRPr="00BD4943">
          <w:rPr>
            <w:rStyle w:val="Hyperlink"/>
            <w:sz w:val="24"/>
            <w:lang w:val="fi-FI"/>
          </w:rPr>
          <w:t>http://data.europa.eu/eli/reg/2024/1263/oj</w:t>
        </w:r>
      </w:hyperlink>
      <w:r w:rsidRPr="00BD4943">
        <w:rPr>
          <w:sz w:val="24"/>
          <w:lang w:val="fi-FI"/>
        </w:rPr>
        <w:t>.</w:t>
      </w:r>
    </w:p>
  </w:footnote>
  <w:footnote w:id="2">
    <w:p w14:paraId="01643114" w14:textId="480C9064" w:rsidR="00671F6D" w:rsidRPr="005C37F5" w:rsidRDefault="00671F6D" w:rsidP="001F46D2">
      <w:pPr>
        <w:pStyle w:val="FootnoteText"/>
        <w:ind w:left="567" w:hanging="567"/>
        <w:rPr>
          <w:sz w:val="24"/>
          <w:lang w:val="el-GR"/>
        </w:rPr>
      </w:pPr>
      <w:r w:rsidRPr="005C37F5">
        <w:rPr>
          <w:rStyle w:val="FootnoteReference"/>
          <w:sz w:val="24"/>
          <w:lang w:val="el-GR"/>
        </w:rPr>
        <w:footnoteRef/>
      </w:r>
      <w:r w:rsidR="005C37F5" w:rsidRPr="005C37F5">
        <w:rPr>
          <w:sz w:val="24"/>
          <w:lang w:val="el-GR"/>
        </w:rPr>
        <w:t xml:space="preserve"> </w:t>
      </w:r>
      <w:r w:rsidR="005C37F5" w:rsidRPr="005C37F5">
        <w:rPr>
          <w:sz w:val="24"/>
          <w:lang w:val="el-GR"/>
        </w:rPr>
        <w:tab/>
      </w:r>
      <w:r w:rsidRPr="005C37F5">
        <w:rPr>
          <w:sz w:val="24"/>
          <w:lang w:val="el-GR"/>
        </w:rPr>
        <w:t>Ευρωπαϊκή Επιτροπή, «Απασχόληση και κοινωνικές εξελίξεις στην Ευρώπη (ESDE) 2024», Σεπτέμβριος 2024</w:t>
      </w:r>
    </w:p>
  </w:footnote>
  <w:footnote w:id="3">
    <w:p w14:paraId="7BBB782C" w14:textId="709903FB" w:rsidR="00671F6D" w:rsidRPr="005C37F5" w:rsidRDefault="00671F6D" w:rsidP="001F46D2">
      <w:pPr>
        <w:pStyle w:val="FootnoteText"/>
        <w:ind w:left="567" w:hanging="567"/>
        <w:rPr>
          <w:sz w:val="24"/>
          <w:lang w:val="el-GR"/>
        </w:rPr>
      </w:pPr>
      <w:r w:rsidRPr="005C37F5">
        <w:rPr>
          <w:rStyle w:val="FootnoteReference"/>
          <w:sz w:val="24"/>
          <w:lang w:val="el-GR"/>
        </w:rPr>
        <w:footnoteRef/>
      </w:r>
      <w:r w:rsidR="005C37F5" w:rsidRPr="005C37F5">
        <w:rPr>
          <w:sz w:val="24"/>
          <w:lang w:val="el-GR"/>
        </w:rPr>
        <w:t xml:space="preserve"> </w:t>
      </w:r>
      <w:r w:rsidR="005C37F5" w:rsidRPr="005C37F5">
        <w:rPr>
          <w:sz w:val="24"/>
          <w:lang w:val="el-GR"/>
        </w:rPr>
        <w:tab/>
      </w:r>
      <w:r w:rsidRPr="005C37F5">
        <w:rPr>
          <w:sz w:val="24"/>
          <w:lang w:val="el-GR"/>
        </w:rPr>
        <w:t>Έγγραφο εργασίας των υπηρεσιών της Επιτροπής, της 27ης Μαΐου 2020, με τίτλο «</w:t>
      </w:r>
      <w:proofErr w:type="spellStart"/>
      <w:r w:rsidRPr="005C37F5">
        <w:rPr>
          <w:sz w:val="24"/>
          <w:lang w:val="el-GR"/>
        </w:rPr>
        <w:t>Identifying</w:t>
      </w:r>
      <w:proofErr w:type="spellEnd"/>
      <w:r w:rsidRPr="005C37F5">
        <w:rPr>
          <w:sz w:val="24"/>
          <w:lang w:val="el-GR"/>
        </w:rPr>
        <w:t xml:space="preserve"> </w:t>
      </w:r>
      <w:proofErr w:type="spellStart"/>
      <w:r w:rsidRPr="005C37F5">
        <w:rPr>
          <w:sz w:val="24"/>
          <w:lang w:val="el-GR"/>
        </w:rPr>
        <w:t>Europe’s</w:t>
      </w:r>
      <w:proofErr w:type="spellEnd"/>
      <w:r w:rsidRPr="005C37F5">
        <w:rPr>
          <w:sz w:val="24"/>
          <w:lang w:val="el-GR"/>
        </w:rPr>
        <w:t xml:space="preserve"> </w:t>
      </w:r>
      <w:proofErr w:type="spellStart"/>
      <w:r w:rsidRPr="005C37F5">
        <w:rPr>
          <w:sz w:val="24"/>
          <w:lang w:val="el-GR"/>
        </w:rPr>
        <w:t>recovery</w:t>
      </w:r>
      <w:proofErr w:type="spellEnd"/>
      <w:r w:rsidRPr="005C37F5">
        <w:rPr>
          <w:sz w:val="24"/>
          <w:lang w:val="el-GR"/>
        </w:rPr>
        <w:t xml:space="preserve"> </w:t>
      </w:r>
      <w:proofErr w:type="spellStart"/>
      <w:r w:rsidRPr="005C37F5">
        <w:rPr>
          <w:sz w:val="24"/>
          <w:lang w:val="el-GR"/>
        </w:rPr>
        <w:t>needs</w:t>
      </w:r>
      <w:proofErr w:type="spellEnd"/>
      <w:r w:rsidRPr="005C37F5">
        <w:rPr>
          <w:sz w:val="24"/>
          <w:lang w:val="el-GR"/>
        </w:rPr>
        <w:t>» (Προσδιορισμός των αναγκών ανάκαμψης της Ευρώπης) (SWD(2020</w:t>
      </w:r>
      <w:r w:rsidR="008B6ECC">
        <w:rPr>
          <w:sz w:val="24"/>
          <w:lang w:val="el-GR"/>
        </w:rPr>
        <w:t>)</w:t>
      </w:r>
      <w:r w:rsidRPr="005C37F5">
        <w:rPr>
          <w:sz w:val="24"/>
          <w:lang w:val="el-GR"/>
        </w:rPr>
        <w:t>0098) που συνοδεύει την ανακοίνωση της Επιτροπής με τίτλο «Η ώρα της Ευρώπης: ανασύνταξη και προετοιμασία για την επόμενη γενιά» (COM(2020)0456).</w:t>
      </w:r>
    </w:p>
  </w:footnote>
  <w:footnote w:id="4">
    <w:p w14:paraId="61FE1AC2" w14:textId="1AEB72E7" w:rsidR="00671F6D" w:rsidRPr="005C37F5" w:rsidRDefault="00671F6D" w:rsidP="001F46D2">
      <w:pPr>
        <w:pStyle w:val="FootnoteText"/>
        <w:ind w:left="567" w:hanging="567"/>
        <w:rPr>
          <w:sz w:val="24"/>
          <w:lang w:val="el-GR"/>
        </w:rPr>
      </w:pPr>
      <w:r w:rsidRPr="005C37F5">
        <w:rPr>
          <w:rStyle w:val="FootnoteReference"/>
          <w:sz w:val="24"/>
          <w:lang w:val="el-GR"/>
        </w:rPr>
        <w:footnoteRef/>
      </w:r>
      <w:r w:rsidR="005C37F5" w:rsidRPr="005C37F5">
        <w:rPr>
          <w:sz w:val="24"/>
          <w:lang w:val="el-GR"/>
        </w:rPr>
        <w:t xml:space="preserve"> </w:t>
      </w:r>
      <w:r w:rsidR="005C37F5" w:rsidRPr="005C37F5">
        <w:rPr>
          <w:sz w:val="24"/>
          <w:lang w:val="el-GR"/>
        </w:rPr>
        <w:tab/>
      </w:r>
      <w:r w:rsidRPr="005C37F5">
        <w:rPr>
          <w:sz w:val="24"/>
          <w:lang w:val="el-GR"/>
        </w:rPr>
        <w:t>Ευρωπαϊκό Ινστιτούτο για την Ισότητα των Φύλων, «</w:t>
      </w:r>
      <w:proofErr w:type="spellStart"/>
      <w:r w:rsidRPr="005C37F5">
        <w:rPr>
          <w:sz w:val="24"/>
          <w:lang w:val="el-GR"/>
        </w:rPr>
        <w:t>Gender</w:t>
      </w:r>
      <w:proofErr w:type="spellEnd"/>
      <w:r w:rsidRPr="005C37F5">
        <w:rPr>
          <w:sz w:val="24"/>
          <w:lang w:val="el-GR"/>
        </w:rPr>
        <w:t xml:space="preserve"> </w:t>
      </w:r>
      <w:proofErr w:type="spellStart"/>
      <w:r w:rsidRPr="005C37F5">
        <w:rPr>
          <w:sz w:val="24"/>
          <w:lang w:val="el-GR"/>
        </w:rPr>
        <w:t>Equality</w:t>
      </w:r>
      <w:proofErr w:type="spellEnd"/>
      <w:r w:rsidRPr="005C37F5">
        <w:rPr>
          <w:sz w:val="24"/>
          <w:lang w:val="el-GR"/>
        </w:rPr>
        <w:t xml:space="preserve"> </w:t>
      </w:r>
      <w:proofErr w:type="spellStart"/>
      <w:r w:rsidRPr="005C37F5">
        <w:rPr>
          <w:sz w:val="24"/>
          <w:lang w:val="el-GR"/>
        </w:rPr>
        <w:t>Index</w:t>
      </w:r>
      <w:proofErr w:type="spellEnd"/>
      <w:r w:rsidRPr="005C37F5">
        <w:rPr>
          <w:sz w:val="24"/>
          <w:lang w:val="el-GR"/>
        </w:rPr>
        <w:t xml:space="preserve">» (Δείκτης ισότητας των φύλων), </w:t>
      </w:r>
      <w:hyperlink r:id="rId2" w:history="1">
        <w:r w:rsidRPr="005C37F5">
          <w:rPr>
            <w:rStyle w:val="Hyperlink"/>
            <w:sz w:val="24"/>
            <w:lang w:val="el-GR"/>
          </w:rPr>
          <w:t>https://eige.europa.eu/gender-equality-index/2025/country</w:t>
        </w:r>
      </w:hyperlink>
      <w:r w:rsidRPr="005C37F5">
        <w:rPr>
          <w:sz w:val="24"/>
          <w:lang w:val="el-GR"/>
        </w:rPr>
        <w:t>.</w:t>
      </w:r>
    </w:p>
  </w:footnote>
  <w:footnote w:id="5">
    <w:p w14:paraId="280DFDEE" w14:textId="22618635" w:rsidR="001F46D2" w:rsidRPr="00BD4943" w:rsidRDefault="001F46D2" w:rsidP="00BD4943">
      <w:pPr>
        <w:pStyle w:val="FootnoteText"/>
        <w:ind w:left="567" w:hanging="567"/>
        <w:rPr>
          <w:sz w:val="24"/>
          <w:szCs w:val="24"/>
          <w:lang w:val="el-GR"/>
        </w:rPr>
      </w:pPr>
      <w:r w:rsidRPr="00BD4943">
        <w:rPr>
          <w:rStyle w:val="FootnoteReference"/>
          <w:sz w:val="24"/>
          <w:szCs w:val="24"/>
        </w:rPr>
        <w:footnoteRef/>
      </w:r>
      <w:r w:rsidRPr="00BD4943">
        <w:rPr>
          <w:sz w:val="24"/>
          <w:szCs w:val="24"/>
          <w:lang w:val="el-GR"/>
        </w:rPr>
        <w:t xml:space="preserve"> </w:t>
      </w:r>
      <w:r w:rsidRPr="00BD4943">
        <w:rPr>
          <w:sz w:val="24"/>
          <w:szCs w:val="24"/>
          <w:lang w:val="el-GR"/>
        </w:rPr>
        <w:tab/>
        <w:t xml:space="preserve">ΕΕ L 223 της 22.6.2021, σ. 14, ELI: </w:t>
      </w:r>
      <w:hyperlink r:id="rId3" w:history="1">
        <w:r w:rsidRPr="00BD4943">
          <w:rPr>
            <w:rStyle w:val="Hyperlink"/>
            <w:sz w:val="24"/>
            <w:szCs w:val="24"/>
          </w:rPr>
          <w:t>http</w:t>
        </w:r>
        <w:r w:rsidRPr="00BD4943">
          <w:rPr>
            <w:rStyle w:val="Hyperlink"/>
            <w:sz w:val="24"/>
            <w:szCs w:val="24"/>
            <w:lang w:val="el-GR"/>
          </w:rPr>
          <w:t>://</w:t>
        </w:r>
        <w:r w:rsidRPr="00BD4943">
          <w:rPr>
            <w:rStyle w:val="Hyperlink"/>
            <w:sz w:val="24"/>
            <w:szCs w:val="24"/>
          </w:rPr>
          <w:t>data</w:t>
        </w:r>
        <w:r w:rsidRPr="00BD4943">
          <w:rPr>
            <w:rStyle w:val="Hyperlink"/>
            <w:sz w:val="24"/>
            <w:szCs w:val="24"/>
            <w:lang w:val="el-GR"/>
          </w:rPr>
          <w:t>.</w:t>
        </w:r>
        <w:proofErr w:type="spellStart"/>
        <w:r w:rsidRPr="00BD4943">
          <w:rPr>
            <w:rStyle w:val="Hyperlink"/>
            <w:sz w:val="24"/>
            <w:szCs w:val="24"/>
          </w:rPr>
          <w:t>europa</w:t>
        </w:r>
        <w:proofErr w:type="spellEnd"/>
        <w:r w:rsidRPr="00BD4943">
          <w:rPr>
            <w:rStyle w:val="Hyperlink"/>
            <w:sz w:val="24"/>
            <w:szCs w:val="24"/>
            <w:lang w:val="el-GR"/>
          </w:rPr>
          <w:t>.</w:t>
        </w:r>
        <w:r w:rsidRPr="00BD4943">
          <w:rPr>
            <w:rStyle w:val="Hyperlink"/>
            <w:sz w:val="24"/>
            <w:szCs w:val="24"/>
          </w:rPr>
          <w:t>eu</w:t>
        </w:r>
        <w:r w:rsidRPr="00BD4943">
          <w:rPr>
            <w:rStyle w:val="Hyperlink"/>
            <w:sz w:val="24"/>
            <w:szCs w:val="24"/>
            <w:lang w:val="el-GR"/>
          </w:rPr>
          <w:t>/</w:t>
        </w:r>
        <w:proofErr w:type="spellStart"/>
        <w:r w:rsidRPr="00BD4943">
          <w:rPr>
            <w:rStyle w:val="Hyperlink"/>
            <w:sz w:val="24"/>
            <w:szCs w:val="24"/>
          </w:rPr>
          <w:t>eli</w:t>
        </w:r>
        <w:proofErr w:type="spellEnd"/>
        <w:r w:rsidRPr="00BD4943">
          <w:rPr>
            <w:rStyle w:val="Hyperlink"/>
            <w:sz w:val="24"/>
            <w:szCs w:val="24"/>
            <w:lang w:val="el-GR"/>
          </w:rPr>
          <w:t>/</w:t>
        </w:r>
        <w:r w:rsidRPr="00BD4943">
          <w:rPr>
            <w:rStyle w:val="Hyperlink"/>
            <w:sz w:val="24"/>
            <w:szCs w:val="24"/>
          </w:rPr>
          <w:t>reco</w:t>
        </w:r>
        <w:r w:rsidRPr="00BD4943">
          <w:rPr>
            <w:rStyle w:val="Hyperlink"/>
            <w:sz w:val="24"/>
            <w:szCs w:val="24"/>
            <w:lang w:val="el-GR"/>
          </w:rPr>
          <w:t>/2021/1004/</w:t>
        </w:r>
        <w:proofErr w:type="spellStart"/>
        <w:r w:rsidRPr="00BD4943">
          <w:rPr>
            <w:rStyle w:val="Hyperlink"/>
            <w:sz w:val="24"/>
            <w:szCs w:val="24"/>
          </w:rPr>
          <w:t>oj</w:t>
        </w:r>
        <w:proofErr w:type="spellEnd"/>
      </w:hyperlink>
      <w:r w:rsidRPr="00BD4943">
        <w:rPr>
          <w:sz w:val="24"/>
          <w:szCs w:val="24"/>
          <w:lang w:val="el-GR"/>
        </w:rPr>
        <w:t>.</w:t>
      </w:r>
    </w:p>
  </w:footnote>
  <w:footnote w:id="6">
    <w:p w14:paraId="6C5563B5" w14:textId="09555575" w:rsidR="00671F6D" w:rsidRPr="005C37F5" w:rsidRDefault="00671F6D" w:rsidP="001F46D2">
      <w:pPr>
        <w:pStyle w:val="FootnoteText"/>
        <w:ind w:left="567" w:hanging="567"/>
        <w:rPr>
          <w:sz w:val="24"/>
          <w:lang w:val="el-GR"/>
        </w:rPr>
      </w:pPr>
      <w:r w:rsidRPr="005C37F5">
        <w:rPr>
          <w:rStyle w:val="FootnoteReference"/>
          <w:sz w:val="24"/>
          <w:lang w:val="el-GR"/>
        </w:rPr>
        <w:footnoteRef/>
      </w:r>
      <w:r w:rsidR="005C37F5" w:rsidRPr="005C37F5">
        <w:rPr>
          <w:sz w:val="24"/>
          <w:lang w:val="el-GR"/>
        </w:rPr>
        <w:t xml:space="preserve"> </w:t>
      </w:r>
      <w:r w:rsidR="005C37F5" w:rsidRPr="005C37F5">
        <w:rPr>
          <w:sz w:val="24"/>
          <w:lang w:val="el-GR"/>
        </w:rPr>
        <w:tab/>
      </w:r>
      <w:r w:rsidRPr="005C37F5">
        <w:rPr>
          <w:sz w:val="24"/>
          <w:lang w:val="el-GR"/>
        </w:rPr>
        <w:t>Κανονισμός (ΕΕ) 2021/1057 του Ευρωπαϊκού Κοινοβουλίου και του Συμβουλίου, της 24ης Ιουνίου 2021, περί ιδρύσεως του Ευρωπαϊκού Κοινωνικού Ταμείου+ (ΕΚΤ+) και καταργήσεως του κανονισμού (ΕΕ) αριθ. 1296/2013 (ΕΕ L 231 της 30.6.2021, σ. 21, ELI: </w:t>
      </w:r>
      <w:hyperlink r:id="rId4" w:tooltip="Παρέχει πρόσβαση στο έγγραφο μέσω του ELI URI." w:history="1">
        <w:r w:rsidRPr="005C37F5">
          <w:rPr>
            <w:rStyle w:val="Hyperlink"/>
            <w:sz w:val="24"/>
            <w:lang w:val="el-GR"/>
          </w:rPr>
          <w:t>http://data.europa.eu/eli/reg/2021/1057/oj</w:t>
        </w:r>
      </w:hyperlink>
      <w:r w:rsidRPr="005C37F5">
        <w:rPr>
          <w:sz w:val="24"/>
          <w:lang w:val="el-GR"/>
        </w:rPr>
        <w:t>).</w:t>
      </w:r>
    </w:p>
  </w:footnote>
  <w:footnote w:id="7">
    <w:p w14:paraId="2D43E1C5" w14:textId="072DD8E0" w:rsidR="001F46D2" w:rsidRPr="00BD4943" w:rsidRDefault="001F46D2" w:rsidP="00BD4943">
      <w:pPr>
        <w:pStyle w:val="FootnoteText"/>
        <w:ind w:left="567" w:hanging="567"/>
        <w:rPr>
          <w:sz w:val="24"/>
          <w:szCs w:val="24"/>
          <w:lang w:val="el-GR"/>
        </w:rPr>
      </w:pPr>
      <w:r w:rsidRPr="00BD4943">
        <w:rPr>
          <w:rStyle w:val="FootnoteReference"/>
          <w:sz w:val="24"/>
          <w:szCs w:val="24"/>
        </w:rPr>
        <w:footnoteRef/>
      </w:r>
      <w:r w:rsidRPr="00BD4943">
        <w:rPr>
          <w:sz w:val="24"/>
          <w:szCs w:val="24"/>
          <w:lang w:val="el-GR"/>
        </w:rPr>
        <w:t xml:space="preserve"> </w:t>
      </w:r>
      <w:r>
        <w:rPr>
          <w:sz w:val="24"/>
          <w:szCs w:val="24"/>
          <w:lang w:val="el-GR"/>
        </w:rPr>
        <w:tab/>
      </w:r>
      <w:r w:rsidRPr="00BD4943">
        <w:rPr>
          <w:sz w:val="24"/>
          <w:szCs w:val="24"/>
          <w:lang w:val="el-GR"/>
        </w:rPr>
        <w:t>Πρόταση οδηγίας του Ευρωπαϊκού Κοινοβουλίου και του Συμβουλίου, της 20ής</w:t>
      </w:r>
      <w:r w:rsidR="00AD2571">
        <w:rPr>
          <w:sz w:val="24"/>
          <w:szCs w:val="24"/>
          <w:lang w:val="en-GB"/>
        </w:rPr>
        <w:t> </w:t>
      </w:r>
      <w:r w:rsidRPr="00BD4943">
        <w:rPr>
          <w:sz w:val="24"/>
          <w:szCs w:val="24"/>
          <w:lang w:val="el-GR"/>
        </w:rPr>
        <w:t>Μαρτίου 2024, για τη βελτίωση και την επιβολή των όρων εργασίας των ασκούμενων και την καταπολέμηση της πρακτικής άσκησης που υποκρύπτει κανονικές εργασιακές σχέσεις (οδηγία για την πρακτική άσκηση) (</w:t>
      </w:r>
      <w:r w:rsidRPr="00BD4943">
        <w:rPr>
          <w:sz w:val="24"/>
          <w:szCs w:val="24"/>
        </w:rPr>
        <w:t>COM</w:t>
      </w:r>
      <w:r w:rsidRPr="00BD4943">
        <w:rPr>
          <w:sz w:val="24"/>
          <w:szCs w:val="24"/>
          <w:lang w:val="el-GR"/>
        </w:rPr>
        <w:t>(2024)0132).</w:t>
      </w:r>
    </w:p>
  </w:footnote>
  <w:footnote w:id="8">
    <w:p w14:paraId="22DF11CA" w14:textId="393AB117" w:rsidR="00671F6D" w:rsidRPr="005C37F5" w:rsidRDefault="00671F6D" w:rsidP="001F46D2">
      <w:pPr>
        <w:pStyle w:val="FootnoteText"/>
        <w:ind w:left="567" w:hanging="567"/>
        <w:rPr>
          <w:sz w:val="24"/>
          <w:lang w:val="el-GR"/>
        </w:rPr>
      </w:pPr>
      <w:r w:rsidRPr="005C37F5">
        <w:rPr>
          <w:rStyle w:val="FootnoteReference"/>
          <w:sz w:val="24"/>
          <w:lang w:val="el-GR"/>
        </w:rPr>
        <w:footnoteRef/>
      </w:r>
      <w:r w:rsidR="005C37F5" w:rsidRPr="005C37F5">
        <w:rPr>
          <w:sz w:val="24"/>
          <w:lang w:val="el-GR"/>
        </w:rPr>
        <w:t xml:space="preserve"> </w:t>
      </w:r>
      <w:r w:rsidR="005C37F5" w:rsidRPr="005C37F5">
        <w:rPr>
          <w:sz w:val="24"/>
          <w:lang w:val="el-GR"/>
        </w:rPr>
        <w:tab/>
      </w:r>
      <w:r w:rsidRPr="005C37F5">
        <w:rPr>
          <w:sz w:val="24"/>
          <w:lang w:val="el-GR"/>
        </w:rPr>
        <w:t>Οδηγία (ΕΕ) 2022/2041 του Ευρωπαϊκού Κοινοβουλίου και του Συμβουλίου, της 19ης</w:t>
      </w:r>
      <w:r w:rsidR="008B6ECC">
        <w:rPr>
          <w:sz w:val="24"/>
          <w:lang w:val="el-GR"/>
        </w:rPr>
        <w:t> </w:t>
      </w:r>
      <w:r w:rsidRPr="005C37F5">
        <w:rPr>
          <w:sz w:val="24"/>
          <w:lang w:val="el-GR"/>
        </w:rPr>
        <w:t>Οκτωβρίου 2022, για επαρκείς κατώτατους μισθούς στην Ευρωπαϊκή Ένωση (ΕΕ L 275 της 25.10.2022, σ. 33, ELI: </w:t>
      </w:r>
      <w:hyperlink r:id="rId5" w:tooltip="Παρέχει πρόσβαση στο έγγραφο μέσω του ELI URI." w:history="1">
        <w:r w:rsidRPr="005C37F5">
          <w:rPr>
            <w:rStyle w:val="Hyperlink"/>
            <w:sz w:val="24"/>
            <w:lang w:val="el-GR"/>
          </w:rPr>
          <w:t>http://data.europa.eu/eli/dir/2022/2041/oj</w:t>
        </w:r>
      </w:hyperlink>
      <w:r w:rsidRPr="005C37F5">
        <w:rPr>
          <w:sz w:val="24"/>
          <w:lang w:val="el-GR"/>
        </w:rPr>
        <w:t xml:space="preserve">). </w:t>
      </w:r>
    </w:p>
  </w:footnote>
  <w:footnote w:id="9">
    <w:p w14:paraId="62BA2FBF" w14:textId="0F42A9DC" w:rsidR="00671F6D" w:rsidRPr="005C37F5" w:rsidRDefault="00671F6D" w:rsidP="001F46D2">
      <w:pPr>
        <w:pStyle w:val="FootnoteText"/>
        <w:ind w:left="567" w:hanging="567"/>
        <w:rPr>
          <w:sz w:val="24"/>
          <w:lang w:val="el-GR"/>
        </w:rPr>
      </w:pPr>
      <w:r w:rsidRPr="005C37F5">
        <w:rPr>
          <w:rStyle w:val="FootnoteReference"/>
          <w:sz w:val="24"/>
          <w:lang w:val="el-GR"/>
        </w:rPr>
        <w:footnoteRef/>
      </w:r>
      <w:r w:rsidR="005C37F5" w:rsidRPr="005C37F5">
        <w:rPr>
          <w:sz w:val="24"/>
          <w:lang w:val="el-GR"/>
        </w:rPr>
        <w:t xml:space="preserve"> </w:t>
      </w:r>
      <w:r w:rsidR="005C37F5" w:rsidRPr="005C37F5">
        <w:rPr>
          <w:sz w:val="24"/>
          <w:lang w:val="el-GR"/>
        </w:rPr>
        <w:tab/>
      </w:r>
      <w:r w:rsidRPr="005C37F5">
        <w:rPr>
          <w:sz w:val="24"/>
          <w:lang w:val="el-GR"/>
        </w:rPr>
        <w:t>Σύσταση του Συμβουλίου, της 30ής Ιανουαρίου 2023, σχετικά με επαρκές ελάχιστο εισόδημα που διασφαλίζει την ενεργό ένταξη 2023/C 41/01 (ΕΕ C 41 της 3.2.2023, σ.</w:t>
      </w:r>
      <w:r w:rsidR="008B6ECC">
        <w:rPr>
          <w:sz w:val="24"/>
          <w:lang w:val="el-GR"/>
        </w:rPr>
        <w:t> </w:t>
      </w:r>
      <w:r w:rsidRPr="005C37F5">
        <w:rPr>
          <w:sz w:val="24"/>
          <w:lang w:val="el-GR"/>
        </w:rPr>
        <w:t>1).</w:t>
      </w:r>
    </w:p>
  </w:footnote>
  <w:footnote w:id="10">
    <w:p w14:paraId="1BC6A986" w14:textId="5D6F8364" w:rsidR="00671F6D" w:rsidRPr="005C37F5" w:rsidRDefault="00671F6D" w:rsidP="001F46D2">
      <w:pPr>
        <w:pStyle w:val="FootnoteText"/>
        <w:ind w:left="567" w:hanging="567"/>
        <w:rPr>
          <w:sz w:val="24"/>
          <w:lang w:val="el-GR"/>
        </w:rPr>
      </w:pPr>
      <w:r w:rsidRPr="005C37F5">
        <w:rPr>
          <w:rStyle w:val="FootnoteReference"/>
          <w:sz w:val="24"/>
          <w:lang w:val="el-GR"/>
        </w:rPr>
        <w:footnoteRef/>
      </w:r>
      <w:r w:rsidR="005C37F5" w:rsidRPr="005C37F5">
        <w:rPr>
          <w:sz w:val="24"/>
          <w:lang w:val="el-GR"/>
        </w:rPr>
        <w:t xml:space="preserve"> </w:t>
      </w:r>
      <w:r w:rsidR="005C37F5" w:rsidRPr="005C37F5">
        <w:rPr>
          <w:sz w:val="24"/>
          <w:lang w:val="el-GR"/>
        </w:rPr>
        <w:tab/>
      </w:r>
      <w:r w:rsidRPr="005C37F5">
        <w:rPr>
          <w:sz w:val="24"/>
          <w:lang w:val="el-GR"/>
        </w:rPr>
        <w:t>Σύσταση του Συμβουλίου, της 8ης Νοεμβρίου 2019, σχετικά με την πρόσβαση στην κοινωνική προστασία για τους εργαζομένους και τους αυτοαπασχολούμενους (ΕΕ C 387 της 15.11.2019, σ.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FAE7A" w14:textId="77777777" w:rsidR="00064002" w:rsidRPr="005C37F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D0028" w14:textId="77777777" w:rsidR="00064002" w:rsidRPr="005C37F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79C1D" w14:textId="77777777" w:rsidR="00064002" w:rsidRPr="005C37F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5D51295E"/>
    <w:multiLevelType w:val="hybridMultilevel"/>
    <w:tmpl w:val="59EE707A"/>
    <w:lvl w:ilvl="0" w:tplc="ADCC1A54">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6F01897"/>
    <w:multiLevelType w:val="hybridMultilevel"/>
    <w:tmpl w:val="203E5E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95983191">
    <w:abstractNumId w:val="9"/>
  </w:num>
  <w:num w:numId="2" w16cid:durableId="1514221449">
    <w:abstractNumId w:val="9"/>
  </w:num>
  <w:num w:numId="3" w16cid:durableId="499540256">
    <w:abstractNumId w:val="7"/>
  </w:num>
  <w:num w:numId="4" w16cid:durableId="1602759381">
    <w:abstractNumId w:val="7"/>
  </w:num>
  <w:num w:numId="5" w16cid:durableId="261643569">
    <w:abstractNumId w:val="6"/>
  </w:num>
  <w:num w:numId="6" w16cid:durableId="795296513">
    <w:abstractNumId w:val="6"/>
  </w:num>
  <w:num w:numId="7" w16cid:durableId="2124886155">
    <w:abstractNumId w:val="5"/>
  </w:num>
  <w:num w:numId="8" w16cid:durableId="978074049">
    <w:abstractNumId w:val="5"/>
  </w:num>
  <w:num w:numId="9" w16cid:durableId="896815596">
    <w:abstractNumId w:val="4"/>
  </w:num>
  <w:num w:numId="10" w16cid:durableId="646981486">
    <w:abstractNumId w:val="4"/>
  </w:num>
  <w:num w:numId="11" w16cid:durableId="8071375">
    <w:abstractNumId w:val="8"/>
  </w:num>
  <w:num w:numId="12" w16cid:durableId="1886331451">
    <w:abstractNumId w:val="8"/>
  </w:num>
  <w:num w:numId="13" w16cid:durableId="423109760">
    <w:abstractNumId w:val="3"/>
  </w:num>
  <w:num w:numId="14" w16cid:durableId="1802796303">
    <w:abstractNumId w:val="3"/>
  </w:num>
  <w:num w:numId="15" w16cid:durableId="1965497493">
    <w:abstractNumId w:val="2"/>
  </w:num>
  <w:num w:numId="16" w16cid:durableId="730925047">
    <w:abstractNumId w:val="2"/>
  </w:num>
  <w:num w:numId="17" w16cid:durableId="817961893">
    <w:abstractNumId w:val="1"/>
  </w:num>
  <w:num w:numId="18" w16cid:durableId="1189837573">
    <w:abstractNumId w:val="1"/>
  </w:num>
  <w:num w:numId="19" w16cid:durableId="709106651">
    <w:abstractNumId w:val="0"/>
  </w:num>
  <w:num w:numId="20" w16cid:durableId="325986175">
    <w:abstractNumId w:val="0"/>
  </w:num>
  <w:num w:numId="21" w16cid:durableId="1537237536">
    <w:abstractNumId w:val="9"/>
  </w:num>
  <w:num w:numId="22" w16cid:durableId="811680014">
    <w:abstractNumId w:val="7"/>
  </w:num>
  <w:num w:numId="23" w16cid:durableId="680861838">
    <w:abstractNumId w:val="6"/>
  </w:num>
  <w:num w:numId="24" w16cid:durableId="310449697">
    <w:abstractNumId w:val="5"/>
  </w:num>
  <w:num w:numId="25" w16cid:durableId="965500754">
    <w:abstractNumId w:val="4"/>
  </w:num>
  <w:num w:numId="26" w16cid:durableId="1089157776">
    <w:abstractNumId w:val="8"/>
  </w:num>
  <w:num w:numId="27" w16cid:durableId="488905110">
    <w:abstractNumId w:val="3"/>
  </w:num>
  <w:num w:numId="28" w16cid:durableId="1692217417">
    <w:abstractNumId w:val="2"/>
  </w:num>
  <w:num w:numId="29" w16cid:durableId="1988194783">
    <w:abstractNumId w:val="1"/>
  </w:num>
  <w:num w:numId="30" w16cid:durableId="343627227">
    <w:abstractNumId w:val="0"/>
  </w:num>
  <w:num w:numId="31" w16cid:durableId="375198597">
    <w:abstractNumId w:val="9"/>
  </w:num>
  <w:num w:numId="32" w16cid:durableId="990787706">
    <w:abstractNumId w:val="7"/>
  </w:num>
  <w:num w:numId="33" w16cid:durableId="1951543805">
    <w:abstractNumId w:val="6"/>
  </w:num>
  <w:num w:numId="34" w16cid:durableId="1986740165">
    <w:abstractNumId w:val="5"/>
  </w:num>
  <w:num w:numId="35" w16cid:durableId="1805544960">
    <w:abstractNumId w:val="4"/>
  </w:num>
  <w:num w:numId="36" w16cid:durableId="1079519997">
    <w:abstractNumId w:val="8"/>
  </w:num>
  <w:num w:numId="37" w16cid:durableId="1109012151">
    <w:abstractNumId w:val="3"/>
  </w:num>
  <w:num w:numId="38" w16cid:durableId="1060203663">
    <w:abstractNumId w:val="2"/>
  </w:num>
  <w:num w:numId="39" w16cid:durableId="1604802711">
    <w:abstractNumId w:val="1"/>
  </w:num>
  <w:num w:numId="40" w16cid:durableId="1782383965">
    <w:abstractNumId w:val="0"/>
  </w:num>
  <w:num w:numId="41" w16cid:durableId="1834031097">
    <w:abstractNumId w:val="10"/>
  </w:num>
  <w:num w:numId="42" w16cid:durableId="543097286">
    <w:abstractNumId w:val="10"/>
  </w:num>
  <w:num w:numId="43" w16cid:durableId="488988124">
    <w:abstractNumId w:val="10"/>
  </w:num>
  <w:num w:numId="44" w16cid:durableId="157423856">
    <w:abstractNumId w:val="11"/>
  </w:num>
  <w:num w:numId="45" w16cid:durableId="1112898654">
    <w:abstractNumId w:val="13"/>
  </w:num>
  <w:num w:numId="46" w16cid:durableId="45594953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3/2026"/>
    <w:docVar w:name="dvlangue" w:val="EL"/>
    <w:docVar w:name="dvnumam" w:val="0"/>
    <w:docVar w:name="dvpe" w:val="779.558"/>
    <w:docVar w:name="dvrapporteur" w:val="Εισηγήτρια: "/>
    <w:docVar w:name="dvtitre" w:val="Ψήφισμα του Ευρωπαϊκού Κοινοβουλίου της ... 2026 σχετικά με το Ευρωπαϊκό Εξάμηνο για τον συντονισμό των οικονομικών πολιτικών: απασχόληση και κοινωνικές προτεραιότητες — ετήσια έκθεση 2026(2025/2183(INI))"/>
  </w:docVars>
  <w:rsids>
    <w:rsidRoot w:val="00320E85"/>
    <w:rsid w:val="00002272"/>
    <w:rsid w:val="00064002"/>
    <w:rsid w:val="000677B9"/>
    <w:rsid w:val="000831BA"/>
    <w:rsid w:val="000A42CC"/>
    <w:rsid w:val="000E7DD9"/>
    <w:rsid w:val="0010095E"/>
    <w:rsid w:val="00125B37"/>
    <w:rsid w:val="00187494"/>
    <w:rsid w:val="001F32AE"/>
    <w:rsid w:val="001F46D2"/>
    <w:rsid w:val="002767FF"/>
    <w:rsid w:val="002B18FE"/>
    <w:rsid w:val="002B5493"/>
    <w:rsid w:val="00320E85"/>
    <w:rsid w:val="00343214"/>
    <w:rsid w:val="00361C00"/>
    <w:rsid w:val="00395FA1"/>
    <w:rsid w:val="003E15D4"/>
    <w:rsid w:val="00411CCE"/>
    <w:rsid w:val="0041666E"/>
    <w:rsid w:val="00421060"/>
    <w:rsid w:val="00471C19"/>
    <w:rsid w:val="004867E3"/>
    <w:rsid w:val="0049219E"/>
    <w:rsid w:val="00494A28"/>
    <w:rsid w:val="004C0004"/>
    <w:rsid w:val="004C5D52"/>
    <w:rsid w:val="0050519A"/>
    <w:rsid w:val="005072A1"/>
    <w:rsid w:val="0051334C"/>
    <w:rsid w:val="00514517"/>
    <w:rsid w:val="00545827"/>
    <w:rsid w:val="00560270"/>
    <w:rsid w:val="005C2568"/>
    <w:rsid w:val="005C37F5"/>
    <w:rsid w:val="005F1B17"/>
    <w:rsid w:val="006037C0"/>
    <w:rsid w:val="006631B6"/>
    <w:rsid w:val="00671F6D"/>
    <w:rsid w:val="00680577"/>
    <w:rsid w:val="006F74FA"/>
    <w:rsid w:val="00731ADD"/>
    <w:rsid w:val="00734777"/>
    <w:rsid w:val="00747932"/>
    <w:rsid w:val="00751A4A"/>
    <w:rsid w:val="00756632"/>
    <w:rsid w:val="00762C74"/>
    <w:rsid w:val="007640D5"/>
    <w:rsid w:val="00786EC0"/>
    <w:rsid w:val="007D1690"/>
    <w:rsid w:val="007E22AD"/>
    <w:rsid w:val="007F7269"/>
    <w:rsid w:val="00817416"/>
    <w:rsid w:val="00842779"/>
    <w:rsid w:val="00865F67"/>
    <w:rsid w:val="00881A7B"/>
    <w:rsid w:val="008840E5"/>
    <w:rsid w:val="00887B3E"/>
    <w:rsid w:val="008973DA"/>
    <w:rsid w:val="008B6ECC"/>
    <w:rsid w:val="008C2AC6"/>
    <w:rsid w:val="00930C23"/>
    <w:rsid w:val="0093193B"/>
    <w:rsid w:val="009509D8"/>
    <w:rsid w:val="00950B64"/>
    <w:rsid w:val="00981893"/>
    <w:rsid w:val="00A1687D"/>
    <w:rsid w:val="00A43E52"/>
    <w:rsid w:val="00A4678D"/>
    <w:rsid w:val="00A778C7"/>
    <w:rsid w:val="00AB441E"/>
    <w:rsid w:val="00AB6293"/>
    <w:rsid w:val="00AD2571"/>
    <w:rsid w:val="00AE0928"/>
    <w:rsid w:val="00AF3B82"/>
    <w:rsid w:val="00B12E95"/>
    <w:rsid w:val="00B22876"/>
    <w:rsid w:val="00B558F0"/>
    <w:rsid w:val="00B9280A"/>
    <w:rsid w:val="00BD48FE"/>
    <w:rsid w:val="00BD4943"/>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2E2A"/>
    <w:rsid w:val="00E365E1"/>
    <w:rsid w:val="00E820A4"/>
    <w:rsid w:val="00EB006A"/>
    <w:rsid w:val="00EB4772"/>
    <w:rsid w:val="00ED169E"/>
    <w:rsid w:val="00ED4235"/>
    <w:rsid w:val="00F04346"/>
    <w:rsid w:val="00F075DC"/>
    <w:rsid w:val="00F149E9"/>
    <w:rsid w:val="00F5134D"/>
    <w:rsid w:val="00F74202"/>
    <w:rsid w:val="00F87713"/>
    <w:rsid w:val="00FB405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8AD95C"/>
  <w15:chartTrackingRefBased/>
  <w15:docId w15:val="{799B0CF0-670D-4CFF-9C1F-E727323D4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671F6D"/>
    <w:pPr>
      <w:widowControl/>
      <w:spacing w:after="240"/>
      <w:ind w:left="566" w:hanging="566"/>
    </w:pPr>
    <w:rPr>
      <w:szCs w:val="24"/>
      <w:lang w:eastAsia="en-US"/>
    </w:rPr>
  </w:style>
  <w:style w:type="paragraph" w:customStyle="1" w:styleId="Normal12">
    <w:name w:val="Normal12"/>
    <w:basedOn w:val="Normal"/>
    <w:rsid w:val="00671F6D"/>
    <w:pPr>
      <w:widowControl/>
      <w:spacing w:after="240"/>
    </w:pPr>
    <w:rPr>
      <w:szCs w:val="24"/>
      <w:lang w:eastAsia="en-US"/>
    </w:rPr>
  </w:style>
  <w:style w:type="paragraph" w:customStyle="1" w:styleId="NormalHanging">
    <w:name w:val="NormalHanging"/>
    <w:basedOn w:val="Normal"/>
    <w:rsid w:val="00671F6D"/>
    <w:pPr>
      <w:widowControl/>
      <w:spacing w:after="240"/>
      <w:ind w:left="566" w:hanging="566"/>
    </w:pPr>
    <w:rPr>
      <w:szCs w:val="24"/>
      <w:lang w:eastAsia="en-US"/>
    </w:rPr>
  </w:style>
  <w:style w:type="character" w:styleId="Hyperlink">
    <w:name w:val="Hyperlink"/>
    <w:basedOn w:val="DefaultParagraphFont"/>
    <w:unhideWhenUsed/>
    <w:rsid w:val="00671F6D"/>
    <w:rPr>
      <w:color w:val="0563C1" w:themeColor="hyperlink"/>
      <w:u w:val="single"/>
    </w:rPr>
  </w:style>
  <w:style w:type="paragraph" w:styleId="Revision">
    <w:name w:val="Revision"/>
    <w:hidden/>
    <w:uiPriority w:val="99"/>
    <w:semiHidden/>
    <w:rsid w:val="007F7269"/>
    <w:rPr>
      <w:sz w:val="24"/>
      <w:lang w:val="el-GR"/>
    </w:rPr>
  </w:style>
  <w:style w:type="character" w:styleId="UnresolvedMention">
    <w:name w:val="Unresolved Mention"/>
    <w:basedOn w:val="DefaultParagraphFont"/>
    <w:uiPriority w:val="99"/>
    <w:semiHidden/>
    <w:unhideWhenUsed/>
    <w:rsid w:val="001F46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co/2021/1004/oj" TargetMode="External"/><Relationship Id="rId2" Type="http://schemas.openxmlformats.org/officeDocument/2006/relationships/hyperlink" Target="https://eige.europa.eu/gender-equality-index/2025/country" TargetMode="External"/><Relationship Id="rId1" Type="http://schemas.openxmlformats.org/officeDocument/2006/relationships/hyperlink" Target="http://data.europa.eu/eli/reg/2024/1263/oj" TargetMode="External"/><Relationship Id="rId5" Type="http://schemas.openxmlformats.org/officeDocument/2006/relationships/hyperlink" Target="http://data.europa.eu/eli/dir/2022/2041/oj" TargetMode="External"/><Relationship Id="rId4" Type="http://schemas.openxmlformats.org/officeDocument/2006/relationships/hyperlink" Target="http://data.europa.eu/eli/reg/2021/105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6786</Words>
  <Characters>41190</Characters>
  <Application>Microsoft Office Word</Application>
  <DocSecurity>0</DocSecurity>
  <Lines>343</Lines>
  <Paragraphs>95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KOLOKYTHIA Amalia </cp:lastModifiedBy>
  <cp:revision>2</cp:revision>
  <cp:lastPrinted>2004-11-19T15:42:00Z</cp:lastPrinted>
  <dcterms:created xsi:type="dcterms:W3CDTF">2026-05-11T13:16:00Z</dcterms:created>
  <dcterms:modified xsi:type="dcterms:W3CDTF">2026-05-11T13:16:00Z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P10_TA(2026)0076_</vt:lpwstr>
  </property>
  <property fmtid="{D5CDD505-2E9C-101B-9397-08002B2CF9AE}" pid="4" name="&lt;Type&gt;">
    <vt:lpwstr>RR</vt:lpwstr>
  </property>
</Properties>
</file>