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D30F22" w14:paraId="5991B58B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7F2681E5" w14:textId="77777777" w:rsidR="00751A4A" w:rsidRPr="00D30F22" w:rsidRDefault="00D422D3" w:rsidP="0010095E">
            <w:pPr>
              <w:pStyle w:val="EPName"/>
            </w:pPr>
            <w:r w:rsidRPr="00D30F22">
              <w:t>Europski parlament</w:t>
            </w:r>
          </w:p>
          <w:p w14:paraId="03522734" w14:textId="77777777" w:rsidR="00751A4A" w:rsidRPr="00D30F22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D30F22">
              <w:t>2024</w:t>
            </w:r>
            <w:r w:rsidR="00817416" w:rsidRPr="00D30F22">
              <w:t>-202</w:t>
            </w:r>
            <w:r w:rsidRPr="00D30F22">
              <w:t>9</w:t>
            </w:r>
          </w:p>
        </w:tc>
        <w:tc>
          <w:tcPr>
            <w:tcW w:w="2268" w:type="dxa"/>
            <w:shd w:val="clear" w:color="auto" w:fill="auto"/>
          </w:tcPr>
          <w:p w14:paraId="01B6B6DC" w14:textId="77777777" w:rsidR="00751A4A" w:rsidRPr="00D30F22" w:rsidRDefault="00187494" w:rsidP="0010095E">
            <w:pPr>
              <w:pStyle w:val="EPLogo"/>
            </w:pPr>
            <w:r w:rsidRPr="00D30F22">
              <w:rPr>
                <w:noProof/>
                <w:lang w:eastAsia="ja-JP"/>
              </w:rPr>
              <w:drawing>
                <wp:inline distT="0" distB="0" distL="0" distR="0" wp14:anchorId="0583AB8E" wp14:editId="275915A5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45EE78FF" w14:textId="77777777" w:rsidR="00D058B8" w:rsidRPr="00D30F22" w:rsidRDefault="00D058B8" w:rsidP="004C5D52">
      <w:pPr>
        <w:pStyle w:val="LineTop"/>
      </w:pPr>
    </w:p>
    <w:p w14:paraId="68A4A939" w14:textId="77777777" w:rsidR="00680577" w:rsidRPr="00D30F22" w:rsidRDefault="00D422D3" w:rsidP="00680577">
      <w:pPr>
        <w:pStyle w:val="EPBodyTA1"/>
      </w:pPr>
      <w:r w:rsidRPr="00D30F22">
        <w:t>USVOJENI TEKSTOVI</w:t>
      </w:r>
    </w:p>
    <w:p w14:paraId="0FFCE0B4" w14:textId="77777777" w:rsidR="00D058B8" w:rsidRPr="00D30F22" w:rsidRDefault="00D058B8" w:rsidP="00D058B8">
      <w:pPr>
        <w:pStyle w:val="LineBottom"/>
      </w:pPr>
    </w:p>
    <w:p w14:paraId="73450991" w14:textId="2B066E12" w:rsidR="00D422D3" w:rsidRPr="00D30F22" w:rsidRDefault="00D422D3" w:rsidP="00D422D3">
      <w:pPr>
        <w:pStyle w:val="ATHeading1"/>
      </w:pPr>
      <w:bookmarkStart w:id="0" w:name="TANumber"/>
      <w:r w:rsidRPr="00D30F22">
        <w:t>P10_TA(2026)00</w:t>
      </w:r>
      <w:bookmarkEnd w:id="0"/>
      <w:r w:rsidR="00CC78D4">
        <w:t>76</w:t>
      </w:r>
    </w:p>
    <w:p w14:paraId="3A8CF803" w14:textId="77777777" w:rsidR="00D422D3" w:rsidRPr="00D30F22" w:rsidRDefault="00D422D3" w:rsidP="00D422D3">
      <w:pPr>
        <w:pStyle w:val="ATHeading2"/>
      </w:pPr>
      <w:bookmarkStart w:id="1" w:name="title"/>
      <w:r w:rsidRPr="00D30F22">
        <w:t>Europski semestar za koordinaciju ekonomskih politika: prioriteti u području zapošljavanja i socijalni prioriteti za 2026.</w:t>
      </w:r>
      <w:bookmarkEnd w:id="1"/>
    </w:p>
    <w:p w14:paraId="4D135A24" w14:textId="77777777" w:rsidR="00D422D3" w:rsidRPr="00D30F22" w:rsidRDefault="00D422D3" w:rsidP="00D422D3">
      <w:pPr>
        <w:rPr>
          <w:i/>
          <w:vanish/>
        </w:rPr>
      </w:pPr>
      <w:r w:rsidRPr="00D30F22">
        <w:rPr>
          <w:i/>
        </w:rPr>
        <w:fldChar w:fldCharType="begin"/>
      </w:r>
      <w:r w:rsidRPr="00D30F22">
        <w:rPr>
          <w:i/>
        </w:rPr>
        <w:instrText xml:space="preserve"> TC"(</w:instrText>
      </w:r>
      <w:bookmarkStart w:id="2" w:name="DocNumber"/>
      <w:r w:rsidRPr="00D30F22">
        <w:rPr>
          <w:i/>
        </w:rPr>
        <w:instrText>A10-0033/2026</w:instrText>
      </w:r>
      <w:bookmarkEnd w:id="2"/>
      <w:r w:rsidRPr="00D30F22">
        <w:rPr>
          <w:i/>
        </w:rPr>
        <w:instrText xml:space="preserve"> - Izvjestiteljica: Nela </w:instrText>
      </w:r>
      <w:proofErr w:type="spellStart"/>
      <w:r w:rsidRPr="00D30F22">
        <w:rPr>
          <w:i/>
        </w:rPr>
        <w:instrText>Riehl</w:instrText>
      </w:r>
      <w:proofErr w:type="spellEnd"/>
      <w:r w:rsidRPr="00D30F22">
        <w:rPr>
          <w:i/>
        </w:rPr>
        <w:instrText xml:space="preserve">)"\l3 \n&gt; \* MERGEFORMAT </w:instrText>
      </w:r>
      <w:r w:rsidRPr="00D30F22">
        <w:rPr>
          <w:i/>
        </w:rPr>
        <w:fldChar w:fldCharType="end"/>
      </w:r>
    </w:p>
    <w:p w14:paraId="7A75E2C1" w14:textId="77777777" w:rsidR="00D422D3" w:rsidRPr="00D30F22" w:rsidRDefault="00D422D3" w:rsidP="00D422D3">
      <w:pPr>
        <w:rPr>
          <w:vanish/>
        </w:rPr>
      </w:pPr>
      <w:bookmarkStart w:id="3" w:name="Commission"/>
      <w:r w:rsidRPr="00D30F22">
        <w:rPr>
          <w:vanish/>
        </w:rPr>
        <w:t>Odbor za zapošljavanje i socijalna pitanja</w:t>
      </w:r>
      <w:bookmarkEnd w:id="3"/>
    </w:p>
    <w:p w14:paraId="1788F17D" w14:textId="77777777" w:rsidR="00D422D3" w:rsidRPr="00D30F22" w:rsidRDefault="00D422D3" w:rsidP="00D422D3">
      <w:pPr>
        <w:rPr>
          <w:vanish/>
        </w:rPr>
      </w:pPr>
      <w:bookmarkStart w:id="4" w:name="PE"/>
      <w:r w:rsidRPr="00D30F22">
        <w:rPr>
          <w:vanish/>
        </w:rPr>
        <w:t>PE779.558</w:t>
      </w:r>
      <w:bookmarkEnd w:id="4"/>
    </w:p>
    <w:p w14:paraId="7BA5071F" w14:textId="599715A1" w:rsidR="00D422D3" w:rsidRPr="00D30F22" w:rsidRDefault="00D422D3" w:rsidP="00D422D3">
      <w:pPr>
        <w:pStyle w:val="ATHeading3"/>
      </w:pPr>
      <w:bookmarkStart w:id="5" w:name="Sujet"/>
      <w:r w:rsidRPr="00D30F22">
        <w:t xml:space="preserve">Rezolucija Europskog parlamenta od </w:t>
      </w:r>
      <w:r w:rsidR="00D75804">
        <w:t>11. ožujka</w:t>
      </w:r>
      <w:r w:rsidRPr="00D30F22">
        <w:t xml:space="preserve"> 2026. o europskom semestru za koordinaciju ekonomskih politika: prioriteti u području zapošljavanja i socijalni prioriteti – godišnje izvješće za 2026.</w:t>
      </w:r>
      <w:bookmarkEnd w:id="5"/>
      <w:r w:rsidRPr="00D30F22">
        <w:t xml:space="preserve"> </w:t>
      </w:r>
      <w:bookmarkStart w:id="6" w:name="References"/>
      <w:r w:rsidRPr="00D30F22">
        <w:t>(2025/2183(INI))</w:t>
      </w:r>
      <w:bookmarkEnd w:id="6"/>
    </w:p>
    <w:p w14:paraId="3D2532F8" w14:textId="77777777" w:rsidR="009D52D5" w:rsidRPr="00D30F22" w:rsidRDefault="009D52D5" w:rsidP="00F01D0E">
      <w:pPr>
        <w:pStyle w:val="Normal12"/>
        <w:spacing w:before="360"/>
      </w:pPr>
      <w:r w:rsidRPr="00D30F22">
        <w:rPr>
          <w:i/>
        </w:rPr>
        <w:t>Europski parlament</w:t>
      </w:r>
      <w:r w:rsidRPr="00D30F22">
        <w:t>,</w:t>
      </w:r>
    </w:p>
    <w:p w14:paraId="57211DF9" w14:textId="77777777" w:rsidR="009D52D5" w:rsidRPr="00D30F22" w:rsidRDefault="009D52D5" w:rsidP="009D52D5">
      <w:pPr>
        <w:pStyle w:val="NormalHanging"/>
      </w:pPr>
      <w:r w:rsidRPr="00D30F22">
        <w:t>–</w:t>
      </w:r>
      <w:r w:rsidRPr="00D30F22">
        <w:tab/>
        <w:t>uzimajući u obzir članak 3. Ugovora o Europskoj uniji,</w:t>
      </w:r>
    </w:p>
    <w:p w14:paraId="2C87B70B" w14:textId="77777777" w:rsidR="009D52D5" w:rsidRPr="00D30F22" w:rsidRDefault="009D52D5" w:rsidP="009D52D5">
      <w:pPr>
        <w:pStyle w:val="NormalHanging"/>
      </w:pPr>
      <w:r w:rsidRPr="00D30F22">
        <w:t>–</w:t>
      </w:r>
      <w:r w:rsidRPr="00D30F22">
        <w:tab/>
        <w:t>uzimajući u obzir članke 9., 121., 148. i 149. Ugovora o funkcioniranju Europske unije (UFEU),</w:t>
      </w:r>
    </w:p>
    <w:p w14:paraId="6D85F5D0" w14:textId="77777777" w:rsidR="009D52D5" w:rsidRPr="00D30F22" w:rsidRDefault="009D52D5" w:rsidP="009D52D5">
      <w:pPr>
        <w:pStyle w:val="NormalHanging"/>
      </w:pPr>
      <w:r w:rsidRPr="00D30F22">
        <w:t>–</w:t>
      </w:r>
      <w:r w:rsidRPr="00D30F22">
        <w:tab/>
        <w:t>uzimajući u obzir europski stup socijalnih prava koji su Vijeće, Parlament i Komisija proglasili i potpisali 17. studenoga 2017. te njegov akcijski plan donesen 2021., a posebno predložene glavne ciljeve za 2030. u pogledu zapošljavanja, vještina i smanjenja siromaštva,</w:t>
      </w:r>
    </w:p>
    <w:p w14:paraId="47341E14" w14:textId="77777777" w:rsidR="009D52D5" w:rsidRPr="00D30F22" w:rsidRDefault="009D52D5" w:rsidP="009D52D5">
      <w:pPr>
        <w:pStyle w:val="NormalHanging"/>
      </w:pPr>
      <w:r w:rsidRPr="00D30F22">
        <w:t>–</w:t>
      </w:r>
      <w:r w:rsidRPr="00D30F22">
        <w:tab/>
        <w:t>uzimajući u obzir Uredbu (EU) 2024/1263 Europskog parlamenta i Vijeća od 29. travnja 2024. o djelotvornoj koordinaciji ekonomskih politika i multilateralnom proračunskom nadzoru te stavljanju izvan snage Uredbe Vijeća (EZ) br. 1466/97</w:t>
      </w:r>
      <w:r w:rsidRPr="00D30F22">
        <w:rPr>
          <w:vertAlign w:val="superscript"/>
        </w:rPr>
        <w:footnoteReference w:id="1"/>
      </w:r>
      <w:r w:rsidRPr="00D30F22">
        <w:t>, a posebno njezine članke 3., 4., 13. i 27.,</w:t>
      </w:r>
    </w:p>
    <w:p w14:paraId="3572C64C" w14:textId="77777777" w:rsidR="009D52D5" w:rsidRPr="00D30F22" w:rsidRDefault="009D52D5" w:rsidP="009D52D5">
      <w:pPr>
        <w:pStyle w:val="NormalHanging"/>
      </w:pPr>
      <w:r w:rsidRPr="00D30F22">
        <w:t>–</w:t>
      </w:r>
      <w:r w:rsidRPr="00D30F22">
        <w:tab/>
        <w:t>uzimajući u obzir izvješće Komisije naslovljeno „Zapošljavanje i socijalna kretanja u Europi” objavljeno u rujnu 2025.,</w:t>
      </w:r>
    </w:p>
    <w:p w14:paraId="0F2E3412" w14:textId="77777777" w:rsidR="009D52D5" w:rsidRPr="00D30F22" w:rsidRDefault="009D52D5" w:rsidP="009D52D5">
      <w:pPr>
        <w:pStyle w:val="NormalHanging"/>
      </w:pPr>
      <w:r w:rsidRPr="00D30F22">
        <w:t>–</w:t>
      </w:r>
      <w:r w:rsidRPr="00D30F22">
        <w:tab/>
        <w:t>uzimajući u obzir izvješće Komisije naslovljeno „Razvoj tržišta rada i plaća u Europi”, objavljeno u listopadu 2025.,</w:t>
      </w:r>
    </w:p>
    <w:p w14:paraId="7A903D93" w14:textId="77777777" w:rsidR="009D52D5" w:rsidRPr="00D30F22" w:rsidRDefault="009D52D5" w:rsidP="009D52D5">
      <w:pPr>
        <w:pStyle w:val="NormalHanging"/>
      </w:pPr>
      <w:r w:rsidRPr="00D30F22">
        <w:t>–</w:t>
      </w:r>
      <w:r w:rsidRPr="00D30F22">
        <w:tab/>
        <w:t>uzimajući u obzir Prijedlog Komisije zajedničkog izvješća Komisije i Vijeća o zapošljavanju od 25. studenoga 2025. (COM(2025)0958),</w:t>
      </w:r>
    </w:p>
    <w:p w14:paraId="0A972299" w14:textId="77777777" w:rsidR="009D52D5" w:rsidRPr="00D30F22" w:rsidRDefault="009D52D5" w:rsidP="009D52D5">
      <w:pPr>
        <w:pStyle w:val="NormalHanging"/>
      </w:pPr>
      <w:r w:rsidRPr="00D30F22">
        <w:t>–</w:t>
      </w:r>
      <w:r w:rsidRPr="00D30F22">
        <w:tab/>
        <w:t xml:space="preserve">uzimajući u obzir Preporuku Komisije od 25. studenoga 2025. za preporuku Vijeća o ekonomskoj politici </w:t>
      </w:r>
      <w:proofErr w:type="spellStart"/>
      <w:r w:rsidRPr="00D30F22">
        <w:t>europodručja</w:t>
      </w:r>
      <w:proofErr w:type="spellEnd"/>
      <w:r w:rsidRPr="00D30F22">
        <w:t xml:space="preserve"> (COM(2025)0957),</w:t>
      </w:r>
    </w:p>
    <w:p w14:paraId="6316F42A" w14:textId="3DC318C2" w:rsidR="009D52D5" w:rsidRPr="00D30F22" w:rsidRDefault="009D52D5" w:rsidP="009D52D5">
      <w:pPr>
        <w:pStyle w:val="NormalHanging"/>
      </w:pPr>
      <w:r w:rsidRPr="00D30F22">
        <w:lastRenderedPageBreak/>
        <w:t>–</w:t>
      </w:r>
      <w:r w:rsidRPr="00D30F22">
        <w:tab/>
        <w:t>uzimajući u obzir komunikaciju Komisije od 25. studenoga 2025. naslovljenu „Izvješće o mehanizmu upozoravanja za 2026.” (COM(202</w:t>
      </w:r>
      <w:r w:rsidR="00674AA0">
        <w:t>5</w:t>
      </w:r>
      <w:r w:rsidRPr="00D30F22">
        <w:t>)0956),</w:t>
      </w:r>
    </w:p>
    <w:p w14:paraId="02A1CC06" w14:textId="77777777" w:rsidR="009D52D5" w:rsidRPr="00D30F22" w:rsidRDefault="009D52D5" w:rsidP="009D52D5">
      <w:pPr>
        <w:pStyle w:val="NormalHanging"/>
      </w:pPr>
      <w:r w:rsidRPr="00D30F22">
        <w:t>–</w:t>
      </w:r>
      <w:r w:rsidRPr="00D30F22">
        <w:tab/>
        <w:t>uzimajući u obzir Preporuku Komisije od 25. studenoga 2025. za preporuku Vijeća o ljudskom kapitalu u Europskoj uniji (COM(2025)0959),</w:t>
      </w:r>
    </w:p>
    <w:p w14:paraId="141CB0B7" w14:textId="77777777" w:rsidR="009D52D5" w:rsidRPr="00D30F22" w:rsidRDefault="009D52D5" w:rsidP="009D52D5">
      <w:pPr>
        <w:pStyle w:val="NormalHanging"/>
      </w:pPr>
      <w:r w:rsidRPr="00D30F22">
        <w:t>–</w:t>
      </w:r>
      <w:r w:rsidRPr="00D30F22">
        <w:tab/>
        <w:t>uzimajući u obzir doprinose europskih socijalnih partnera europskom semestru 2026., a posebno jesenski paket,</w:t>
      </w:r>
    </w:p>
    <w:p w14:paraId="2BB4083E" w14:textId="77777777" w:rsidR="009D52D5" w:rsidRPr="00D30F22" w:rsidRDefault="009D52D5" w:rsidP="009D52D5">
      <w:pPr>
        <w:pStyle w:val="NormalHanging"/>
      </w:pPr>
      <w:r w:rsidRPr="00D30F22">
        <w:t>–</w:t>
      </w:r>
      <w:r w:rsidRPr="00D30F22">
        <w:tab/>
        <w:t xml:space="preserve">uzimajući u obzir izvješće Marija </w:t>
      </w:r>
      <w:proofErr w:type="spellStart"/>
      <w:r w:rsidRPr="00D30F22">
        <w:t>Draghija</w:t>
      </w:r>
      <w:proofErr w:type="spellEnd"/>
      <w:r w:rsidRPr="00D30F22">
        <w:t xml:space="preserve"> naslovljeno „Budućnost europske konkurentnosti”, objavljeno u rujnu 2024.,</w:t>
      </w:r>
    </w:p>
    <w:p w14:paraId="34AD0000" w14:textId="77777777" w:rsidR="009D52D5" w:rsidRPr="00D30F22" w:rsidRDefault="009D52D5" w:rsidP="009D52D5">
      <w:pPr>
        <w:pStyle w:val="NormalHanging"/>
      </w:pPr>
      <w:r w:rsidRPr="00D30F22">
        <w:t>–</w:t>
      </w:r>
      <w:r w:rsidRPr="00D30F22">
        <w:tab/>
        <w:t xml:space="preserve">uzimajući u obzir izvješće Enrica </w:t>
      </w:r>
      <w:proofErr w:type="spellStart"/>
      <w:r w:rsidRPr="00D30F22">
        <w:t>Lette</w:t>
      </w:r>
      <w:proofErr w:type="spellEnd"/>
      <w:r w:rsidRPr="00D30F22">
        <w:t xml:space="preserve"> o budućnosti jedinstvenog tržišta naslovljeno „Više od tržišta”, objavljeno u travnju 2024.,</w:t>
      </w:r>
    </w:p>
    <w:p w14:paraId="6BE5D2CB" w14:textId="77777777" w:rsidR="009D52D5" w:rsidRPr="00D30F22" w:rsidRDefault="009D52D5" w:rsidP="009D52D5">
      <w:pPr>
        <w:pStyle w:val="NormalHanging"/>
      </w:pPr>
      <w:r w:rsidRPr="00D30F22">
        <w:t>–</w:t>
      </w:r>
      <w:r w:rsidRPr="00D30F22">
        <w:tab/>
        <w:t>uzimajući u obzir izvješće skupine na visokoj razini za budućnost socijalne zaštite i socijalne države u EU-u, objavljeno u siječnju 2023.,</w:t>
      </w:r>
    </w:p>
    <w:p w14:paraId="6AD4AAEF" w14:textId="77777777" w:rsidR="009D52D5" w:rsidRPr="00D30F22" w:rsidRDefault="009D52D5" w:rsidP="009D52D5">
      <w:pPr>
        <w:pStyle w:val="NormalHanging"/>
      </w:pPr>
      <w:r w:rsidRPr="00D30F22">
        <w:t>–</w:t>
      </w:r>
      <w:r w:rsidRPr="00D30F22">
        <w:tab/>
        <w:t>uzimajući u obzir članak 55. Poslovnika,</w:t>
      </w:r>
    </w:p>
    <w:p w14:paraId="7BAE6FF5" w14:textId="77777777" w:rsidR="009D52D5" w:rsidRPr="00D30F22" w:rsidRDefault="009D52D5" w:rsidP="009D52D5">
      <w:pPr>
        <w:pStyle w:val="NormalHanging"/>
      </w:pPr>
      <w:r w:rsidRPr="00D30F22">
        <w:t>–</w:t>
      </w:r>
      <w:r w:rsidRPr="00D30F22">
        <w:tab/>
        <w:t>uzimajući u obzir izvješće Odbora za zapošljavanje i socijalna pitanja (A10</w:t>
      </w:r>
      <w:r w:rsidRPr="00D30F22">
        <w:noBreakHyphen/>
        <w:t>0033/2026),</w:t>
      </w:r>
    </w:p>
    <w:p w14:paraId="6E0A01D0" w14:textId="77777777" w:rsidR="009D52D5" w:rsidRPr="00D30F22" w:rsidRDefault="009D52D5" w:rsidP="009D52D5">
      <w:pPr>
        <w:pStyle w:val="NormalHanging"/>
      </w:pPr>
      <w:r w:rsidRPr="00D30F22">
        <w:t>A.</w:t>
      </w:r>
      <w:r w:rsidRPr="00D30F22">
        <w:tab/>
        <w:t xml:space="preserve">budući da se očekuje da će se ostvariti cilj EU-a da najmanje 78 % osoba u dobi od 20 do 64 godine bude zaposleno do 2030.; budući da je u listopadu 2025. stopa nezaposlenosti u EU-u iznosila 6 %, i to u rasponu od 2,6 % do 10,6 % na razini država članica, dok je nezaposlenost mladih i dalje visoka i iznosi 13,2 %; budući da su razine nezaposlenosti i nesigurni radni uvjeti i dalje ustrajno visoki za mlade, žene, starije radnike, niskokvalificirane i </w:t>
      </w:r>
      <w:proofErr w:type="spellStart"/>
      <w:r w:rsidRPr="00D30F22">
        <w:t>srednjekvalificirane</w:t>
      </w:r>
      <w:proofErr w:type="spellEnd"/>
      <w:r w:rsidRPr="00D30F22">
        <w:t xml:space="preserve"> državljane trećih zemalja, osobe s invaliditetom te Rome i druge etničke manjine, koji se svi suočavaju sa strukturnim preprekama zapošljavanju; budući da nezaposlenost osoba s invaliditetom iznosi 15,1 %; budući da bi više razine zaposlenosti u EU-u trebale ići ruku pod ruku s kvalitetom radnih mjesta, pristojnim plaćama, povećanjem plaća i povećanjem produktivnosti;</w:t>
      </w:r>
    </w:p>
    <w:p w14:paraId="10F4737D" w14:textId="77777777" w:rsidR="009D52D5" w:rsidRPr="00D30F22" w:rsidRDefault="009D52D5" w:rsidP="009D52D5">
      <w:pPr>
        <w:pStyle w:val="NormalHanging"/>
      </w:pPr>
      <w:r w:rsidRPr="00D30F22">
        <w:t>B.</w:t>
      </w:r>
      <w:r w:rsidRPr="00D30F22">
        <w:tab/>
        <w:t>budući da je europski semestar i dalje središnji instrument za koordinaciju gospodarske, fiskalne i socijalne politike te politike zapošljavanja diljem EU-a i trebao bi biti usmjeren na uključivanje socijalne pravde, okolišne održivosti i međugeneracijske pravednosti u makroekonomsko upravljanje, uz postavljanje europskog stupa socijalnih prava u njegovo središte i poštovanje načela supsidijarnosti; budući da je radi poboljšanja ravnoteže praćenja gospodarskih i socijalnih ciljeva u postupku europskog semestra razvijen pregled socijalnih pokazatelja te je nedavno u postupak integriran okvir za socijalnu konvergenciju; budući da je jesenski paket za 2026. predstavljen bez godišnjeg pregleda održivog rasta, u kojem se inače utvrđuje sveobuhvatna i uravnotežena strategija za gospodarske, socijalne i okolišne ciljeve i ciljeve u području zapošljavanja EU-a te povezuje Europski semestar sa širom vizijom održivog rasta za Uniju; budući da EU mora ostati predan postizanju ciljeva konkurentnosti, održivosti i socijalne pravde i da ne smije dopustiti da se jedan cilj ostvaruje nauštrb drugih;</w:t>
      </w:r>
    </w:p>
    <w:p w14:paraId="0CFF3DAF" w14:textId="77777777" w:rsidR="009D52D5" w:rsidRPr="00D30F22" w:rsidRDefault="009D52D5" w:rsidP="009D52D5">
      <w:pPr>
        <w:pStyle w:val="NormalHanging"/>
      </w:pPr>
      <w:r w:rsidRPr="00D30F22">
        <w:t>C.</w:t>
      </w:r>
      <w:r w:rsidRPr="00D30F22">
        <w:tab/>
        <w:t xml:space="preserve">budući da je 93,3 milijuna ljudi, koji čine 21 % stanovništva EU-a, 2024. bilo izloženo riziku od siromaštva ili socijalne isključenosti, što pokazuje da je ostvaren ograničen napredak u postizanju cilja smanjenja siromaštva do 2030. u okviru europskog stupa socijalnih prava, pri čemu se više od polovine država članica kreće u pogrešnom smjeru; budući da su rizici od siromaštva mnogo veći za žene, djecu, starije osobe, osobe s </w:t>
      </w:r>
      <w:r w:rsidRPr="00D30F22">
        <w:lastRenderedPageBreak/>
        <w:t>invaliditetom, zajednicu LGBTI+, niskokvalificirane osobe, državljane trećih zemalja, Rome, kućanstva sa samohranim roditeljem i osobe koje žive u područjima pogođenima depopulacijom te da i dalje postoje znatne razlike među državama članicama i unutar njih, među ostalim između ruralnih i urbanih područja; budući da ta neusklađenost između povećanja prosječnih prihoda i ustrajno visokih razina siromaštva upućuje na strukturne izazove u raspodjeli dohotka, tržištima rada te strukturi i obuhvatu sustava socijalne zaštite; budući da je 2024. više od 40 milijuna ljudi u EU-u, odnosno oko 9,2 % stanovništva, doživjelo energetsko siromaštvo, što je dovelo do materijalne oskudice; budući da nedovoljni obuhvat i neadekvatnost sustava minimalnog dohotka, naknada za nezaposlenost i naknada za obitelj i djecu, kao i prepreke integriranju u tržište rada i pristupu kvalitetnim javnim uslugama kao što su zdravstvo, obrazovanje, skrb i stanovanje, doprinose ustrajnosti siromaštva i socijalne isključenosti, posebno među skupinama u najnepovoljnijem položaju; budući da bez promjene pristupa rješavanju problema siromaštva na razini EU-a i na nacionalnoj razini neće biti moguće preokrenuti taj trend; budući da će ambiciozna strategija EU-a za borbu protiv siromaštva biti ključna za pružanje odgovora na višedimenzionalni problem siromaštva;</w:t>
      </w:r>
    </w:p>
    <w:p w14:paraId="36EE09B0" w14:textId="77777777" w:rsidR="009D52D5" w:rsidRPr="00D30F22" w:rsidRDefault="009D52D5" w:rsidP="009D52D5">
      <w:pPr>
        <w:pStyle w:val="NormalHanging"/>
      </w:pPr>
      <w:r w:rsidRPr="00D30F22">
        <w:t>D.</w:t>
      </w:r>
      <w:r w:rsidRPr="00D30F22">
        <w:tab/>
        <w:t>budući da je svako četvrto dijete i dalje izloženo riziku od siromaštva ili socijalne isključenosti u Europskoj uniji, što je na višoj razini nego za cjelokupno stanovništvo; budući da se ne ostvaruje dovoljan napredak prema cilju da se do 2030. smanji broj djece izložene riziku od siromaštva ili socijalne isključenosti za 5 milijuna, pri čemu se broj djece izložene riziku od siromaštva ili socijalne isključenosti povećao svake godine od 2019. do 2023. te je i dalje ustrajno visok; budući da je, prema prijedlogu Komisije za zajedničko izvješće o zapošljavanju za 2026., godine 2024. oko 19,5 milijuna djece (24,2 %) bilo izloženo riziku od siromaštva ili socijalne isključenosti u EU-u; budući da su preventivne politike i usluge potpore za djecu i obitelji u skladu s europskim jamstvom za djecu ključne za poboljšanje loših socioekonomskih uvjeta koji mogu dovesti do razdvajanja obitelji i institucionalizacije djece; budući da su namjenski instrument financiranja europskog jamstva za djecu, kao i sinergije s drugim fondovima EU-a i nacionalnim fondovima, od iznimne važnosti i u aktualnom i u sljedećem višegodišnjem financijskom okviru; budući da, prema navodima Komisije, EU treba dodatno uložiti više od 11 milijardi EUR godišnje kako bi se ispunili ciljevi iz Barcelone za 2030. u pogledu ranog i predškolskog odgoja i obrazovanja</w:t>
      </w:r>
      <w:r w:rsidRPr="00D30F22">
        <w:rPr>
          <w:vertAlign w:val="superscript"/>
        </w:rPr>
        <w:footnoteReference w:id="2"/>
      </w:r>
      <w:r w:rsidRPr="00D30F22">
        <w:t>; budući da djeca koja mogu imati najviše koristi od sudjelovanja u ranom i predškolskom odgoju i obrazovanju, kao što su djeca u nepovoljnom položaju, obično najmanje sudjeluju te se i dalje suočavaju s preprekama u pristupu;</w:t>
      </w:r>
    </w:p>
    <w:p w14:paraId="64F677BB" w14:textId="77777777" w:rsidR="009D52D5" w:rsidRPr="00D30F22" w:rsidRDefault="009D52D5" w:rsidP="009D52D5">
      <w:pPr>
        <w:pStyle w:val="NormalHanging"/>
      </w:pPr>
      <w:r w:rsidRPr="00D30F22">
        <w:t>E.</w:t>
      </w:r>
      <w:r w:rsidRPr="00D30F22">
        <w:tab/>
        <w:t xml:space="preserve">budući da u EU-u još uvijek najmanje 1,4 milijuna osoba s invaliditetom i gotovo 300 000 djece živi u ustanovama; budući da su korisnici ustanova izolirani od šire zajednice i nemaju dovoljnu kontrolu nad svojim životom i odlukama koje na njih utječu; budući da su, unatoč činjenici da EU već dugo radi na procesu </w:t>
      </w:r>
      <w:proofErr w:type="spellStart"/>
      <w:r w:rsidRPr="00D30F22">
        <w:t>deinstitucionalizacije</w:t>
      </w:r>
      <w:proofErr w:type="spellEnd"/>
      <w:r w:rsidRPr="00D30F22">
        <w:t xml:space="preserve">, i dalje potrebni napori i na razini EU-a i na nacionalnoj razini kako bi se ranjivim skupinama omogućio neovisan život u okruženju zajednice ili obitelji; </w:t>
      </w:r>
    </w:p>
    <w:p w14:paraId="5E5C361F" w14:textId="77777777" w:rsidR="009D52D5" w:rsidRPr="00D30F22" w:rsidRDefault="009D52D5" w:rsidP="009D52D5">
      <w:pPr>
        <w:pStyle w:val="NormalHanging"/>
      </w:pPr>
      <w:r w:rsidRPr="00D30F22">
        <w:t>F.</w:t>
      </w:r>
      <w:r w:rsidRPr="00D30F22">
        <w:tab/>
        <w:t xml:space="preserve">budući da je 2024. svaki dvanaesti radnik (8,2 %) u EU-u doživio siromaštvo unatoč zaposlenju, što ugrožava socijalnu koheziju i ističe da zaposlenje samo po sebi ne pruža potpunu zaštitu od siromaštva niti dovodi do boljih životnih uvjeta zbog sve većih troškova života i smanjene kupovne moći; budući da su nedavna povećanja zakonskih minimalnih plaća, često više od 20 % u razdoblju od 2022. do 2025. i više od 40 % u </w:t>
      </w:r>
      <w:r w:rsidRPr="00D30F22">
        <w:lastRenderedPageBreak/>
        <w:t>nekoliko država članica, pomogla u zaštiti kupovne moći slabo plaćenih radnika i poduprla rast plaća u slabo plaćenim sektorima; budući da se, unatoč tome što su realne plaće u većini država članica premašile razine prije pandemije, nekoliko velikih gospodarstava još nije vratilo na te razine;</w:t>
      </w:r>
    </w:p>
    <w:p w14:paraId="12952067" w14:textId="77777777" w:rsidR="009D52D5" w:rsidRPr="00D30F22" w:rsidRDefault="009D52D5" w:rsidP="009D52D5">
      <w:pPr>
        <w:pStyle w:val="NormalHanging"/>
      </w:pPr>
      <w:r w:rsidRPr="00D30F22">
        <w:t>G.</w:t>
      </w:r>
      <w:r w:rsidRPr="00D30F22">
        <w:tab/>
        <w:t xml:space="preserve">budući da su klimatske promjene pogoršale nejednakosti i posebno pogodile najranjivije skupine, koje su obično izloženije opasnostima za okoliš, na primjer visokim temperaturama, što dovodi do nižih standarda kvalitete radnih mjesta, gubitka produktivnosti i veće nesigurnosti radnih mjesta; budući da tranzicija prema klimatskoj neutralnosti mora biti socijalno pravedna i </w:t>
      </w:r>
      <w:proofErr w:type="spellStart"/>
      <w:r w:rsidRPr="00D30F22">
        <w:t>uključiva</w:t>
      </w:r>
      <w:proofErr w:type="spellEnd"/>
      <w:r w:rsidRPr="00D30F22">
        <w:t xml:space="preserve"> za sve te se očekuje da će se njome do 2030. otvoriti između milijun i 2,5 milijuna dodatnih radnih mjesta ako se podupre odgovarajućim politikama zapošljavanja i obrazovanja; budući da su snažna i primjereno financirana politika socijalne zaštite te politika stvaranja kvalitetnih radnih mjesta preduvjet za osiguravanje poštene i pravedne tranzicije prema klimatskoj neutralnosti i digitalnoj transformaciji; </w:t>
      </w:r>
    </w:p>
    <w:p w14:paraId="7E08BA6C" w14:textId="77777777" w:rsidR="009D52D5" w:rsidRPr="00D30F22" w:rsidRDefault="009D52D5" w:rsidP="009D52D5">
      <w:pPr>
        <w:pStyle w:val="NormalHanging"/>
      </w:pPr>
      <w:r w:rsidRPr="00D30F22">
        <w:t>H.</w:t>
      </w:r>
      <w:r w:rsidRPr="00D30F22">
        <w:tab/>
        <w:t xml:space="preserve">budući da se EU suočava s ustrajnim manjkom radne snage i vještina u nekoliko sektora, koji je potaknut različitim čimbenicima, kao što su demografske i tehnološke promjene, neusklađenost ponuđenih i traženih vještina, kvaliteta radnih mjesta te nedostatak privlačnosti kvalitetnih javnih usluga i ulaganja u njih, što je utvrđeno kao ključna prepreka rastu i konkurentnosti EU-a; budući da ograničeni izgledi za razvoj karijere i nesigurni radni uvjeti mladih u dijelovima Unije doprinose odljevu talenata između regija EU-a i trećih zemalja, što dodatno pogoršava taj manjak; budući da se u prijedlogu Komisije za zajedničko izvješće o zapošljavanju za 2026. ističe da se rješavanjem strukturnih nedostataka tržišta rada boljom kvalitetom radnih mjesta podupiru veća produktivnost, gospodarski rezultati, socijalna pravednost i kohezija; budući da bi poboljšanje prava radnika, kolektivnog pregovaranja, aktivnih politika tržišta rada, pristupa socijalnoj zaštiti i prilika za razvoj vještina za sve, uključujući državljane trećih zemalja, kao i ciljane aktivacijske mjere za 51 milijun radno sposobnih osoba koje trenutačno nisu dio radne snage, pomoglo jačanju sudjelovanja, </w:t>
      </w:r>
      <w:proofErr w:type="spellStart"/>
      <w:r w:rsidRPr="00D30F22">
        <w:t>uključivosti</w:t>
      </w:r>
      <w:proofErr w:type="spellEnd"/>
      <w:r w:rsidRPr="00D30F22">
        <w:t xml:space="preserve"> i konkurentnosti; budući da se očekuje da će se do 2050. radno sposobno stanovništvo EU-a smanjiti za do 18,8 milijuna</w:t>
      </w:r>
      <w:r w:rsidRPr="00D30F22">
        <w:rPr>
          <w:vertAlign w:val="superscript"/>
        </w:rPr>
        <w:t xml:space="preserve"> </w:t>
      </w:r>
      <w:r w:rsidRPr="00D30F22">
        <w:t>ljudi, što upućuje na to da zakonita migracija radne snage može pomoći u odgovaranju na potrebe tržišta rada koje se mijenjaju;</w:t>
      </w:r>
    </w:p>
    <w:p w14:paraId="2FE4CB7A" w14:textId="77777777" w:rsidR="009D52D5" w:rsidRPr="00D30F22" w:rsidRDefault="009D52D5" w:rsidP="009D52D5">
      <w:pPr>
        <w:pStyle w:val="NormalHanging"/>
      </w:pPr>
      <w:r w:rsidRPr="00D30F22">
        <w:t>I.</w:t>
      </w:r>
      <w:r w:rsidRPr="00D30F22">
        <w:tab/>
        <w:t xml:space="preserve">budući da je 2022. stopa sudjelovanja odraslih osoba u obrazovanju iznosila 39,5 %, što upućuje na to da je u većini država članica potrebno uložiti više napora kako bi se do 2030. postigao cilj od 60 % odraslih osoba koje sudjeluju u obrazovanju i osposobljavanju; budući da integrirani pristup koordinaciji politika u okviru europskog semestra pruža okvir za usmjeravanje potrebnih ulaganja u razvoj ljudskog kapitala te sustave obrazovanja i osposobljavanja; budući da je potrebno uložiti znatan dodatni trud kako bi se osiguralo pružanje i pristup kvalitetnim politikama osposobljavanja, posebno za radnike s nižim kvalifikacijama, promicalo cjeloživotno učenje i jačala konkurentnost, otpornost i </w:t>
      </w:r>
      <w:proofErr w:type="spellStart"/>
      <w:r w:rsidRPr="00D30F22">
        <w:t>uključivost</w:t>
      </w:r>
      <w:proofErr w:type="spellEnd"/>
      <w:r w:rsidRPr="00D30F22">
        <w:t xml:space="preserve"> radne snage EU-a; budući da sama javna potrošnja možda neće zadovoljiti razmjere potreba za usavršavanjem i prekvalifikacijom s obzirom na transformacijske izazove s kojima se EU suočava; budući da se 2022. prosječni rezultat za osnovne vještine petnaestogodišnjaka u Programu za međunarodno ispitivanje znanja i vještina učenika (PISA) smanjio u odnosu na 2018., pri čemu su slabe rezultate nerazmjerno ostvarili učenici u nepovoljnom položaju, čime se ističe potreba za reformama i trajnim ulaganjima u obrazovanje i osposobljavanje kako bi se pružila potpora budućim generacijama i njihovu prelasku s obrazovanja na posao;</w:t>
      </w:r>
    </w:p>
    <w:p w14:paraId="775EE61A" w14:textId="77777777" w:rsidR="009D52D5" w:rsidRPr="00D30F22" w:rsidRDefault="009D52D5" w:rsidP="009D52D5">
      <w:pPr>
        <w:pStyle w:val="NormalHanging"/>
      </w:pPr>
      <w:r w:rsidRPr="00D30F22">
        <w:lastRenderedPageBreak/>
        <w:t>J.</w:t>
      </w:r>
      <w:r w:rsidRPr="00D30F22">
        <w:tab/>
        <w:t xml:space="preserve">budući da se procjenjuje da su potrebna dodatna ulaganja u socijalnu infrastrukturu u iznosu od 192 milijarde EUR godišnje, među ostalim u </w:t>
      </w:r>
      <w:proofErr w:type="spellStart"/>
      <w:r w:rsidRPr="00D30F22">
        <w:t>priuštivo</w:t>
      </w:r>
      <w:proofErr w:type="spellEnd"/>
      <w:r w:rsidRPr="00D30F22">
        <w:t xml:space="preserve"> stanovanje, zdravstvenu i dugotrajnu skrb, obrazovanje i cjeloživotno osposobljavanje</w:t>
      </w:r>
      <w:r w:rsidRPr="00D30F22">
        <w:rPr>
          <w:vertAlign w:val="superscript"/>
        </w:rPr>
        <w:footnoteReference w:id="3"/>
      </w:r>
      <w:r w:rsidRPr="00D30F22">
        <w:t xml:space="preserve">; budući da se vrijednost mora pridati gospodarskom povratu socijalnih ulaganja, posebno javne potrošnje na djecu i mlade, koja ne samo da poboljšavaju životni standard i smanjuju siromaštvo, već su i ključni pokretači održivog i </w:t>
      </w:r>
      <w:proofErr w:type="spellStart"/>
      <w:r w:rsidRPr="00D30F22">
        <w:t>uključivog</w:t>
      </w:r>
      <w:proofErr w:type="spellEnd"/>
      <w:r w:rsidRPr="00D30F22">
        <w:t xml:space="preserve"> gospodarskog rasta, veće produktivnosti i povećanih stopa zaposlenosti; budući da nedovoljna ulaganja u obrazovanje i istraživanje oslabljuju dugoročne izglede za rast; budući da su socijalna ulaganja za djecu ulaganje u budućnost, što dovodi do boljeg obrazovanja i izgleda za zapošljavanje, što pak potiče gospodarske pokazatelje; budući da je potreban daljnji rad kako bi se ocijenio jaz u socijalnim ulaganjima nakon oporavka u EU-u, kao i ulaganje u socijalne usluge i obuhvat te njihov gospodarski povrat; budući da bi se razvojem zajedničkih pokazatelja podataka o rashodima i obuhvatu socijalnih usluga, kao što je europski indeks socijalnih usluga, ojačale preporuke utemeljene na dokazima i učinkovito praćenje njihove provedbe u okviru europskog semestra;</w:t>
      </w:r>
    </w:p>
    <w:p w14:paraId="0EAE6B09" w14:textId="77777777" w:rsidR="009D52D5" w:rsidRPr="00D30F22" w:rsidRDefault="009D52D5" w:rsidP="009D52D5">
      <w:pPr>
        <w:pStyle w:val="NormalHanging"/>
      </w:pPr>
      <w:r w:rsidRPr="00D30F22">
        <w:t>K.</w:t>
      </w:r>
      <w:r w:rsidRPr="00D30F22">
        <w:tab/>
        <w:t xml:space="preserve">budući da pritisci troškova stanovanja i visoke cijene energije nameću znatna opterećenja kućanstvima, a stambena politika je ipak često nedovoljno zastupljena u preporukama za pojedine zemlje, unatoč njezinoj makroekonomskoj važnosti i središnjoj ulozi u sigurnosti dohotka, socijalnoj uključenosti i otpornosti u pogledu troškova života; budući da ulaganja u socijalne usluge i povećanje stambene ponude, uključujući socijalno i </w:t>
      </w:r>
      <w:proofErr w:type="spellStart"/>
      <w:r w:rsidRPr="00D30F22">
        <w:t>priuštivo</w:t>
      </w:r>
      <w:proofErr w:type="spellEnd"/>
      <w:r w:rsidRPr="00D30F22">
        <w:t xml:space="preserve"> stanovanje, kao i u energetsku učinkovitost i obnovu zgrada te rješavanje pitanja manjka vještina, imaju ključnu ulogu u smanjenju siromaštva, među ostalim energetskog siromaštva, i poboljšanju </w:t>
      </w:r>
      <w:proofErr w:type="spellStart"/>
      <w:r w:rsidRPr="00D30F22">
        <w:t>priuštivosti</w:t>
      </w:r>
      <w:proofErr w:type="spellEnd"/>
      <w:r w:rsidRPr="00D30F22">
        <w:t>;</w:t>
      </w:r>
    </w:p>
    <w:p w14:paraId="544CE7D9" w14:textId="77777777" w:rsidR="009D52D5" w:rsidRPr="00D30F22" w:rsidRDefault="009D52D5" w:rsidP="009D52D5">
      <w:pPr>
        <w:pStyle w:val="NormalHanging"/>
      </w:pPr>
      <w:r w:rsidRPr="00D30F22">
        <w:t>L.</w:t>
      </w:r>
      <w:r w:rsidRPr="00D30F22">
        <w:tab/>
        <w:t>budući da razlika u plaćama na temelju spola u EU-u trenutačno iznosi 12 % zbog nerazmjerne odgovornosti koju žene snose za kućanstvo i skrb o djeci i trajnog podcjenjivanja zanimanja u kojima prevladavaju žene, među ostalim faktorima; budući da se žene suočavaju s većim rizikom od siromaštva, posebno u starijoj dobi, a razlika u mirovinama na temelju spola trenutačno iznosi 25 %</w:t>
      </w:r>
      <w:r w:rsidRPr="00D30F22">
        <w:rPr>
          <w:vertAlign w:val="superscript"/>
        </w:rPr>
        <w:footnoteReference w:id="4"/>
      </w:r>
      <w:r w:rsidRPr="00D30F22">
        <w:t>;</w:t>
      </w:r>
    </w:p>
    <w:p w14:paraId="256756C9" w14:textId="77777777" w:rsidR="009D52D5" w:rsidRPr="00D30F22" w:rsidRDefault="009D52D5" w:rsidP="009D52D5">
      <w:pPr>
        <w:pStyle w:val="NormalHanging12a"/>
      </w:pPr>
      <w:r w:rsidRPr="00D30F22">
        <w:t>1.</w:t>
      </w:r>
      <w:r w:rsidRPr="00D30F22">
        <w:tab/>
        <w:t xml:space="preserve">naglašava konkurentsku prednost ulaganja u socijalni model EU-a; poziva na to da se preporuke Skupine na visokoj razini za budućnost socijalne zaštite i socijalne države, kao i preporuke iz izvješća Enrica </w:t>
      </w:r>
      <w:proofErr w:type="spellStart"/>
      <w:r w:rsidRPr="00D30F22">
        <w:t>Lette</w:t>
      </w:r>
      <w:proofErr w:type="spellEnd"/>
      <w:r w:rsidRPr="00D30F22">
        <w:t xml:space="preserve"> i Marija </w:t>
      </w:r>
      <w:proofErr w:type="spellStart"/>
      <w:r w:rsidRPr="00D30F22">
        <w:t>Draghija</w:t>
      </w:r>
      <w:proofErr w:type="spellEnd"/>
      <w:r w:rsidRPr="00D30F22">
        <w:t xml:space="preserve">, integriraju u postupak europskog semestra kako bi se zaštitilo i ojačalo socijalno tržišno gospodarstvo EU-a; naglašava potrebu za uravnoteženim pristupom kojim se podupiru socijalna prava, javne usluge te strukture i obuhvat kolektivnog pregovaranja u jednakoj mjeri kao i konkurentnost; pozdravlja integraciju europskog stupa socijalnih prava u okvir gospodarskog upravljanja i poziva države članice da iskoriste mogućnost produljenja razdoblja prilagodbe za ulaganje u prioritete europskog stupa socijalnih prava; poziva na to da se integrirani okvir upravljanja odražava u unutarnjim procesima institucija EU-a, u koje su u jednakoj mjeri uključena njihova gospodarska i socijalna tijela; </w:t>
      </w:r>
    </w:p>
    <w:p w14:paraId="08792687" w14:textId="77777777" w:rsidR="009D52D5" w:rsidRPr="00D30F22" w:rsidRDefault="009D52D5" w:rsidP="009D52D5">
      <w:pPr>
        <w:pStyle w:val="NormalHanging12a"/>
      </w:pPr>
      <w:r w:rsidRPr="00D30F22">
        <w:t>2.</w:t>
      </w:r>
      <w:r w:rsidRPr="00D30F22">
        <w:tab/>
        <w:t xml:space="preserve">potiče Komisiju i države članice da u potpunosti provode europski stup socijalnih prava; naglašava da se u ažuriranom akcijskom planu za europski stup socijalnih prava </w:t>
      </w:r>
      <w:r w:rsidRPr="00D30F22">
        <w:lastRenderedPageBreak/>
        <w:t xml:space="preserve">političke obveze moraju pretočiti u konkretne i ambiciozne mjere, popraćene jasnim, mjerljivim ciljevima i čvrstim pokazateljima praćenja, kako bi se učinkovito riješio problem siromaštva i socijalne isključenosti te pružila potpora radnicima u nošenju sa zelenom i digitalnom tranzicijom, posebno u pogledu vještina, strukovnog obrazovanja i osposobljavanja te cjeloživotnog učenja; poziva na to da se ciljevi akcijskog plana za europski stup socijalnih prava ugrade u srž europskog semestra tako da ih se uvrsti kao referentne vrijednosti u procjene europskog semestra; napominje da je Komisijin prijedlog zajedničkog izvješća o zapošljavanju za 2026. u velikoj mjeri usmjeren na nedostatak vještina i radne snage te da se njime ne provodi sveobuhvatna procjena provedbe 20 načela europskog stupa socijalnih prava, kako je propisano Uredbom (EU) 2024/1263; poziva Komisiju da osigura da se u budućim ciklusima uzmu u obzir sva načela europskog stupa socijalnih prava kako bi se osigurala točna i potpuna slika socijalne situacije u EU-u; </w:t>
      </w:r>
    </w:p>
    <w:p w14:paraId="2AC7C3CA" w14:textId="77777777" w:rsidR="009D52D5" w:rsidRDefault="009D52D5" w:rsidP="009D52D5">
      <w:pPr>
        <w:pStyle w:val="NormalHanging12a"/>
      </w:pPr>
      <w:r w:rsidRPr="00D30F22">
        <w:t>3.</w:t>
      </w:r>
      <w:r w:rsidRPr="00D30F22">
        <w:tab/>
        <w:t xml:space="preserve">pozdravlja težnju Komisije da iskorijeni siromaštvo do 2050., njezin Europski plan za </w:t>
      </w:r>
      <w:proofErr w:type="spellStart"/>
      <w:r w:rsidRPr="00D30F22">
        <w:t>priuštivo</w:t>
      </w:r>
      <w:proofErr w:type="spellEnd"/>
      <w:r w:rsidRPr="00D30F22">
        <w:t xml:space="preserve"> stanovanje i njezinu namjeru da predloži zakon o kvalitetnim radnim mjestima; nadalje pozdravlja prvu strategiju EU-a za borbu protiv siromaštva i jačanje europskog jamstva za djecu; ističe potrebu za usklađenošću između europskog semestra, daljnjeg postupanja u vezi s akcijskim planom za europski stup socijalnih prava i tih budućih instrumenata, s mjerljivim ciljevima i odgovarajućim preporukama za pojedine zemlje; </w:t>
      </w:r>
    </w:p>
    <w:p w14:paraId="0B427A8F" w14:textId="42CFD8D7" w:rsidR="00CC78D4" w:rsidRPr="00D30F22" w:rsidRDefault="00F01D0E" w:rsidP="009D52D5">
      <w:pPr>
        <w:pStyle w:val="NormalHanging12a"/>
      </w:pPr>
      <w:r>
        <w:t>4</w:t>
      </w:r>
      <w:r w:rsidR="00CC78D4" w:rsidRPr="00CC78D4">
        <w:t>.</w:t>
      </w:r>
      <w:r w:rsidR="00CC78D4" w:rsidRPr="00CC78D4">
        <w:tab/>
        <w:t xml:space="preserve">podsjeća na obvezu predsjednice Komisije Ursule von </w:t>
      </w:r>
      <w:proofErr w:type="spellStart"/>
      <w:r w:rsidR="00CC78D4" w:rsidRPr="00CC78D4">
        <w:t>der</w:t>
      </w:r>
      <w:proofErr w:type="spellEnd"/>
      <w:r w:rsidR="00CC78D4" w:rsidRPr="00CC78D4">
        <w:t xml:space="preserve"> </w:t>
      </w:r>
      <w:proofErr w:type="spellStart"/>
      <w:r w:rsidR="00CC78D4" w:rsidRPr="00CC78D4">
        <w:t>Leyen</w:t>
      </w:r>
      <w:proofErr w:type="spellEnd"/>
      <w:r w:rsidR="00CC78D4" w:rsidRPr="00CC78D4">
        <w:t xml:space="preserve"> koja je preuzeta 2019. da se svakom djetetu u Europi koje je izloženo riziku od siromaštva ili socijalne isključenosti osiguraju najosnovnija prava, kao što su pravo na zdravstvenu skrb i obrazovanje, nakon koje je donesena Preporuka Vijeća (EU) 2021/1004 od 14. lipnja 2021. o uspostavi europskog jamstva za djecu</w:t>
      </w:r>
      <w:r w:rsidR="00CC78D4">
        <w:rPr>
          <w:rStyle w:val="FootnoteReference"/>
        </w:rPr>
        <w:footnoteReference w:id="5"/>
      </w:r>
      <w:r w:rsidR="00CC78D4" w:rsidRPr="00CC78D4">
        <w:t>; naglašava da se ciljevi Europskog jamstva za djecu ne mogu postići bez ambicioznog namjenskog proračuna na razini EU-a i nacionalnoj razini; u tom kontekstu ponavlja poziv na donošenje izdašnog namjenskog proračuna od najmanje 20 milijardi EUR za europsko jamstvo za djecu; ističe hitnu potrebu da se taj namjenski proračun dodijeli u sljedećem višegodišnjem financijskom okviru kako bi se odgovorilo na sve veći izazov siromaštva i socijalne isključenosti djece;</w:t>
      </w:r>
    </w:p>
    <w:p w14:paraId="4CAEDF71" w14:textId="26F0A8A0" w:rsidR="009D52D5" w:rsidRPr="00D30F22" w:rsidRDefault="00F01D0E" w:rsidP="009D52D5">
      <w:pPr>
        <w:pStyle w:val="NormalHanging12a"/>
      </w:pPr>
      <w:r>
        <w:t>5</w:t>
      </w:r>
      <w:r w:rsidR="009D52D5" w:rsidRPr="00D30F22">
        <w:t>.</w:t>
      </w:r>
      <w:r w:rsidR="009D52D5" w:rsidRPr="00D30F22">
        <w:tab/>
        <w:t>naglašava važnost iskorjenjivanja siromaštva i socijalne isključenosti djece kako bi se prekinuli međugeneracijski ciklusi; pozdravlja uvršćivanje procjene provedbe jamstva za djecu u sva izvješća za pojedine zemlje u proljetnom paketu 2025. i potiče kontinuirano praćenje napretka u okviru europskog semestra; no žali zbog nedostatka daljnjih mjera na temelju tih nalaza, s obzirom na to da se u samo dvije preporuke za pojedine zemlje u 2025. tražilo poduzimanje mjera za rješavanje problema siromaštva djece; smatra da bi preporuke za pojedine zemlje trebale odražavati proračunsku usklađenost država članica s minimalnim zahtjevom za dodjelu sredstava za suzbijanje siromaštva djece utvrđenim u Uredbi o fondu ESF+</w:t>
      </w:r>
      <w:r w:rsidR="009D52D5" w:rsidRPr="00D30F22">
        <w:rPr>
          <w:vertAlign w:val="superscript"/>
        </w:rPr>
        <w:footnoteReference w:id="6"/>
      </w:r>
      <w:r w:rsidR="009D52D5" w:rsidRPr="00D30F22">
        <w:t xml:space="preserve">; </w:t>
      </w:r>
    </w:p>
    <w:p w14:paraId="6BBEE1B1" w14:textId="4DAA4934" w:rsidR="009D52D5" w:rsidRPr="00D30F22" w:rsidRDefault="00F01D0E" w:rsidP="009D52D5">
      <w:pPr>
        <w:pStyle w:val="NormalHanging12a"/>
      </w:pPr>
      <w:r>
        <w:t>6</w:t>
      </w:r>
      <w:r w:rsidR="009D52D5" w:rsidRPr="00D30F22">
        <w:t>.</w:t>
      </w:r>
      <w:r w:rsidR="009D52D5" w:rsidRPr="00D30F22">
        <w:tab/>
        <w:t>ponavlja poziv na povećanje sredstava za europsko jamstvo za djecu s</w:t>
      </w:r>
      <w:r w:rsidR="00CC78D4" w:rsidRPr="00CC78D4">
        <w:t>a znatnim</w:t>
      </w:r>
      <w:r w:rsidR="009D52D5" w:rsidRPr="00D30F22">
        <w:t xml:space="preserve"> namjenskim proračunom i na to da države članice najmanje 5 % sredstava koja su im </w:t>
      </w:r>
      <w:r w:rsidR="009D52D5" w:rsidRPr="00D30F22">
        <w:lastRenderedPageBreak/>
        <w:t>dodijeljena iz fonda ESF+ namijene za borbu protiv siromaštva djece i promicanje dobrobiti djece, pri čemu bi najmanje 10 % sredstava trebalo biti namijenjeno državama članicama u kojima razine siromaštva djece premašuju prosjek EU-a;</w:t>
      </w:r>
    </w:p>
    <w:p w14:paraId="14E535DE" w14:textId="18C72875" w:rsidR="009D52D5" w:rsidRDefault="00F01D0E" w:rsidP="009D52D5">
      <w:pPr>
        <w:pStyle w:val="NormalHanging12a"/>
      </w:pPr>
      <w:r>
        <w:t>7</w:t>
      </w:r>
      <w:r w:rsidR="009D52D5" w:rsidRPr="00D30F22">
        <w:t>.</w:t>
      </w:r>
      <w:r w:rsidR="009D52D5" w:rsidRPr="00D30F22">
        <w:tab/>
        <w:t xml:space="preserve">zabrinut je zbog stope nezaposlenosti mladih, koja je i dalje više nego dvostruko veća od ukupne stope nezaposlenosti u EU-u; naglašava da je za mlade ključno dopuniti mjere za poticanje zapošljavanja trajnom potporom, uključujući pristup integriranim socijalnim uslugama, stambenom potporom i potporom za mentalno zdravlje kako bi se osiguralo njihovo kontinuirano sudjelovanje u obrazovanju ili zaposlenost; ističe potrebu da države članice ulažu u pojačanu Garanciju za mlade kako bi se osigurala kvalitetna i pravodobna potpora svim mladima koji nisu zaposleni, ne obrazuju se i ne osposobljavaju se i mlađi su od 30 godina; poziva države članice da ojačaju primjenu pojačane Garancije za mlade kako bi se pružila potpora mladima koji napuštaju sustav skrbi i spriječio „učinak litice”, među ostalim s pomoću pristupa profesionalnom usmjeravanju; </w:t>
      </w:r>
    </w:p>
    <w:p w14:paraId="38F86BE1" w14:textId="253265CA" w:rsidR="00CC78D4" w:rsidRPr="00D30F22" w:rsidRDefault="00F01D0E" w:rsidP="009D52D5">
      <w:pPr>
        <w:pStyle w:val="NormalHanging12a"/>
      </w:pPr>
      <w:r>
        <w:t>8</w:t>
      </w:r>
      <w:r w:rsidR="00CC78D4" w:rsidRPr="00CC78D4">
        <w:t>.</w:t>
      </w:r>
      <w:r w:rsidR="00CC78D4" w:rsidRPr="00CC78D4">
        <w:tab/>
        <w:t>poziva Komisiju i države članice da u okviru europskog semestra promiču kvalitetna i pravedno plaćena pripravništva i da spriječe njihovu zlouporabu kao zamjenu za redovno zaposlenje; poziva na to da predstojeća direktiva o poboljšanju radnih uvjeta pripravnika</w:t>
      </w:r>
      <w:r w:rsidR="00CC78D4">
        <w:rPr>
          <w:rStyle w:val="FootnoteReference"/>
        </w:rPr>
        <w:footnoteReference w:id="7"/>
      </w:r>
      <w:r w:rsidR="00CC78D4" w:rsidRPr="00CC78D4">
        <w:t xml:space="preserve"> bude ambiciozna i sveobuhvatna te da se njome osigura potpuna zaštita prava pripravnika, ne dovodeći u pitanje mogućnost prekida pripravništva u slučaju kršenja temeljnih prava, te poziva na brzo zaključenje pregovora;</w:t>
      </w:r>
    </w:p>
    <w:p w14:paraId="38505526" w14:textId="2B67DECE" w:rsidR="009D52D5" w:rsidRPr="00D30F22" w:rsidRDefault="00F01D0E" w:rsidP="009D52D5">
      <w:pPr>
        <w:pStyle w:val="NormalHanging12a"/>
      </w:pPr>
      <w:r>
        <w:t>9</w:t>
      </w:r>
      <w:r w:rsidR="009D52D5" w:rsidRPr="00D30F22">
        <w:t>.</w:t>
      </w:r>
      <w:r w:rsidR="009D52D5" w:rsidRPr="00D30F22">
        <w:tab/>
        <w:t>smatra da je potrebno djelovanje na razini EU-a i država članica kako bi se spriječile i riješile ustrajno visoke razine siromaštva i socijalne isključenosti te u tom pogledu pozdravlja najavu prve strategije EU-a za borbu protiv siromaštva; smatra da ta strategija mora pružiti sveobuhvatan pristup rješavanju temeljnih uzroka i višedimenzionalnih aspekata siromaštva i socijalne isključenosti, s konkretnim mjerama, snažnom dodjelom proračunskih sredstava, jasnim ciljevima, ključnim etapama i strukturnim mjerama, uz istodobno osiguravanje snažne provedbe i praćenja; poziva države članice da provode Direktivu o primjerenim minimalnim plaćama</w:t>
      </w:r>
      <w:r w:rsidR="009D52D5" w:rsidRPr="00D30F22">
        <w:rPr>
          <w:vertAlign w:val="superscript"/>
        </w:rPr>
        <w:footnoteReference w:id="8"/>
      </w:r>
      <w:r w:rsidR="009D52D5" w:rsidRPr="00D30F22">
        <w:t xml:space="preserve"> kako bi se suzbilo siromaštvo unatoč zaposlenju i potaknuo rad; traži da u središtu strategije EU-a za borbu protiv siromaštva bude borba protiv siromaštva djece kako bi se prekinuo krug siromaštva; potiče države članice da u potpunosti provedu Preporuku Vijeća o primjerenom minimalnom dohotku</w:t>
      </w:r>
      <w:r w:rsidR="009D52D5" w:rsidRPr="00D30F22">
        <w:rPr>
          <w:vertAlign w:val="superscript"/>
        </w:rPr>
        <w:footnoteReference w:id="9"/>
      </w:r>
      <w:r w:rsidR="009D52D5" w:rsidRPr="00D30F22">
        <w:t xml:space="preserve">; </w:t>
      </w:r>
    </w:p>
    <w:p w14:paraId="7CDF61ED" w14:textId="4ADB578E" w:rsidR="009D52D5" w:rsidRPr="00D30F22" w:rsidRDefault="00F01D0E" w:rsidP="009D52D5">
      <w:pPr>
        <w:pStyle w:val="NormalHanging12a"/>
      </w:pPr>
      <w:r>
        <w:t>10</w:t>
      </w:r>
      <w:r w:rsidR="009D52D5" w:rsidRPr="00D30F22">
        <w:t>.</w:t>
      </w:r>
      <w:r w:rsidR="009D52D5" w:rsidRPr="00D30F22">
        <w:tab/>
        <w:t>podsjeća na važnost poboljšanja pristupa samozaposlenih osoba socijalnoj zaštiti i poziva Komisiju da iskoristi postupak europskog semestra za praćenje nacionalne provedbe Preporuke Vijeća o pristupu radnika i samozaposlenih osoba socijalnoj zaštiti</w:t>
      </w:r>
      <w:r w:rsidR="009D52D5" w:rsidRPr="00D30F22">
        <w:rPr>
          <w:rStyle w:val="FootnoteReference"/>
        </w:rPr>
        <w:footnoteReference w:id="10"/>
      </w:r>
      <w:r w:rsidR="009D52D5" w:rsidRPr="00D30F22">
        <w:t xml:space="preserve">, uključujući preporuke za pojedine zemlje; podsjeća na potrebu za ciljanim mjerama za kulturni i kreativni sektor s obzirom na to da je stopa samozaposlenih osoba </w:t>
      </w:r>
      <w:r w:rsidR="009D52D5" w:rsidRPr="00D30F22">
        <w:lastRenderedPageBreak/>
        <w:t>u tom sektoru više nego dvostruko veća u odnosu na opće stanovništvo; u tom kontekstu pozdravlja najavu Povelje EU-a za umjetnike čiji je cilj istaknuti glavne temelje i obveze za pravedne radne uvjete u tom sektoru, ali poziva Komisiju da objavu te povelje pomakne na 2026. jer je riječ o pitanjima čije razmatranje traje dugi niz godina;</w:t>
      </w:r>
    </w:p>
    <w:p w14:paraId="033C8524" w14:textId="19B279B8" w:rsidR="009D52D5" w:rsidRPr="00D30F22" w:rsidRDefault="00F01D0E" w:rsidP="009D52D5">
      <w:pPr>
        <w:pStyle w:val="NormalHanging12a"/>
      </w:pPr>
      <w:r>
        <w:t>11</w:t>
      </w:r>
      <w:r w:rsidR="009D52D5" w:rsidRPr="00D30F22">
        <w:t>.</w:t>
      </w:r>
      <w:r w:rsidR="009D52D5" w:rsidRPr="00D30F22">
        <w:tab/>
        <w:t>izražava žaljenje zbog nedostatka aktivnog rada na postizanju ciljeva strateškog okvira EU-a za Rome u državama članicama i činjenice da im se ne posvećuje trajna pozornost u postupku europskog semestra, posebno kada je riječ o preporukama za pojedine zemlje; ističe cilj strateškog okvira da se do 2030. prepolove razlike u zaposlenosti između Roma i opće populacije, a i da se osigura stopa zaposlenosti Roma od najmanje 60 %; poziva države članice da primijene integrirani pristup usmjeren na jednakost te osiguraju da javne politike i usluge učinkovito dopru do svih Roma, uključujući one u udaljenim i ruralnim područjima;</w:t>
      </w:r>
    </w:p>
    <w:p w14:paraId="43CC55B3" w14:textId="6EF448E1" w:rsidR="009D52D5" w:rsidRPr="00D30F22" w:rsidRDefault="00F01D0E" w:rsidP="009D52D5">
      <w:pPr>
        <w:pStyle w:val="NormalHanging12a"/>
      </w:pPr>
      <w:r>
        <w:t>12</w:t>
      </w:r>
      <w:r w:rsidR="009D52D5" w:rsidRPr="00D30F22">
        <w:t>.</w:t>
      </w:r>
      <w:r w:rsidR="009D52D5" w:rsidRPr="00D30F22">
        <w:tab/>
        <w:t xml:space="preserve">sa zabrinutošću podsjeća na konstantno prisutne razlike u zaposlenosti na temelju invaliditeta od oko 24 % i, s druge strane, na cilj EU-a da za u slučaju svih dotičnih osoba prijeđe s institucionalne skrbi na skrb u zajednici ili obitelji; poziva Komisiju da riješi problem razlika u zaposlenosti na temelju invaliditeta u okviru europskog semestra, među ostalim u preporukama za pojedine zemlje, te da u skladu s Konvencijom UN-a o pravima osoba s invaliditetom ažurira Strategiju EU-a o pravima osoba s invaliditetom za razdoblje 2021. – 2030., uvođenjem novih vodećih inicijativa, uključujući europsko jamstvo za zapošljavanje i vještine osoba s invaliditetom; ponavlja svoj poziv Komisiji da predloži akcijski plan za </w:t>
      </w:r>
      <w:proofErr w:type="spellStart"/>
      <w:r w:rsidR="009D52D5" w:rsidRPr="00D30F22">
        <w:t>deinstitucionalizaciju</w:t>
      </w:r>
      <w:proofErr w:type="spellEnd"/>
      <w:r w:rsidR="009D52D5" w:rsidRPr="00D30F22">
        <w:t xml:space="preserve"> kojim bi se obuhvatile sve skupine osoba koje još žive u ustanovama, uključujući djecu, osobe s invaliditetom, osobe s problemima mentalnog zdravlja i beskućnike; ističe da bi napredak u </w:t>
      </w:r>
      <w:proofErr w:type="spellStart"/>
      <w:r w:rsidR="009D52D5" w:rsidRPr="00D30F22">
        <w:t>deinstitucionalizaciji</w:t>
      </w:r>
      <w:proofErr w:type="spellEnd"/>
      <w:r w:rsidR="009D52D5" w:rsidRPr="00D30F22">
        <w:t xml:space="preserve"> trebalo pratiti u okviru europskog semestra i poziva države članice da u potpunosti iskoriste ESF+ te druge fondove EU-a i nacionalne fondove kako bi taj proces privele kraju, razvile usluge u zajednici i uložile u prevenciju;</w:t>
      </w:r>
    </w:p>
    <w:p w14:paraId="11008089" w14:textId="2C9CD30E" w:rsidR="009D52D5" w:rsidRPr="00D30F22" w:rsidRDefault="00F01D0E" w:rsidP="009D52D5">
      <w:pPr>
        <w:pStyle w:val="NormalHanging12a"/>
      </w:pPr>
      <w:r>
        <w:t>13</w:t>
      </w:r>
      <w:r w:rsidR="009D52D5" w:rsidRPr="00D30F22">
        <w:t>.</w:t>
      </w:r>
      <w:r w:rsidR="009D52D5" w:rsidRPr="00D30F22">
        <w:tab/>
        <w:t>pozdravlja trajno uključivanje okvira socijalne konvergencije u europski semestar; naglašava njegovu važnost, zajedno s pregledom socijalnih pokazatelja, za utvrđivanje rizika i praćenje napretka u uzlaznoj socijalnoj konvergenciji, smanjenje nejednakosti, jačanje sustava socijalne zaštite te promicanje pristojnih radnih uvjeta i potpornih mjera kako bi se osigurala pravednost u tranziciji; poziva Komisiju da dodatno razvije inovativne alate za kvantitativnu i kvalitativnu analizu u skladu s novim okvirom kako bi se on optimalno koristio u budućim ciklusima europskog semestra; poziva Komisiju da u drugoj fazi analize prouči rizike za uzlaznu socijalnu konvergenciju istaknute u njezinu Zajedničkom izvješću o zapošljavanju za 2025., uključujući ishode zapošljavanja nedovoljno zastupljenih skupina, rano napuštanje školovanja i obrazovanje odraslih i siromaštvo, te da s dotičnim državama članicama raspravi o poduzetim ili planiranim mjerama za otklanjanje tih rizika; konstatira da će odgovaranje na izazove utvrđene u Zajedničkom izvješću o zapošljavanju doprinijeti ostvarivanju uzlazne socijalne konvergencije;</w:t>
      </w:r>
    </w:p>
    <w:p w14:paraId="5B4FBD58" w14:textId="1759888B" w:rsidR="009D52D5" w:rsidRPr="00D30F22" w:rsidRDefault="00F01D0E" w:rsidP="009D52D5">
      <w:pPr>
        <w:pStyle w:val="NormalHanging12a"/>
      </w:pPr>
      <w:r>
        <w:t>14</w:t>
      </w:r>
      <w:r w:rsidR="009D52D5" w:rsidRPr="00D30F22">
        <w:t>.</w:t>
      </w:r>
      <w:r w:rsidR="009D52D5" w:rsidRPr="00D30F22">
        <w:tab/>
        <w:t xml:space="preserve">poziva Komisiju da unaprijedi i ažurira pregled socijalnih pokazatelja ta da zajamči da su obuhvaćeni uzroci i posljedice nejednakosti, uključujući jednake mogućnosti, kvalitetno zapošljavanje, raspodjelu bogatstva, pristup javnim i socijalnim uslugama, adekvatne mirovine, stanovanje i beskućništvo, mentalno zdravlje, diskriminaciju te društvene posljedice uništavanja okoliša i klimatskih promjena; poziva Komisiju da u pregledu socijalnih pokazatelja siromaštvo unatoč zaposlenju smatra znakom upozorenja te da predloži preporuke za pojedine zemlje u slučajevima u kojima takvi </w:t>
      </w:r>
      <w:r w:rsidR="009D52D5" w:rsidRPr="00D30F22">
        <w:lastRenderedPageBreak/>
        <w:t xml:space="preserve">trendovi </w:t>
      </w:r>
      <w:proofErr w:type="spellStart"/>
      <w:r w:rsidR="009D52D5" w:rsidRPr="00D30F22">
        <w:t>persistiraju</w:t>
      </w:r>
      <w:proofErr w:type="spellEnd"/>
      <w:r w:rsidR="009D52D5" w:rsidRPr="00D30F22">
        <w:t>; ističe da treba odgovoriti na izazove koji su u pregledu socijalnih pokazatelja označeni kao „kritični” ili za koje je „potrebno praćenje”, uključujući rano napuštanje školovanja, preopterećenost troškovima stanovanja, posljedice socijalnih transfera, razlike u zaposlenosti na temelju invaliditeta, samoprijavljene neispunjene potrebe za zdravstvenom skrbi, skrbi za djecu, osnovnim digitalnim vještinama kao i siromaštvo djece; poziva na uključivanje indeksa društvenog napretka i indeksa rodne ravnopravnosti kako bi se, uz pomoć raščlanjenih podataka, bolje mjerili nejednakost, pristup mogućnostima i dobrobit; ističe potrebu za pravodobnim, usklađenim i transparentnim podacima i metodologijama kako bi se poboljšalo oblikovanje politika utemeljeno na dokazima i ciljana socijalna ulaganja kao i za usklađivanjem pregleda socijalnih pokazatelja sa svih 20 načela europskog stupa socijalnih prava;</w:t>
      </w:r>
    </w:p>
    <w:p w14:paraId="1D1FADF1" w14:textId="60D808C5" w:rsidR="009D52D5" w:rsidRPr="00D30F22" w:rsidRDefault="00F01D0E" w:rsidP="009D52D5">
      <w:pPr>
        <w:pStyle w:val="NormalHanging12a"/>
      </w:pPr>
      <w:r>
        <w:t>15</w:t>
      </w:r>
      <w:r w:rsidR="009D52D5" w:rsidRPr="00D30F22">
        <w:t>.</w:t>
      </w:r>
      <w:r w:rsidR="009D52D5" w:rsidRPr="00D30F22">
        <w:tab/>
        <w:t xml:space="preserve">podsjeća na to da pokazatelj rizika od siromaštva ili socijalne isključenosti (AROPE) u dovoljnoj mjeri ne obuhvaća temeljne uzroke siromaštva ni složene nejednakosti, u prvom redu uključivanje osoba koje žive izvan privatnih kućanstava, kvalitativne aspekte siromaštva i životna iskustva povezana s marginalizacijom, istodobno uzimajući u obzir to da siromaštvo nadilazi puki problem nedovoljnih prihoda ili materijalne oskudice; poziva Odbor za socijalnu zaštitu da radi na obnovi statističke mjere AROPE kako bi se razvila u dublje, raščlanjeno i višedimenzionalno razumijevanje siromaštva i socijalne isključenosti; </w:t>
      </w:r>
    </w:p>
    <w:p w14:paraId="6360A947" w14:textId="5AD56A52" w:rsidR="009D52D5" w:rsidRPr="00D30F22" w:rsidRDefault="00F01D0E" w:rsidP="009D52D5">
      <w:pPr>
        <w:pStyle w:val="NormalHanging12a"/>
      </w:pPr>
      <w:r>
        <w:t>16</w:t>
      </w:r>
      <w:r w:rsidR="009D52D5" w:rsidRPr="00D30F22">
        <w:t>.</w:t>
      </w:r>
      <w:r w:rsidR="009D52D5" w:rsidRPr="00D30F22">
        <w:tab/>
        <w:t xml:space="preserve">podsjeća na to da socijalna ulaganja mogu pozitivno utjecati na gospodarski rast, produktivnost i konkurentnost te istodobno pridonositi fiskalnoj održivosti i promicati uzlaznu socijalnu konvergenciju, kvalitetu životnih i radnih uvjeta te inkluziju ranjivih skupina; poziva Komisiju i države članice da socijalna ulaganja smatraju temeljnima za održivi rast i da se usredotoče na ulaganja koja dokazano povećavaju rast, produktivnost, kvalitetu radnih mjesta i sudjelovanje na tržištu rada; poziva države članice da u potpunosti i ciljano iskoriste Mehanizam za oporavak i otpornost do 31. prosinca 2026. kako bi odgovorile na izazove utvrđene u preporukama za pojedine zemlje; poziva Komisiju da pruži smjernice o načinima poticanja privatnih ulaganja i korištenja javno-privatnim partnerstvima s ciljem uklanjanja nedostataka u socijalnoj infrastrukturi; pozdravlja uspostavu centra znanja o socijalnim ulaganjima kako bi se unaprijedili uzajamno učenje i tehnička pomoć, nastavila poboljšavati pravodobnost i dostupnost socijalnih pokazatelja, smanjila kašnjenja u procjeni trendova siromaštva i nejednakosti te poboljšao pristup država članica podacima za evaluaciju politika i procjenu učinka; </w:t>
      </w:r>
    </w:p>
    <w:p w14:paraId="0E4AE183" w14:textId="485CB630" w:rsidR="009D52D5" w:rsidRPr="00D30F22" w:rsidRDefault="00F01D0E" w:rsidP="009D52D5">
      <w:pPr>
        <w:pStyle w:val="NormalHanging12a"/>
      </w:pPr>
      <w:r>
        <w:t>17</w:t>
      </w:r>
      <w:r w:rsidR="009D52D5" w:rsidRPr="00D30F22">
        <w:t>.</w:t>
      </w:r>
      <w:r w:rsidR="009D52D5" w:rsidRPr="00D30F22">
        <w:tab/>
        <w:t xml:space="preserve">podsjeća na to da je socijalna ekonomija ključna sastavnica socijalnih ulaganja i da ima jedinstvenu ulogu u razvoju </w:t>
      </w:r>
      <w:proofErr w:type="spellStart"/>
      <w:r w:rsidR="009D52D5" w:rsidRPr="00D30F22">
        <w:t>uključivih</w:t>
      </w:r>
      <w:proofErr w:type="spellEnd"/>
      <w:r w:rsidR="009D52D5" w:rsidRPr="00D30F22">
        <w:t xml:space="preserve"> i inovativnih rješenja na lokalnoj razini te da doprinosi otvaranju kvalitetnih radnih mjesta, pružanju </w:t>
      </w:r>
      <w:proofErr w:type="spellStart"/>
      <w:r w:rsidR="009D52D5" w:rsidRPr="00D30F22">
        <w:t>priuštivih</w:t>
      </w:r>
      <w:proofErr w:type="spellEnd"/>
      <w:r w:rsidR="009D52D5" w:rsidRPr="00D30F22">
        <w:t xml:space="preserve"> i dostupnih socijalnih i lokalnih usluga te zelenoj i digitalnoj tranziciji; napominje da je javna potpora socijalnoj ekonomiji snažna, pri čemu 88 % ispitanika </w:t>
      </w:r>
      <w:proofErr w:type="spellStart"/>
      <w:r w:rsidR="009D52D5" w:rsidRPr="00D30F22">
        <w:t>Eurobarometra</w:t>
      </w:r>
      <w:proofErr w:type="spellEnd"/>
      <w:r w:rsidR="009D52D5" w:rsidRPr="00D30F22">
        <w:t xml:space="preserve"> podupire strategije i zakonodavstvo namijenjeno njezinu promicanju; poziva Komisiju i države članice da ojačaju svoje okvirne uvjete olakšavanjem pristupa financiranju, pružanjem mogućnosti za izgradnju kapaciteta i osiguravanjem njegove vidljivosti te da uzmu u obzir ciljeve Akcijskog plana za socijalnu ekonomiju u europskom semestru, među ostalim u vidu preporuka za pojedine zemlje i ciljane upotrebe sredstava EU-a;</w:t>
      </w:r>
    </w:p>
    <w:p w14:paraId="69BA1476" w14:textId="77C2DF1E" w:rsidR="009D52D5" w:rsidRPr="00D30F22" w:rsidRDefault="00F01D0E" w:rsidP="009D52D5">
      <w:pPr>
        <w:pStyle w:val="NormalHanging12a"/>
      </w:pPr>
      <w:r>
        <w:t>18</w:t>
      </w:r>
      <w:r w:rsidR="009D52D5" w:rsidRPr="00D30F22">
        <w:t>.</w:t>
      </w:r>
      <w:r w:rsidR="009D52D5" w:rsidRPr="00D30F22">
        <w:tab/>
        <w:t xml:space="preserve">ističe da bi Plan za </w:t>
      </w:r>
      <w:proofErr w:type="spellStart"/>
      <w:r w:rsidR="009D52D5" w:rsidRPr="00D30F22">
        <w:t>priuštivo</w:t>
      </w:r>
      <w:proofErr w:type="spellEnd"/>
      <w:r w:rsidR="009D52D5" w:rsidRPr="00D30F22">
        <w:t xml:space="preserve"> stanovanje Europske komisije trebalo bolje integrirati u europski semestar, uz snažniji naglasak u preporukama za pojedine zemlje o </w:t>
      </w:r>
      <w:proofErr w:type="spellStart"/>
      <w:r w:rsidR="009D52D5" w:rsidRPr="00D30F22">
        <w:t>priuštivom</w:t>
      </w:r>
      <w:proofErr w:type="spellEnd"/>
      <w:r w:rsidR="009D52D5" w:rsidRPr="00D30F22">
        <w:t xml:space="preserve">, pristojnom i održivom stanovanju, posebno za skupine s niskim i srednjim dohotkom kao i za osobe s invaliditetom te starije osobe; poziva na snažnije praćenje napretka </w:t>
      </w:r>
      <w:r w:rsidR="009D52D5" w:rsidRPr="00D30F22">
        <w:lastRenderedPageBreak/>
        <w:t xml:space="preserve">država članica u osiguravanju pristupa odgovarajućem, sigurnom i </w:t>
      </w:r>
      <w:proofErr w:type="spellStart"/>
      <w:r w:rsidR="009D52D5" w:rsidRPr="00D30F22">
        <w:t>nesegregiranom</w:t>
      </w:r>
      <w:proofErr w:type="spellEnd"/>
      <w:r w:rsidR="009D52D5" w:rsidRPr="00D30F22">
        <w:t xml:space="preserve"> stanovanju za romske zajednice koje se suočavaju s ekstremnim siromaštvom; podsjeća potpisnike </w:t>
      </w:r>
      <w:proofErr w:type="spellStart"/>
      <w:r w:rsidR="009D52D5" w:rsidRPr="00D30F22">
        <w:t>Lisabonske</w:t>
      </w:r>
      <w:proofErr w:type="spellEnd"/>
      <w:r w:rsidR="009D52D5" w:rsidRPr="00D30F22">
        <w:t xml:space="preserve"> deklaracije o Europskoj platformi za borbu protiv beskućništva na cilj iskorjenjivanja beskućništva do 2030.; poziva države članice da kombiniraju mjere kojima se povećava ponuda, smanjuju troškovi izgradnje i rješava problem nedostatka radne snage u građevinskom i stambenom sektoru s potporom na strani potražnje, kojom se osobama, a posebno kućanstvima u ranjivom položaju, omogućuje pristup </w:t>
      </w:r>
      <w:proofErr w:type="spellStart"/>
      <w:r w:rsidR="009D52D5" w:rsidRPr="00D30F22">
        <w:t>priuštivom</w:t>
      </w:r>
      <w:proofErr w:type="spellEnd"/>
      <w:r w:rsidR="009D52D5" w:rsidRPr="00D30F22">
        <w:t xml:space="preserve">, pristojnom i održivom stanovanju; ističe da bi se nacionalnim srednjoročnim fiskalno-strukturnim planovima i strategijama ulaganja trebali podupirati socijalno i </w:t>
      </w:r>
      <w:proofErr w:type="spellStart"/>
      <w:r w:rsidR="009D52D5" w:rsidRPr="00D30F22">
        <w:t>priuštivo</w:t>
      </w:r>
      <w:proofErr w:type="spellEnd"/>
      <w:r w:rsidR="009D52D5" w:rsidRPr="00D30F22">
        <w:t xml:space="preserve"> stanovanje, sprečavanje i smanjenje razine beskućništva kao i obnova zgrada kako bi se smanjilo energetsko siromaštvo i poboljšali uvjeti stanovanja, naročito za ranjiva kućanstva; podsjeća na to da će Socijalni fond za klimatsku politiku od 2026. državama članicama osiguravati financijska sredstva za potporu ranjivim kućanstvima i </w:t>
      </w:r>
      <w:proofErr w:type="spellStart"/>
      <w:r w:rsidR="009D52D5" w:rsidRPr="00D30F22">
        <w:t>mikropoduzećima</w:t>
      </w:r>
      <w:proofErr w:type="spellEnd"/>
      <w:r w:rsidR="009D52D5" w:rsidRPr="00D30F22">
        <w:t>;</w:t>
      </w:r>
    </w:p>
    <w:p w14:paraId="22AFE3B6" w14:textId="09F67C8F" w:rsidR="009D52D5" w:rsidRPr="00D30F22" w:rsidRDefault="00F01D0E" w:rsidP="009D52D5">
      <w:pPr>
        <w:pStyle w:val="NormalHanging12a"/>
      </w:pPr>
      <w:r>
        <w:t>19</w:t>
      </w:r>
      <w:r w:rsidR="009D52D5" w:rsidRPr="00D30F22">
        <w:t>.</w:t>
      </w:r>
      <w:r w:rsidR="009D52D5" w:rsidRPr="00D30F22">
        <w:tab/>
        <w:t xml:space="preserve">ističe da je ulaganje u visokokvalitetno i pristupačno obrazovanje te cjeloživotno učenje strateško socijalno ulaganje koje je ključno za koheziju, uključenost i pripremu radne snage za zelenu i digitalnu tranziciju i obrambene potrebe EU-a, među ostalim u vidu strukovnog obrazovanja i osposobljavanja te naukovanja; pozdravlja Prijedlog za preporuku Vijeća o ljudskom kapitalu u EU-u i njegovu usmjerenost na rješavanje problema nedostatka vještina, upotrebu informacija o vještinama za osmišljavanje strategija u području vještina te razvoj širokog skupa osnovnih vještina potrebnih za suvremeni život, uključujući digitalnu i građansku pismenost te pismenost u području umjetne inteligencije, kako bi se građene pripremilo za suvremeni život; uviđa da nedovoljna ulaganja u ljudski kapital koče inovacije, konkurentnost i sposobnost ljudi da ostvare svoj puni potencijal; </w:t>
      </w:r>
    </w:p>
    <w:p w14:paraId="50BF85B9" w14:textId="50153AC3" w:rsidR="009D52D5" w:rsidRPr="00D30F22" w:rsidRDefault="00F01D0E" w:rsidP="009D52D5">
      <w:pPr>
        <w:pStyle w:val="NormalHanging12a"/>
      </w:pPr>
      <w:r>
        <w:t>20</w:t>
      </w:r>
      <w:r w:rsidR="009D52D5" w:rsidRPr="00D30F22">
        <w:t>.</w:t>
      </w:r>
      <w:r w:rsidR="009D52D5" w:rsidRPr="00D30F22">
        <w:tab/>
        <w:t xml:space="preserve">ističe potrebu da se inicijativama EU-a usmjerenima na nedostatak vještina pruži snažnija potpora sveobuhvatnim, </w:t>
      </w:r>
      <w:proofErr w:type="spellStart"/>
      <w:r w:rsidR="009D52D5" w:rsidRPr="00D30F22">
        <w:t>uključivim</w:t>
      </w:r>
      <w:proofErr w:type="spellEnd"/>
      <w:r w:rsidR="009D52D5" w:rsidRPr="00D30F22">
        <w:t xml:space="preserve"> sustavima obrazovanja i osposobljavanja, među ostalim na temelju aktivnih politika tržišta rada, individualnih računa za učenje i </w:t>
      </w:r>
      <w:proofErr w:type="spellStart"/>
      <w:r w:rsidR="009D52D5" w:rsidRPr="00D30F22">
        <w:t>mikrokvalifikacija</w:t>
      </w:r>
      <w:proofErr w:type="spellEnd"/>
      <w:r w:rsidR="009D52D5" w:rsidRPr="00D30F22">
        <w:t xml:space="preserve"> te jačanjem postupaka priznavanja neformalnog i </w:t>
      </w:r>
      <w:proofErr w:type="spellStart"/>
      <w:r w:rsidR="009D52D5" w:rsidRPr="00D30F22">
        <w:t>informalnog</w:t>
      </w:r>
      <w:proofErr w:type="spellEnd"/>
      <w:r w:rsidR="009D52D5" w:rsidRPr="00D30F22">
        <w:t xml:space="preserve"> učenja; nadalje, ističe važnost poboljšanja i omogućavanja pravedne mobilnosti radne snage unutar EU-a te ulogu zakonitih migracija i priznavanja stranih kvalifikacija kako bi se riješio problem nedostatka vještina; izražava zabrinutost zbog toga što je u većini država članica stopa sudjelovanja odraslih u osposobljavanju i dalje znatno ispod cilja od 60 %, osobito među niskokvalificiranim radnicima, starijim radnicima, državljanima trećih zemalja i osobama s invaliditetom; poziva Komisiju da predloži konkretna rješenja za nedostatak vještina i da ukloni trajne izazove u predstojećem Paketu za pravednu mobilnost radne snage, pri čemu bi osigurala da se predstojećom inicijativom za prenosivost vještina uklone aktualne prepreke priznavanju vještina;</w:t>
      </w:r>
    </w:p>
    <w:p w14:paraId="5E79E46B" w14:textId="597C2940" w:rsidR="009D52D5" w:rsidRPr="00D30F22" w:rsidRDefault="00F01D0E" w:rsidP="009D52D5">
      <w:pPr>
        <w:pStyle w:val="NormalHanging12a"/>
      </w:pPr>
      <w:r>
        <w:t>21</w:t>
      </w:r>
      <w:r w:rsidR="009D52D5" w:rsidRPr="00D30F22">
        <w:t>.</w:t>
      </w:r>
      <w:r w:rsidR="009D52D5" w:rsidRPr="00D30F22">
        <w:tab/>
        <w:t xml:space="preserve">čvrsto vjeruje da se individualnim pravom svih radnika na osposobljavanje tijekom radnog vremena, kojim se uklanjaju glavne prepreke sudjelovanju u mjerama osposobljavanja, može osigurati kvalitetno usavršavanje i prekvalifikacija, osposobljavanje zaposlenika i potpora razvoju karijere kako bi se zajamčila predvidljiva i stabilna ponuda kvalificiranih radnika; naglašava potrebu za uklanjanjem troškovne prepreke osiguravanjem besplatnog osposobljavanja za radnike, uz potporu financiranja, poreznih poticaja i partnerstava; ističe da su nacionalne institucije i socijalni partneri odgovorni za osposobljavanje zaposlenika i naglašava njihovu ključnu ulogu u provedbi prava na osposobljavanje; u tom pogledu poziva države članice da daju prednost programima osposobljavanja koje su zajednički razvili radnici i njihovi poslodavci te da ih promiču, pri čemu bi trebale osigurati i da usavršavanje i prekvalifikacija odgovaraju </w:t>
      </w:r>
      <w:r w:rsidR="009D52D5" w:rsidRPr="00D30F22">
        <w:lastRenderedPageBreak/>
        <w:t>stvarnoj potražnji na tržištu i doprinose napredovanju u karijeri; poziva Komisiju da istraži i izda smjernice o tome kako se javno-privatnim partnerstvima između država članica i poduzeća može financirati osposobljavanje, prekvalifikacija i usavršavanje radnika, konkretno pravo pojedinačnih radnika na osposobljavanje;</w:t>
      </w:r>
    </w:p>
    <w:p w14:paraId="053CD163" w14:textId="0B4750FF" w:rsidR="009D52D5" w:rsidRPr="00D30F22" w:rsidRDefault="00F01D0E" w:rsidP="009D52D5">
      <w:pPr>
        <w:pStyle w:val="NormalHanging12a"/>
      </w:pPr>
      <w:r>
        <w:t>22</w:t>
      </w:r>
      <w:r w:rsidR="009D52D5" w:rsidRPr="00D30F22">
        <w:t>.</w:t>
      </w:r>
      <w:r w:rsidR="009D52D5" w:rsidRPr="00D30F22">
        <w:tab/>
        <w:t xml:space="preserve">naglašava da međugeneracijska pravednost mora postati strukturna sastavnica europskog semestra; poziva Komisiju da u okviru svoje strategije međugeneracijske pravednosti u okvir za procjenu europskog semestra uključi pokazatelje o dobrobiti mladih i starijih osoba, pristupu kvalitetnim radnim mjestima, </w:t>
      </w:r>
      <w:proofErr w:type="spellStart"/>
      <w:r w:rsidR="009D52D5" w:rsidRPr="00D30F22">
        <w:t>priuštivosti</w:t>
      </w:r>
      <w:proofErr w:type="spellEnd"/>
      <w:r w:rsidR="009D52D5" w:rsidRPr="00D30F22">
        <w:t xml:space="preserve"> i dostupnosti stanovanja, njegove fizičke pristupačnosti, primjerenosti minimalnog dohotka i mirovina, pristupu kvalitetnim uslugama mentalnog zdravlja te kvalitetnom obrazovanju i vještinama kao i da procijeni dugoročne i distribucijske učinke fiskalnih preporuka i preporuka za reforme; poziva Komisiju da procijeni dugoročne gospodarske, ekološke i socijalne učinke političkih preporuka na buduće generacije, uključujući nedovoljna ulaganja; naglašava potrebu za boljom integracijom učinka demografske transformacije i duljeg životnog vijeka u europski semestar; ističe da demografske promjene zahtijevaju politike za povećanje sudjelovanja radne snage; ističe potrebu za mjerama kojima se podupire aktivno starenje i osigurava dugoročna održivost mirovinskih sustava i sustava skrbi; smatra da bi u preporukama za pojedine zemlje trebalo promicati mirovine koje osiguravaju dostojanstven život, dobrobit te pristup kvalitetnoj te </w:t>
      </w:r>
      <w:proofErr w:type="spellStart"/>
      <w:r w:rsidR="009D52D5" w:rsidRPr="00D30F22">
        <w:t>priuštivoj</w:t>
      </w:r>
      <w:proofErr w:type="spellEnd"/>
      <w:r w:rsidR="009D52D5" w:rsidRPr="00D30F22">
        <w:t xml:space="preserve"> zdravstvenoj skrbi i preventivnim uslugama za sve;</w:t>
      </w:r>
    </w:p>
    <w:p w14:paraId="093987C1" w14:textId="49FB0AD2" w:rsidR="009D52D5" w:rsidRPr="00D30F22" w:rsidRDefault="00F01D0E" w:rsidP="009D52D5">
      <w:pPr>
        <w:pStyle w:val="NormalHanging12a"/>
      </w:pPr>
      <w:r>
        <w:t>23</w:t>
      </w:r>
      <w:r w:rsidR="009D52D5" w:rsidRPr="00D30F22">
        <w:t>.</w:t>
      </w:r>
      <w:r w:rsidR="009D52D5" w:rsidRPr="00D30F22">
        <w:tab/>
        <w:t>ističe da se u okviru europskog semestra rashodi za obranu moraju planirati na koordiniran, učinkovit, transparentan i europski način kako bi se maksimizirale njihove društvene koristi; naglašava da bi ulaganja povezana sa sigurnošću trebala uključivati društvenu otpornost, uključujući infrastrukturu s velikim koristima za građane, socijalnu zaštitu, građansko obrazovanje, demokratsku otpornost i zaštitu od dezinformacija te uviđa da su socijalna stabilnost i demokratsko povjerenje važne sastavnice europske sigurnosne strukture te da se moraju uzeti u obzir u analizi dugoročnih potreba za reformama i ulaganjima u okviru semestra;</w:t>
      </w:r>
    </w:p>
    <w:p w14:paraId="7F19A0D8" w14:textId="3EDAFF5E" w:rsidR="009D52D5" w:rsidRPr="00D30F22" w:rsidRDefault="00F01D0E" w:rsidP="009D52D5">
      <w:pPr>
        <w:pStyle w:val="NormalHanging12a"/>
      </w:pPr>
      <w:r>
        <w:t>24</w:t>
      </w:r>
      <w:r w:rsidR="009D52D5" w:rsidRPr="00D30F22">
        <w:t>.</w:t>
      </w:r>
      <w:r w:rsidR="009D52D5" w:rsidRPr="00D30F22">
        <w:tab/>
        <w:t>ističe da će preporuke u okviru europskog semestra 2026. biti ključne za oblikovanje sljedećeg višegodišnjeg financijskog okvira; smatra da bi se reforme i ulaganja trebali birati na temelju učinkovitosti i djelotvornosti u provođenju odgovarajućih preporuka za pojedine zemlje; upozorava na to da, ako se financijska sredstva EU-a trebaju povezati sa smjernicama europskog semestra, te smjernice moraju biti socijalno uravnotežene i u potpunosti usklađene s europskim stupom socijalnih prava, a da regionalni i lokalni akteri moraju imati važnu ulogu u isplati sredstava; u tom pogledu sa zabrinutošću prima na znanje prijedlog Komisije o socijalnim izdacima, koji bi mogao oslabiti usredotočenost na zapošljavanje i socijalne ciljeve, te poziva na uspostavu samostalnog i ojačanog fonda ESF+ s tematskim koncentracijama;</w:t>
      </w:r>
    </w:p>
    <w:p w14:paraId="153C8558" w14:textId="72839442" w:rsidR="009D52D5" w:rsidRPr="00D30F22" w:rsidRDefault="00F01D0E" w:rsidP="009D52D5">
      <w:pPr>
        <w:pStyle w:val="NormalHanging12a"/>
      </w:pPr>
      <w:r>
        <w:t>25</w:t>
      </w:r>
      <w:r w:rsidR="009D52D5" w:rsidRPr="00D30F22">
        <w:t>.</w:t>
      </w:r>
      <w:r w:rsidR="009D52D5" w:rsidRPr="00D30F22">
        <w:tab/>
        <w:t xml:space="preserve">smatra da je socijalni model EU-a sastavni dio njegove konkurentnosti i da se pri pojednostavnjenju administrativnih opterećenja za poduzeća moraju čuvati i jamčiti socijalna prava; ističe da </w:t>
      </w:r>
      <w:proofErr w:type="spellStart"/>
      <w:r w:rsidR="009D52D5" w:rsidRPr="00D30F22">
        <w:t>netroškovna</w:t>
      </w:r>
      <w:proofErr w:type="spellEnd"/>
      <w:r w:rsidR="009D52D5" w:rsidRPr="00D30F22">
        <w:t xml:space="preserve"> konkurentnost, kao što su kvaliteta proizvoda i usluga, također može poduprijeti produktivnost i rast plaća; ističe važnost pružanja veće jasnoće, proporcionalnosti i pravne sigurnosti, posebno za mala i srednja poduzeća i samozaposlene stručnjake, te naglašava da bi se takvim pristupima u obzir trebala uzimati raznolikost modela tržišta rada u državama članicama te istodobno podupirati održive gospodarske aktivnosti i otvaranje kvalitetnih radnih mjesta;</w:t>
      </w:r>
    </w:p>
    <w:p w14:paraId="4DD432A5" w14:textId="3CDBA362" w:rsidR="009D52D5" w:rsidRPr="00D30F22" w:rsidRDefault="00F01D0E" w:rsidP="009D52D5">
      <w:pPr>
        <w:pStyle w:val="NormalHanging12a"/>
      </w:pPr>
      <w:r>
        <w:lastRenderedPageBreak/>
        <w:t>26</w:t>
      </w:r>
      <w:r w:rsidR="009D52D5" w:rsidRPr="00D30F22">
        <w:t>.</w:t>
      </w:r>
      <w:r w:rsidR="009D52D5" w:rsidRPr="00D30F22">
        <w:tab/>
        <w:t xml:space="preserve">podupire demokratskiji proces europskog semestra, uz snažnu uključenost Parlamenta u određivanje prioriteta gospodarske i socijalne politike te donošenje odluka o gospodarskom upravljanju; ustraje u tome da oblikovanje i praćenje nacionalnih reformi te daljnje postupanje u vezi s njima moraju sustavno uključivati socijalne partnere, organizacije civilnog društva te regionalne i lokalne aktere, uz osiguravanje odgovarajućeg vremena i transparentnosti; potiče Komisiju i države članice da osiguraju njihovo odgovarajuće sudjelovanje u svim fazama analize, među ostalim u okviru socijalne konvergencije, kako bi se ojačala odgovornost i zajamčilo da socijalna prava EU-a postanu stvarnost u praksi; naglašava da je poštovanje načela supsidijarnosti i nacionalne nadležnosti i dalje ključna sastavnica europskog semestra; podsjeća na potrebu da Komisija osigura da se u okviru europskog semestra i okvira gospodarskog upravljanja EU-a procijeni utjecaj preporučenih reformi na rodnu ravnopravnost i integraciju žena na tržište rada kao i da promiče ulaganja u kvalitetne javne usluge i infrastrukturu za skrb; </w:t>
      </w:r>
    </w:p>
    <w:p w14:paraId="60A7CE30" w14:textId="5117C6BC" w:rsidR="009D52D5" w:rsidRPr="00D30F22" w:rsidRDefault="00F01D0E" w:rsidP="009D52D5">
      <w:pPr>
        <w:pStyle w:val="NormalHanging"/>
      </w:pPr>
      <w:r>
        <w:t>27</w:t>
      </w:r>
      <w:r w:rsidR="009D52D5" w:rsidRPr="00D30F22">
        <w:t>.</w:t>
      </w:r>
      <w:r w:rsidR="009D52D5" w:rsidRPr="00D30F22">
        <w:tab/>
        <w:t>skreće pozornost na nedostatak transparentne metodologije za oblikovanje preporuka za pojedine zemlje, ali i jasnoće u pogledu kriterija koji se upotrebljavaju za njihov odabir; upozorava da se time u pitanje dovodi odgovornost i riskira nejednako postupanje prema državama članicama; poziva Komisiju da osigura punu transparentnost postupaka i internog donošenja odluka, uključujući dotične glavne uprave, te da ojača odgovornost i razmjenu informacija s Parlamentom; izražava zabrinutost zbog toga što je usklađenost s preporukama za pojedine zemlje konstantno niska; poziva države članice da bolje razmotre preporuke u području zapošljavanja i socijalnih politika; poziva Komisiju da ostvari snažniji dijalog s državama članicama o provedbi postojećih preporuka i smjernica za zapošljavanje, uključujući daljnje postupanje u vezi s aktualnim i planiranim političkim mjerama;</w:t>
      </w:r>
    </w:p>
    <w:p w14:paraId="209DF702" w14:textId="182FF5DD" w:rsidR="00D30F22" w:rsidRPr="00D30F22" w:rsidRDefault="00F01D0E" w:rsidP="00D30F22">
      <w:pPr>
        <w:pStyle w:val="NormalHanging12a"/>
      </w:pPr>
      <w:r>
        <w:t>28</w:t>
      </w:r>
      <w:r w:rsidR="009D52D5" w:rsidRPr="00D30F22">
        <w:t>.</w:t>
      </w:r>
      <w:r w:rsidR="009D52D5" w:rsidRPr="00D30F22">
        <w:tab/>
        <w:t>nalaže svojoj predsjednici da ovu Rezoluciju proslijedi Vijeću i Komisiji.</w:t>
      </w:r>
    </w:p>
    <w:p w14:paraId="53FF7D73" w14:textId="5D3F2158" w:rsidR="00E365E1" w:rsidRPr="00D30F22" w:rsidRDefault="00E365E1" w:rsidP="00D422D3"/>
    <w:sectPr w:rsidR="00E365E1" w:rsidRPr="00D30F22" w:rsidSect="00D30F22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53B4AB2" w14:textId="77777777" w:rsidR="00D422D3" w:rsidRPr="00D30F22" w:rsidRDefault="00D422D3">
      <w:r w:rsidRPr="00D30F22">
        <w:separator/>
      </w:r>
    </w:p>
  </w:endnote>
  <w:endnote w:type="continuationSeparator" w:id="0">
    <w:p w14:paraId="3D38B26A" w14:textId="77777777" w:rsidR="00D422D3" w:rsidRPr="00D30F22" w:rsidRDefault="00D422D3">
      <w:r w:rsidRPr="00D30F22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BD6BE3" w14:textId="77777777" w:rsidR="00D422D3" w:rsidRPr="00D30F22" w:rsidRDefault="00D422D3">
      <w:r w:rsidRPr="00D30F22">
        <w:separator/>
      </w:r>
    </w:p>
  </w:footnote>
  <w:footnote w:type="continuationSeparator" w:id="0">
    <w:p w14:paraId="5C7D62FD" w14:textId="77777777" w:rsidR="00D422D3" w:rsidRPr="00D30F22" w:rsidRDefault="00D422D3">
      <w:r w:rsidRPr="00D30F22">
        <w:continuationSeparator/>
      </w:r>
    </w:p>
  </w:footnote>
  <w:footnote w:id="1">
    <w:p w14:paraId="6719CCF5" w14:textId="1A0CBCE4" w:rsidR="009D52D5" w:rsidRPr="00D30F22" w:rsidRDefault="009D52D5" w:rsidP="00D30F22">
      <w:pPr>
        <w:pStyle w:val="FootnoteText"/>
        <w:ind w:left="567" w:hanging="567"/>
        <w:rPr>
          <w:sz w:val="24"/>
          <w:lang w:val="hr-HR"/>
        </w:rPr>
      </w:pPr>
      <w:r w:rsidRPr="00D30F22">
        <w:rPr>
          <w:rStyle w:val="FootnoteReference"/>
          <w:sz w:val="24"/>
          <w:lang w:val="hr-HR"/>
        </w:rPr>
        <w:footnoteRef/>
      </w:r>
      <w:r w:rsidR="00D30F22" w:rsidRPr="00D30F22">
        <w:rPr>
          <w:sz w:val="24"/>
          <w:lang w:val="hr-HR"/>
        </w:rPr>
        <w:t xml:space="preserve"> </w:t>
      </w:r>
      <w:r w:rsidR="00D30F22" w:rsidRPr="00D30F22">
        <w:rPr>
          <w:sz w:val="24"/>
          <w:lang w:val="hr-HR"/>
        </w:rPr>
        <w:tab/>
      </w:r>
      <w:r w:rsidRPr="00D30F22">
        <w:rPr>
          <w:sz w:val="24"/>
          <w:lang w:val="hr-HR"/>
        </w:rPr>
        <w:t xml:space="preserve">SL L, 2024/1263, 30.4.2024., ELI: </w:t>
      </w:r>
      <w:hyperlink r:id="rId1" w:history="1">
        <w:r w:rsidRPr="00D30F22">
          <w:rPr>
            <w:rStyle w:val="Hyperlink"/>
            <w:sz w:val="24"/>
            <w:lang w:val="hr-HR"/>
          </w:rPr>
          <w:t>http://data.europa.eu/eli/reg/2024/1263/oj</w:t>
        </w:r>
      </w:hyperlink>
      <w:r w:rsidRPr="00D30F22">
        <w:rPr>
          <w:sz w:val="24"/>
          <w:lang w:val="hr-HR"/>
        </w:rPr>
        <w:t>.</w:t>
      </w:r>
    </w:p>
  </w:footnote>
  <w:footnote w:id="2">
    <w:p w14:paraId="63D8CCE9" w14:textId="67872936" w:rsidR="009D52D5" w:rsidRPr="00D30F22" w:rsidRDefault="009D52D5" w:rsidP="00D30F22">
      <w:pPr>
        <w:pStyle w:val="FootnoteText"/>
        <w:ind w:left="567" w:hanging="567"/>
        <w:rPr>
          <w:sz w:val="24"/>
          <w:lang w:val="hr-HR"/>
        </w:rPr>
      </w:pPr>
      <w:r w:rsidRPr="00D30F22">
        <w:rPr>
          <w:rStyle w:val="FootnoteReference"/>
          <w:sz w:val="24"/>
          <w:lang w:val="hr-HR"/>
        </w:rPr>
        <w:footnoteRef/>
      </w:r>
      <w:r w:rsidR="00D30F22" w:rsidRPr="00D30F22">
        <w:rPr>
          <w:sz w:val="24"/>
          <w:lang w:val="hr-HR"/>
        </w:rPr>
        <w:t xml:space="preserve"> </w:t>
      </w:r>
      <w:r w:rsidR="00D30F22" w:rsidRPr="00D30F22">
        <w:rPr>
          <w:sz w:val="24"/>
          <w:lang w:val="hr-HR"/>
        </w:rPr>
        <w:tab/>
      </w:r>
      <w:r w:rsidRPr="00D30F22">
        <w:rPr>
          <w:sz w:val="24"/>
          <w:lang w:val="hr-HR"/>
        </w:rPr>
        <w:t>Europska komisija, „Zapošljavanje i socijalna kretanja u Europi 2024.”, rujan 2024.</w:t>
      </w:r>
    </w:p>
  </w:footnote>
  <w:footnote w:id="3">
    <w:p w14:paraId="0F39F4CB" w14:textId="3BC67FEB" w:rsidR="009D52D5" w:rsidRPr="00D30F22" w:rsidRDefault="009D52D5" w:rsidP="00D30F22">
      <w:pPr>
        <w:pStyle w:val="FootnoteText"/>
        <w:ind w:left="567" w:hanging="567"/>
        <w:rPr>
          <w:sz w:val="24"/>
          <w:lang w:val="hr-HR"/>
        </w:rPr>
      </w:pPr>
      <w:r w:rsidRPr="00D30F22">
        <w:rPr>
          <w:rStyle w:val="FootnoteReference"/>
          <w:sz w:val="24"/>
          <w:lang w:val="hr-HR"/>
        </w:rPr>
        <w:footnoteRef/>
      </w:r>
      <w:r w:rsidR="00D30F22" w:rsidRPr="00D30F22">
        <w:rPr>
          <w:sz w:val="24"/>
          <w:lang w:val="hr-HR"/>
        </w:rPr>
        <w:t xml:space="preserve"> </w:t>
      </w:r>
      <w:r w:rsidR="00D30F22" w:rsidRPr="00D30F22">
        <w:rPr>
          <w:sz w:val="24"/>
          <w:lang w:val="hr-HR"/>
        </w:rPr>
        <w:tab/>
      </w:r>
      <w:r w:rsidRPr="00D30F22">
        <w:rPr>
          <w:sz w:val="24"/>
          <w:lang w:val="hr-HR"/>
        </w:rPr>
        <w:t>Radni dokument službi Komisije od 27. svibnja 2020. naslovljen „</w:t>
      </w:r>
      <w:proofErr w:type="spellStart"/>
      <w:r w:rsidRPr="00D30F22">
        <w:rPr>
          <w:sz w:val="24"/>
          <w:lang w:val="hr-HR"/>
        </w:rPr>
        <w:t>Identifying</w:t>
      </w:r>
      <w:proofErr w:type="spellEnd"/>
      <w:r w:rsidRPr="00D30F22">
        <w:rPr>
          <w:sz w:val="24"/>
          <w:lang w:val="hr-HR"/>
        </w:rPr>
        <w:t xml:space="preserve"> </w:t>
      </w:r>
      <w:proofErr w:type="spellStart"/>
      <w:r w:rsidRPr="00D30F22">
        <w:rPr>
          <w:sz w:val="24"/>
          <w:lang w:val="hr-HR"/>
        </w:rPr>
        <w:t>Europe’s</w:t>
      </w:r>
      <w:proofErr w:type="spellEnd"/>
      <w:r w:rsidRPr="00D30F22">
        <w:rPr>
          <w:sz w:val="24"/>
          <w:lang w:val="hr-HR"/>
        </w:rPr>
        <w:t xml:space="preserve"> </w:t>
      </w:r>
      <w:proofErr w:type="spellStart"/>
      <w:r w:rsidRPr="00D30F22">
        <w:rPr>
          <w:sz w:val="24"/>
          <w:lang w:val="hr-HR"/>
        </w:rPr>
        <w:t>recovery</w:t>
      </w:r>
      <w:proofErr w:type="spellEnd"/>
      <w:r w:rsidRPr="00D30F22">
        <w:rPr>
          <w:sz w:val="24"/>
          <w:lang w:val="hr-HR"/>
        </w:rPr>
        <w:t xml:space="preserve"> </w:t>
      </w:r>
      <w:proofErr w:type="spellStart"/>
      <w:r w:rsidRPr="00D30F22">
        <w:rPr>
          <w:sz w:val="24"/>
          <w:lang w:val="hr-HR"/>
        </w:rPr>
        <w:t>needs</w:t>
      </w:r>
      <w:proofErr w:type="spellEnd"/>
      <w:r w:rsidRPr="00D30F22">
        <w:rPr>
          <w:sz w:val="24"/>
          <w:lang w:val="hr-HR"/>
        </w:rPr>
        <w:t>” (Utvrđivanje potreba za oporavak Europe) (SWD(2020)0098) priložen komunikaciji Komisije naslovljenoj „Europa na djelu: oporavak i priprema za sljedeću generaciju” (COM(2020)0456).</w:t>
      </w:r>
    </w:p>
  </w:footnote>
  <w:footnote w:id="4">
    <w:p w14:paraId="3D70C3AC" w14:textId="5B2C1C16" w:rsidR="009D52D5" w:rsidRPr="00D30F22" w:rsidRDefault="009D52D5" w:rsidP="00D30F22">
      <w:pPr>
        <w:pStyle w:val="FootnoteText"/>
        <w:ind w:left="567" w:hanging="567"/>
        <w:rPr>
          <w:sz w:val="24"/>
          <w:lang w:val="hr-HR"/>
        </w:rPr>
      </w:pPr>
      <w:r w:rsidRPr="00D30F22">
        <w:rPr>
          <w:rStyle w:val="FootnoteReference"/>
          <w:sz w:val="24"/>
          <w:lang w:val="hr-HR"/>
        </w:rPr>
        <w:footnoteRef/>
      </w:r>
      <w:r w:rsidR="00D30F22" w:rsidRPr="00D30F22">
        <w:rPr>
          <w:sz w:val="24"/>
          <w:lang w:val="hr-HR"/>
        </w:rPr>
        <w:t xml:space="preserve"> </w:t>
      </w:r>
      <w:r w:rsidR="00D30F22" w:rsidRPr="00D30F22">
        <w:rPr>
          <w:sz w:val="24"/>
          <w:lang w:val="hr-HR"/>
        </w:rPr>
        <w:tab/>
      </w:r>
      <w:r w:rsidRPr="00D30F22">
        <w:rPr>
          <w:sz w:val="24"/>
          <w:lang w:val="hr-HR"/>
        </w:rPr>
        <w:t xml:space="preserve">Europski institut za ravnopravnost spolova, „Indeks rodne ravnopravnosti”, </w:t>
      </w:r>
      <w:hyperlink r:id="rId2" w:history="1">
        <w:r w:rsidRPr="00D30F22">
          <w:rPr>
            <w:rStyle w:val="Hyperlink"/>
            <w:sz w:val="24"/>
            <w:lang w:val="hr-HR"/>
          </w:rPr>
          <w:t>https://eige.europa.eu/gender-equality-index/2025/country</w:t>
        </w:r>
      </w:hyperlink>
      <w:r w:rsidRPr="00D30F22">
        <w:rPr>
          <w:sz w:val="24"/>
          <w:lang w:val="hr-HR"/>
        </w:rPr>
        <w:t>.</w:t>
      </w:r>
    </w:p>
  </w:footnote>
  <w:footnote w:id="5">
    <w:p w14:paraId="6419A619" w14:textId="5CC0F767" w:rsidR="00CC78D4" w:rsidRPr="00F01D0E" w:rsidRDefault="00CC78D4" w:rsidP="00F01D0E">
      <w:pPr>
        <w:pStyle w:val="FootnoteText"/>
        <w:ind w:left="567" w:hanging="567"/>
        <w:rPr>
          <w:sz w:val="24"/>
          <w:szCs w:val="24"/>
          <w:lang w:val="hr-HR"/>
        </w:rPr>
      </w:pPr>
      <w:r>
        <w:rPr>
          <w:rStyle w:val="FootnoteReference"/>
        </w:rPr>
        <w:footnoteRef/>
      </w:r>
      <w:r w:rsidRPr="00F01D0E">
        <w:rPr>
          <w:lang w:val="hr-HR"/>
        </w:rPr>
        <w:t xml:space="preserve"> </w:t>
      </w:r>
      <w:r>
        <w:rPr>
          <w:lang w:val="hr-HR"/>
        </w:rPr>
        <w:tab/>
      </w:r>
      <w:r w:rsidRPr="00F01D0E">
        <w:rPr>
          <w:sz w:val="24"/>
          <w:szCs w:val="24"/>
          <w:lang w:val="hr-HR"/>
        </w:rPr>
        <w:t xml:space="preserve">SL L 223, 22.6.2021., str. </w:t>
      </w:r>
      <w:r w:rsidRPr="00F01D0E">
        <w:rPr>
          <w:sz w:val="24"/>
          <w:szCs w:val="24"/>
          <w:lang w:val="hr-HR"/>
        </w:rPr>
        <w:t xml:space="preserve">14., ELI: </w:t>
      </w:r>
      <w:hyperlink r:id="rId3" w:history="1">
        <w:r w:rsidRPr="00F01D0E">
          <w:rPr>
            <w:rStyle w:val="Hyperlink"/>
            <w:sz w:val="24"/>
            <w:szCs w:val="24"/>
            <w:lang w:val="hr-HR"/>
          </w:rPr>
          <w:t>http://data.europa.eu/eli/reco/2021/1004/oj</w:t>
        </w:r>
      </w:hyperlink>
      <w:r w:rsidRPr="00F01D0E">
        <w:rPr>
          <w:sz w:val="24"/>
          <w:szCs w:val="24"/>
          <w:lang w:val="hr-HR"/>
        </w:rPr>
        <w:t>.</w:t>
      </w:r>
    </w:p>
  </w:footnote>
  <w:footnote w:id="6">
    <w:p w14:paraId="2A0F729B" w14:textId="5AD68CDC" w:rsidR="009D52D5" w:rsidRPr="00D30F22" w:rsidRDefault="009D52D5" w:rsidP="00D30F22">
      <w:pPr>
        <w:pStyle w:val="FootnoteText"/>
        <w:ind w:left="567" w:hanging="567"/>
        <w:rPr>
          <w:sz w:val="24"/>
          <w:lang w:val="hr-HR"/>
        </w:rPr>
      </w:pPr>
      <w:r w:rsidRPr="00D30F22">
        <w:rPr>
          <w:rStyle w:val="FootnoteReference"/>
          <w:sz w:val="24"/>
          <w:lang w:val="hr-HR"/>
        </w:rPr>
        <w:footnoteRef/>
      </w:r>
      <w:r w:rsidR="00D30F22" w:rsidRPr="00D30F22">
        <w:rPr>
          <w:sz w:val="24"/>
          <w:lang w:val="hr-HR"/>
        </w:rPr>
        <w:t xml:space="preserve"> </w:t>
      </w:r>
      <w:r w:rsidR="00D30F22" w:rsidRPr="00D30F22">
        <w:rPr>
          <w:sz w:val="24"/>
          <w:lang w:val="hr-HR"/>
        </w:rPr>
        <w:tab/>
      </w:r>
      <w:r w:rsidRPr="00D30F22">
        <w:rPr>
          <w:sz w:val="24"/>
          <w:lang w:val="hr-HR"/>
        </w:rPr>
        <w:t>Uredba (EU) 2021/1057 Europskog parlamenta i Vijeća od 24. lipnja 2021. o uspostavi Europskog socijalnog fonda plus (ESF+) i stavljanju izvan snage Uredbe (EU) br. 1296/2013 (SL L 231, 30.6.2021., str. </w:t>
      </w:r>
      <w:r w:rsidRPr="00D30F22">
        <w:rPr>
          <w:sz w:val="24"/>
          <w:lang w:val="hr-HR"/>
        </w:rPr>
        <w:t>21.; ELI: </w:t>
      </w:r>
      <w:hyperlink r:id="rId4" w:tooltip="ELI URI za pristup dokumentu." w:history="1">
        <w:r w:rsidRPr="00D30F22">
          <w:rPr>
            <w:rStyle w:val="Hyperlink"/>
            <w:sz w:val="24"/>
            <w:lang w:val="hr-HR"/>
          </w:rPr>
          <w:t>http://data.europa.eu/eli/reg/2021/1057/oj</w:t>
        </w:r>
      </w:hyperlink>
      <w:r w:rsidRPr="00D30F22">
        <w:rPr>
          <w:sz w:val="24"/>
          <w:lang w:val="hr-HR"/>
        </w:rPr>
        <w:t>).</w:t>
      </w:r>
    </w:p>
  </w:footnote>
  <w:footnote w:id="7">
    <w:p w14:paraId="7B7FA15C" w14:textId="5829DABD" w:rsidR="00CC78D4" w:rsidRPr="00F01D0E" w:rsidRDefault="00CC78D4" w:rsidP="00F01D0E">
      <w:pPr>
        <w:pStyle w:val="FootnoteText"/>
        <w:ind w:left="567" w:hanging="567"/>
        <w:rPr>
          <w:sz w:val="24"/>
          <w:szCs w:val="24"/>
          <w:lang w:val="hr-HR"/>
        </w:rPr>
      </w:pPr>
      <w:r>
        <w:rPr>
          <w:rStyle w:val="FootnoteReference"/>
        </w:rPr>
        <w:footnoteRef/>
      </w:r>
      <w:r w:rsidRPr="00F01D0E">
        <w:rPr>
          <w:lang w:val="hr-HR"/>
        </w:rPr>
        <w:t xml:space="preserve"> </w:t>
      </w:r>
      <w:r>
        <w:rPr>
          <w:lang w:val="hr-HR"/>
        </w:rPr>
        <w:tab/>
      </w:r>
      <w:r w:rsidRPr="00F01D0E">
        <w:rPr>
          <w:sz w:val="24"/>
          <w:szCs w:val="24"/>
          <w:lang w:val="hr-HR"/>
        </w:rPr>
        <w:t>Komisijin Prijedlog direktive Europskog parlamenta i Vijeća od 20. ožujka 2024. o poboljšanju i izvršavanju radnih uvjeta pripravnika i suzbijanju prikazivanja redovnih radnih odnosa kao pripravništva („Direktiva o pripravništvu”) (COM(2024)0132).</w:t>
      </w:r>
    </w:p>
  </w:footnote>
  <w:footnote w:id="8">
    <w:p w14:paraId="2DAC64F9" w14:textId="6453F6C2" w:rsidR="009D52D5" w:rsidRPr="00D30F22" w:rsidRDefault="009D52D5" w:rsidP="00D30F22">
      <w:pPr>
        <w:pStyle w:val="FootnoteText"/>
        <w:ind w:left="567" w:hanging="567"/>
        <w:rPr>
          <w:sz w:val="24"/>
          <w:lang w:val="hr-HR"/>
        </w:rPr>
      </w:pPr>
      <w:r w:rsidRPr="00D30F22">
        <w:rPr>
          <w:rStyle w:val="FootnoteReference"/>
          <w:sz w:val="24"/>
          <w:lang w:val="hr-HR"/>
        </w:rPr>
        <w:footnoteRef/>
      </w:r>
      <w:r w:rsidR="00D30F22" w:rsidRPr="00D30F22">
        <w:rPr>
          <w:sz w:val="24"/>
          <w:lang w:val="hr-HR"/>
        </w:rPr>
        <w:t xml:space="preserve"> </w:t>
      </w:r>
      <w:r w:rsidR="00D30F22" w:rsidRPr="00D30F22">
        <w:rPr>
          <w:sz w:val="24"/>
          <w:lang w:val="hr-HR"/>
        </w:rPr>
        <w:tab/>
      </w:r>
      <w:r w:rsidRPr="00D30F22">
        <w:rPr>
          <w:sz w:val="24"/>
          <w:lang w:val="hr-HR"/>
        </w:rPr>
        <w:t xml:space="preserve">Direktiva (EU) 2022/2041 Europskog parlamenta i Vijeća od 19. listopada 2022. o primjerenim minimalnim plaćama u Europskoj uniji (SL L 275, 25.10.2022., str. </w:t>
      </w:r>
      <w:r w:rsidRPr="00D30F22">
        <w:rPr>
          <w:sz w:val="24"/>
          <w:lang w:val="hr-HR"/>
        </w:rPr>
        <w:t>33., ELI: </w:t>
      </w:r>
      <w:hyperlink r:id="rId5" w:tooltip="ELI URI za pristup dokumentu." w:history="1">
        <w:r w:rsidRPr="00D30F22">
          <w:rPr>
            <w:rStyle w:val="Hyperlink"/>
            <w:sz w:val="24"/>
            <w:lang w:val="hr-HR"/>
          </w:rPr>
          <w:t>http://data.europa.eu/eli/dir/2022/2041/oj</w:t>
        </w:r>
      </w:hyperlink>
      <w:r w:rsidRPr="00D30F22">
        <w:rPr>
          <w:sz w:val="24"/>
          <w:lang w:val="hr-HR"/>
        </w:rPr>
        <w:t xml:space="preserve">). </w:t>
      </w:r>
    </w:p>
  </w:footnote>
  <w:footnote w:id="9">
    <w:p w14:paraId="49AA74EE" w14:textId="0D7A3F1A" w:rsidR="009D52D5" w:rsidRPr="00D30F22" w:rsidRDefault="009D52D5" w:rsidP="00D30F22">
      <w:pPr>
        <w:pStyle w:val="FootnoteText"/>
        <w:ind w:left="567" w:hanging="567"/>
        <w:rPr>
          <w:sz w:val="24"/>
          <w:lang w:val="hr-HR"/>
        </w:rPr>
      </w:pPr>
      <w:r w:rsidRPr="00D30F22">
        <w:rPr>
          <w:rStyle w:val="FootnoteReference"/>
          <w:sz w:val="24"/>
          <w:lang w:val="hr-HR"/>
        </w:rPr>
        <w:footnoteRef/>
      </w:r>
      <w:r w:rsidR="00D30F22" w:rsidRPr="00D30F22">
        <w:rPr>
          <w:sz w:val="24"/>
          <w:lang w:val="hr-HR"/>
        </w:rPr>
        <w:t xml:space="preserve"> </w:t>
      </w:r>
      <w:r w:rsidR="00D30F22" w:rsidRPr="00D30F22">
        <w:rPr>
          <w:sz w:val="24"/>
          <w:lang w:val="hr-HR"/>
        </w:rPr>
        <w:tab/>
      </w:r>
      <w:r w:rsidRPr="00D30F22">
        <w:rPr>
          <w:sz w:val="24"/>
          <w:lang w:val="hr-HR"/>
        </w:rPr>
        <w:t>Preporuka Vijeća od 30. siječnja 2023. o primjerenom minimalnom dohotku kojim se osigurava aktivno uključivanje (SL C 41, 3.2.2023., str. 1.).</w:t>
      </w:r>
    </w:p>
  </w:footnote>
  <w:footnote w:id="10">
    <w:p w14:paraId="2B54AB73" w14:textId="3DCA1875" w:rsidR="009D52D5" w:rsidRPr="00D30F22" w:rsidRDefault="009D52D5" w:rsidP="00D30F22">
      <w:pPr>
        <w:pStyle w:val="FootnoteText"/>
        <w:ind w:left="567" w:hanging="567"/>
        <w:rPr>
          <w:sz w:val="24"/>
          <w:lang w:val="hr-HR"/>
        </w:rPr>
      </w:pPr>
      <w:r w:rsidRPr="00D30F22">
        <w:rPr>
          <w:rStyle w:val="FootnoteReference"/>
          <w:sz w:val="24"/>
          <w:lang w:val="hr-HR"/>
        </w:rPr>
        <w:footnoteRef/>
      </w:r>
      <w:r w:rsidR="00D30F22" w:rsidRPr="00D30F22">
        <w:rPr>
          <w:sz w:val="24"/>
          <w:lang w:val="hr-HR"/>
        </w:rPr>
        <w:t xml:space="preserve"> </w:t>
      </w:r>
      <w:r w:rsidR="00D30F22" w:rsidRPr="00D30F22">
        <w:rPr>
          <w:sz w:val="24"/>
          <w:lang w:val="hr-HR"/>
        </w:rPr>
        <w:tab/>
      </w:r>
      <w:r w:rsidRPr="00D30F22">
        <w:rPr>
          <w:sz w:val="24"/>
          <w:lang w:val="hr-HR"/>
        </w:rPr>
        <w:t>Preporuka Vijeća od 8. studenoga 2019. o pristupu radnika i samozaposlenih osoba socijalnoj zaštiti (SL C 387, 15.11.2019., str. 1.).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293171424">
    <w:abstractNumId w:val="9"/>
  </w:num>
  <w:num w:numId="2" w16cid:durableId="208810314">
    <w:abstractNumId w:val="9"/>
  </w:num>
  <w:num w:numId="3" w16cid:durableId="1511795907">
    <w:abstractNumId w:val="7"/>
  </w:num>
  <w:num w:numId="4" w16cid:durableId="952174589">
    <w:abstractNumId w:val="7"/>
  </w:num>
  <w:num w:numId="5" w16cid:durableId="949243243">
    <w:abstractNumId w:val="6"/>
  </w:num>
  <w:num w:numId="6" w16cid:durableId="1735087116">
    <w:abstractNumId w:val="6"/>
  </w:num>
  <w:num w:numId="7" w16cid:durableId="633366498">
    <w:abstractNumId w:val="5"/>
  </w:num>
  <w:num w:numId="8" w16cid:durableId="1066955051">
    <w:abstractNumId w:val="5"/>
  </w:num>
  <w:num w:numId="9" w16cid:durableId="1683236879">
    <w:abstractNumId w:val="4"/>
  </w:num>
  <w:num w:numId="10" w16cid:durableId="1819960079">
    <w:abstractNumId w:val="4"/>
  </w:num>
  <w:num w:numId="11" w16cid:durableId="70659101">
    <w:abstractNumId w:val="8"/>
  </w:num>
  <w:num w:numId="12" w16cid:durableId="1076052353">
    <w:abstractNumId w:val="8"/>
  </w:num>
  <w:num w:numId="13" w16cid:durableId="1780758399">
    <w:abstractNumId w:val="3"/>
  </w:num>
  <w:num w:numId="14" w16cid:durableId="640813301">
    <w:abstractNumId w:val="3"/>
  </w:num>
  <w:num w:numId="15" w16cid:durableId="281349321">
    <w:abstractNumId w:val="2"/>
  </w:num>
  <w:num w:numId="16" w16cid:durableId="622154013">
    <w:abstractNumId w:val="2"/>
  </w:num>
  <w:num w:numId="17" w16cid:durableId="1862472707">
    <w:abstractNumId w:val="1"/>
  </w:num>
  <w:num w:numId="18" w16cid:durableId="1738167233">
    <w:abstractNumId w:val="1"/>
  </w:num>
  <w:num w:numId="19" w16cid:durableId="361588916">
    <w:abstractNumId w:val="0"/>
  </w:num>
  <w:num w:numId="20" w16cid:durableId="1291545732">
    <w:abstractNumId w:val="0"/>
  </w:num>
  <w:num w:numId="21" w16cid:durableId="1701660586">
    <w:abstractNumId w:val="9"/>
  </w:num>
  <w:num w:numId="22" w16cid:durableId="1597059757">
    <w:abstractNumId w:val="7"/>
  </w:num>
  <w:num w:numId="23" w16cid:durableId="8803042">
    <w:abstractNumId w:val="6"/>
  </w:num>
  <w:num w:numId="24" w16cid:durableId="310017726">
    <w:abstractNumId w:val="5"/>
  </w:num>
  <w:num w:numId="25" w16cid:durableId="290136485">
    <w:abstractNumId w:val="4"/>
  </w:num>
  <w:num w:numId="26" w16cid:durableId="1192379466">
    <w:abstractNumId w:val="8"/>
  </w:num>
  <w:num w:numId="27" w16cid:durableId="2039547381">
    <w:abstractNumId w:val="3"/>
  </w:num>
  <w:num w:numId="28" w16cid:durableId="1877811991">
    <w:abstractNumId w:val="2"/>
  </w:num>
  <w:num w:numId="29" w16cid:durableId="922641194">
    <w:abstractNumId w:val="1"/>
  </w:num>
  <w:num w:numId="30" w16cid:durableId="1596015194">
    <w:abstractNumId w:val="0"/>
  </w:num>
  <w:num w:numId="31" w16cid:durableId="124977911">
    <w:abstractNumId w:val="9"/>
  </w:num>
  <w:num w:numId="32" w16cid:durableId="2135098013">
    <w:abstractNumId w:val="7"/>
  </w:num>
  <w:num w:numId="33" w16cid:durableId="445386727">
    <w:abstractNumId w:val="6"/>
  </w:num>
  <w:num w:numId="34" w16cid:durableId="136999184">
    <w:abstractNumId w:val="5"/>
  </w:num>
  <w:num w:numId="35" w16cid:durableId="380448656">
    <w:abstractNumId w:val="4"/>
  </w:num>
  <w:num w:numId="36" w16cid:durableId="135728914">
    <w:abstractNumId w:val="8"/>
  </w:num>
  <w:num w:numId="37" w16cid:durableId="1948341508">
    <w:abstractNumId w:val="3"/>
  </w:num>
  <w:num w:numId="38" w16cid:durableId="1311398299">
    <w:abstractNumId w:val="2"/>
  </w:num>
  <w:num w:numId="39" w16cid:durableId="1195775100">
    <w:abstractNumId w:val="1"/>
  </w:num>
  <w:num w:numId="40" w16cid:durableId="1993371051">
    <w:abstractNumId w:val="0"/>
  </w:num>
  <w:num w:numId="41" w16cid:durableId="454060876">
    <w:abstractNumId w:val="10"/>
  </w:num>
  <w:num w:numId="42" w16cid:durableId="1289895307">
    <w:abstractNumId w:val="10"/>
  </w:num>
  <w:num w:numId="43" w16cid:durableId="1957060061">
    <w:abstractNumId w:val="10"/>
  </w:num>
  <w:num w:numId="44" w16cid:durableId="524757811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033/2026"/>
    <w:docVar w:name="dvlangue" w:val="HR"/>
    <w:docVar w:name="dvnumam" w:val="0"/>
    <w:docVar w:name="dvpe" w:val="779.558"/>
    <w:docVar w:name="dvrapporteur" w:val="Izvjestiteljica: "/>
    <w:docVar w:name="dvtitre" w:val="Rezolucija Europskog parlamenta od .... 2026. o europskom semestru za koordinaciju ekonomskih politika: prioriteti u području zapošljavanja i socijalni prioriteti – godišnje izvješće za 2026.(2025/2183(INI))"/>
  </w:docVars>
  <w:rsids>
    <w:rsidRoot w:val="00D422D3"/>
    <w:rsid w:val="00002272"/>
    <w:rsid w:val="000048BF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93AB4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A72FF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74AA0"/>
    <w:rsid w:val="00675E7F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01D98"/>
    <w:rsid w:val="00817416"/>
    <w:rsid w:val="00830D6A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98618E"/>
    <w:rsid w:val="009D52D5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C78D4"/>
    <w:rsid w:val="00CF071A"/>
    <w:rsid w:val="00CF2CFE"/>
    <w:rsid w:val="00D058B8"/>
    <w:rsid w:val="00D30F22"/>
    <w:rsid w:val="00D422D3"/>
    <w:rsid w:val="00D56C11"/>
    <w:rsid w:val="00D75804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1D0E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03FE770"/>
  <w15:chartTrackingRefBased/>
  <w15:docId w15:val="{54A1985E-7F6F-4907-AD7B-709B515608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hr-HR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rsid w:val="009D52D5"/>
    <w:pPr>
      <w:widowControl/>
      <w:spacing w:after="240"/>
      <w:ind w:left="566" w:hanging="566"/>
    </w:pPr>
    <w:rPr>
      <w:szCs w:val="24"/>
      <w:lang w:eastAsia="en-US"/>
    </w:rPr>
  </w:style>
  <w:style w:type="paragraph" w:customStyle="1" w:styleId="Normal12">
    <w:name w:val="Normal12"/>
    <w:basedOn w:val="Normal"/>
    <w:rsid w:val="009D52D5"/>
    <w:pPr>
      <w:widowControl/>
      <w:spacing w:after="240"/>
    </w:pPr>
    <w:rPr>
      <w:szCs w:val="24"/>
      <w:lang w:eastAsia="en-US"/>
    </w:rPr>
  </w:style>
  <w:style w:type="paragraph" w:customStyle="1" w:styleId="NormalHanging">
    <w:name w:val="NormalHanging"/>
    <w:basedOn w:val="Normal"/>
    <w:rsid w:val="009D52D5"/>
    <w:pPr>
      <w:widowControl/>
      <w:spacing w:after="240"/>
      <w:ind w:left="566" w:hanging="566"/>
    </w:pPr>
    <w:rPr>
      <w:szCs w:val="24"/>
      <w:lang w:eastAsia="en-US"/>
    </w:rPr>
  </w:style>
  <w:style w:type="character" w:styleId="Hyperlink">
    <w:name w:val="Hyperlink"/>
    <w:basedOn w:val="DefaultParagraphFont"/>
    <w:unhideWhenUsed/>
    <w:rsid w:val="009D52D5"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rsid w:val="004A72FF"/>
    <w:rPr>
      <w:color w:val="954F72" w:themeColor="followedHyperlink"/>
      <w:u w:val="single"/>
    </w:rPr>
  </w:style>
  <w:style w:type="paragraph" w:styleId="Revision">
    <w:name w:val="Revision"/>
    <w:hidden/>
    <w:uiPriority w:val="99"/>
    <w:semiHidden/>
    <w:rsid w:val="00CC78D4"/>
    <w:rPr>
      <w:sz w:val="24"/>
      <w:lang w:val="hr-HR"/>
    </w:rPr>
  </w:style>
  <w:style w:type="character" w:styleId="UnresolvedMention">
    <w:name w:val="Unresolved Mention"/>
    <w:basedOn w:val="DefaultParagraphFont"/>
    <w:uiPriority w:val="99"/>
    <w:semiHidden/>
    <w:unhideWhenUsed/>
    <w:rsid w:val="00CC78D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otnotes.xml.rels><?xml version="1.0" encoding="UTF-8" standalone="yes"?>
<Relationships xmlns="http://schemas.openxmlformats.org/package/2006/relationships"><Relationship Id="rId3" Type="http://schemas.openxmlformats.org/officeDocument/2006/relationships/hyperlink" Target="http://data.europa.eu/eli/reco/2021/1004/oj" TargetMode="External"/><Relationship Id="rId2" Type="http://schemas.openxmlformats.org/officeDocument/2006/relationships/hyperlink" Target="https://eige.europa.eu/gender-equality-index/2025/country" TargetMode="External"/><Relationship Id="rId1" Type="http://schemas.openxmlformats.org/officeDocument/2006/relationships/hyperlink" Target="http://data.europa.eu/eli/reg/2024/1263/oj" TargetMode="External"/><Relationship Id="rId5" Type="http://schemas.openxmlformats.org/officeDocument/2006/relationships/hyperlink" Target="http://data.europa.eu/eli/dir/2022/2041/oj" TargetMode="External"/><Relationship Id="rId4" Type="http://schemas.openxmlformats.org/officeDocument/2006/relationships/hyperlink" Target="http://data.europa.eu/eli/reg/2021/1057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12</Pages>
  <Words>5609</Words>
  <Characters>34512</Characters>
  <Application>Microsoft Office Word</Application>
  <DocSecurity>0</DocSecurity>
  <Lines>287</Lines>
  <Paragraphs>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40041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ZOVKO Jadranka</dc:creator>
  <cp:keywords/>
  <cp:lastModifiedBy>DADIĆ Ivana</cp:lastModifiedBy>
  <cp:revision>2</cp:revision>
  <cp:lastPrinted>2004-11-19T15:42:00Z</cp:lastPrinted>
  <dcterms:created xsi:type="dcterms:W3CDTF">2026-04-20T08:51:00Z</dcterms:created>
  <dcterms:modified xsi:type="dcterms:W3CDTF">2026-04-20T08:51:00Z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HR</vt:lpwstr>
  </property>
  <property fmtid="{D5CDD505-2E9C-101B-9397-08002B2CF9AE}" pid="3" name="&lt;FdR&gt;">
    <vt:lpwstr>A10-0033/2026</vt:lpwstr>
  </property>
  <property fmtid="{D5CDD505-2E9C-101B-9397-08002B2CF9AE}" pid="4" name="&lt;Type&gt;">
    <vt:lpwstr>RR</vt:lpwstr>
  </property>
</Properties>
</file>