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5CCA" w14:paraId="5A6735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D4E7B9" w14:textId="77777777" w:rsidR="00751A4A" w:rsidRPr="007D5CCA" w:rsidRDefault="00D24D2C" w:rsidP="0010095E">
            <w:pPr>
              <w:pStyle w:val="EPName"/>
            </w:pPr>
            <w:r w:rsidRPr="007D5CCA">
              <w:t>Parlament Europejski</w:t>
            </w:r>
          </w:p>
          <w:p w14:paraId="39CA7C06" w14:textId="77777777" w:rsidR="00751A4A" w:rsidRPr="007D5C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5CCA">
              <w:t>2024</w:t>
            </w:r>
            <w:r w:rsidR="00817416" w:rsidRPr="007D5CCA">
              <w:t>-202</w:t>
            </w:r>
            <w:r w:rsidRPr="007D5CCA">
              <w:t>9</w:t>
            </w:r>
          </w:p>
        </w:tc>
        <w:tc>
          <w:tcPr>
            <w:tcW w:w="2268" w:type="dxa"/>
            <w:shd w:val="clear" w:color="auto" w:fill="auto"/>
          </w:tcPr>
          <w:p w14:paraId="2804C786" w14:textId="77777777" w:rsidR="00751A4A" w:rsidRPr="007D5CCA" w:rsidRDefault="00187494" w:rsidP="0010095E">
            <w:pPr>
              <w:pStyle w:val="EPLogo"/>
            </w:pPr>
            <w:r w:rsidRPr="007D5CCA">
              <w:rPr>
                <w:noProof/>
                <w:lang w:eastAsia="ja-JP"/>
              </w:rPr>
              <w:drawing>
                <wp:inline distT="0" distB="0" distL="0" distR="0" wp14:anchorId="249119D3" wp14:editId="6D9878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29C5C" w14:textId="77777777" w:rsidR="00D058B8" w:rsidRPr="007D5CCA" w:rsidRDefault="00D058B8" w:rsidP="004C5D52">
      <w:pPr>
        <w:pStyle w:val="LineTop"/>
      </w:pPr>
    </w:p>
    <w:p w14:paraId="7BE55387" w14:textId="77777777" w:rsidR="00680577" w:rsidRPr="007D5CCA" w:rsidRDefault="00D24D2C" w:rsidP="00680577">
      <w:pPr>
        <w:pStyle w:val="EPBodyTA1"/>
      </w:pPr>
      <w:r w:rsidRPr="007D5CCA">
        <w:t>TEKSTY PRZYJĘTE</w:t>
      </w:r>
    </w:p>
    <w:p w14:paraId="27C267A4" w14:textId="77777777" w:rsidR="00D058B8" w:rsidRPr="007D5CCA" w:rsidRDefault="00D058B8" w:rsidP="00D058B8">
      <w:pPr>
        <w:pStyle w:val="LineBottom"/>
      </w:pPr>
    </w:p>
    <w:p w14:paraId="680ED352" w14:textId="56A96A61" w:rsidR="00D24D2C" w:rsidRPr="007D5CCA" w:rsidRDefault="00D24D2C" w:rsidP="00D24D2C">
      <w:pPr>
        <w:pStyle w:val="ATHeading1"/>
      </w:pPr>
      <w:bookmarkStart w:id="0" w:name="TANumber"/>
      <w:r w:rsidRPr="007D5CCA">
        <w:t>P10_TA(2026)00</w:t>
      </w:r>
      <w:r w:rsidR="009C509A">
        <w:t>76</w:t>
      </w:r>
      <w:bookmarkEnd w:id="0"/>
    </w:p>
    <w:p w14:paraId="1BCDDB57" w14:textId="77777777" w:rsidR="00D24D2C" w:rsidRPr="007D5CCA" w:rsidRDefault="00D24D2C" w:rsidP="00D24D2C">
      <w:pPr>
        <w:pStyle w:val="ATHeading2"/>
      </w:pPr>
      <w:bookmarkStart w:id="1" w:name="title"/>
      <w:r w:rsidRPr="007D5CCA">
        <w:t>Europejski semestr na rzecz koordynacji polityki gospodarczej: priorytety w zakresie zatrudnienia i priorytety społeczne na 2026 r.</w:t>
      </w:r>
      <w:bookmarkEnd w:id="1"/>
    </w:p>
    <w:p w14:paraId="43645752" w14:textId="77777777" w:rsidR="00D24D2C" w:rsidRPr="007D5CCA" w:rsidRDefault="00D24D2C" w:rsidP="00D24D2C">
      <w:pPr>
        <w:rPr>
          <w:i/>
          <w:vanish/>
        </w:rPr>
      </w:pPr>
      <w:r w:rsidRPr="007D5CCA">
        <w:rPr>
          <w:i/>
        </w:rPr>
        <w:fldChar w:fldCharType="begin"/>
      </w:r>
      <w:r w:rsidRPr="007D5CCA">
        <w:rPr>
          <w:i/>
        </w:rPr>
        <w:instrText xml:space="preserve"> TC"(</w:instrText>
      </w:r>
      <w:bookmarkStart w:id="2" w:name="DocNumber"/>
      <w:r w:rsidRPr="007D5CCA">
        <w:rPr>
          <w:i/>
        </w:rPr>
        <w:instrText>A10-0033/2026</w:instrText>
      </w:r>
      <w:bookmarkEnd w:id="2"/>
      <w:r w:rsidRPr="007D5CCA">
        <w:rPr>
          <w:i/>
        </w:rPr>
        <w:instrText xml:space="preserve"> - Sprawozdawca: Nela Riehl)"\l3 \n&gt; \* MERGEFORMAT </w:instrText>
      </w:r>
      <w:r w:rsidRPr="007D5CCA">
        <w:rPr>
          <w:i/>
        </w:rPr>
        <w:fldChar w:fldCharType="end"/>
      </w:r>
    </w:p>
    <w:p w14:paraId="7B76BFE6" w14:textId="77777777" w:rsidR="00D24D2C" w:rsidRPr="007D5CCA" w:rsidRDefault="00D24D2C" w:rsidP="00D24D2C">
      <w:pPr>
        <w:rPr>
          <w:vanish/>
        </w:rPr>
      </w:pPr>
      <w:bookmarkStart w:id="3" w:name="Commission"/>
      <w:r w:rsidRPr="007D5CCA">
        <w:rPr>
          <w:vanish/>
        </w:rPr>
        <w:t>Komisja Zatrudnienia i Spraw Socjalnych</w:t>
      </w:r>
      <w:bookmarkEnd w:id="3"/>
    </w:p>
    <w:p w14:paraId="15ACD5F7" w14:textId="77777777" w:rsidR="00D24D2C" w:rsidRPr="007D5CCA" w:rsidRDefault="00D24D2C" w:rsidP="00D24D2C">
      <w:pPr>
        <w:rPr>
          <w:vanish/>
        </w:rPr>
      </w:pPr>
      <w:bookmarkStart w:id="4" w:name="PE"/>
      <w:r w:rsidRPr="007D5CCA">
        <w:rPr>
          <w:vanish/>
        </w:rPr>
        <w:t>PE779.558</w:t>
      </w:r>
      <w:bookmarkEnd w:id="4"/>
    </w:p>
    <w:p w14:paraId="22991E81" w14:textId="41C48FD6" w:rsidR="00D24D2C" w:rsidRPr="007D5CCA" w:rsidRDefault="00D24D2C" w:rsidP="00D24D2C">
      <w:pPr>
        <w:pStyle w:val="ATHeading3"/>
      </w:pPr>
      <w:bookmarkStart w:id="5" w:name="Sujet"/>
      <w:r w:rsidRPr="007D5CCA">
        <w:t xml:space="preserve">Rezolucja Parlamentu Europejskiego z dnia </w:t>
      </w:r>
      <w:r w:rsidR="00984A10">
        <w:t>11 marca</w:t>
      </w:r>
      <w:r w:rsidRPr="007D5CCA">
        <w:t xml:space="preserve"> 2026 r. w sprawie europejskiego semestru na rzecz koordynacji polityki gospodarczej: priorytety w zakresie zatrudnienia i priorytety społeczne – sprawozdanie roczne 2026</w:t>
      </w:r>
      <w:bookmarkEnd w:id="5"/>
      <w:r w:rsidRPr="007D5CCA">
        <w:t xml:space="preserve"> </w:t>
      </w:r>
      <w:bookmarkStart w:id="6" w:name="References"/>
      <w:r w:rsidRPr="007D5CCA">
        <w:t>(2025/2183(INI))</w:t>
      </w:r>
      <w:bookmarkEnd w:id="6"/>
    </w:p>
    <w:p w14:paraId="2474EA93" w14:textId="77777777" w:rsidR="00ED6A16" w:rsidRPr="007D5CCA" w:rsidRDefault="00ED6A16" w:rsidP="00ED6A16">
      <w:pPr>
        <w:pStyle w:val="Normal12"/>
      </w:pPr>
      <w:r w:rsidRPr="007D5CCA">
        <w:rPr>
          <w:i/>
          <w:iCs/>
        </w:rPr>
        <w:t>Parlament Europejski</w:t>
      </w:r>
      <w:r w:rsidRPr="007D5CCA">
        <w:t>,</w:t>
      </w:r>
    </w:p>
    <w:p w14:paraId="3457CA4B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art. 3 Traktatu o Unii Europejskiej,</w:t>
      </w:r>
    </w:p>
    <w:p w14:paraId="26F85E43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art. 9, 121, 148 i 149 Traktatu o funkcjonowaniu Unii Europejskiej (TFUE),</w:t>
      </w:r>
    </w:p>
    <w:p w14:paraId="214500F7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Europejski filar praw socjalnych proklamowany i podpisany przez Radę, Parlament i Komisję 17 listopada 2017 r. oraz jego plan działania przyjęty w 2021 r., w szczególności proponowane główne cele na 2030 r. w zakresie zatrudnienia, umiejętności i ograniczania ubóstwa,</w:t>
      </w:r>
    </w:p>
    <w:p w14:paraId="6F42C84A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rozporządzenie Parlamentu Europejskiego i Rady (UE) 2024/1263 z 29 kwietnia 2024 r. w sprawie skutecznej koordynacji polityk gospodarczych i w sprawie wielostronnego nadzoru budżetowego oraz uchylające rozporządzenie Rady (WE) nr 1466/97</w:t>
      </w:r>
      <w:r w:rsidRPr="007D5CCA">
        <w:rPr>
          <w:vertAlign w:val="superscript"/>
        </w:rPr>
        <w:footnoteReference w:id="1"/>
      </w:r>
      <w:r w:rsidRPr="007D5CCA">
        <w:t>, w szczególności jego art. 3, 4, 13 i 27,</w:t>
      </w:r>
    </w:p>
    <w:p w14:paraId="700AA070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sprawozdanie Komisji Europejskiej pt. „</w:t>
      </w:r>
      <w:proofErr w:type="spellStart"/>
      <w:r w:rsidRPr="007D5CCA">
        <w:t>Employment</w:t>
      </w:r>
      <w:proofErr w:type="spellEnd"/>
      <w:r w:rsidRPr="007D5CCA">
        <w:t xml:space="preserve"> and </w:t>
      </w:r>
      <w:proofErr w:type="spellStart"/>
      <w:r w:rsidRPr="007D5CCA">
        <w:t>Social</w:t>
      </w:r>
      <w:proofErr w:type="spellEnd"/>
      <w:r w:rsidRPr="007D5CCA">
        <w:t xml:space="preserve"> </w:t>
      </w:r>
      <w:proofErr w:type="spellStart"/>
      <w:r w:rsidRPr="007D5CCA">
        <w:t>Developments</w:t>
      </w:r>
      <w:proofErr w:type="spellEnd"/>
      <w:r w:rsidRPr="007D5CCA">
        <w:t xml:space="preserve"> in Europe” [Zatrudnienie i kwestie społeczne w Europie], opublikowane we wrześniu 2025 r.,</w:t>
      </w:r>
    </w:p>
    <w:p w14:paraId="62B9D5B5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sprawozdanie Komisji Europejskiej pt. „</w:t>
      </w:r>
      <w:proofErr w:type="spellStart"/>
      <w:r w:rsidRPr="007D5CCA">
        <w:t>Labour</w:t>
      </w:r>
      <w:proofErr w:type="spellEnd"/>
      <w:r w:rsidRPr="007D5CCA">
        <w:t xml:space="preserve"> Market and </w:t>
      </w:r>
      <w:proofErr w:type="spellStart"/>
      <w:r w:rsidRPr="007D5CCA">
        <w:t>Wage</w:t>
      </w:r>
      <w:proofErr w:type="spellEnd"/>
      <w:r w:rsidRPr="007D5CCA">
        <w:t xml:space="preserve"> Development in Europe” [Rynek pracy i kształtowanie się płac w Europie], opublikowane w październiku 2025 r.,</w:t>
      </w:r>
    </w:p>
    <w:p w14:paraId="0E4865B0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wniosek Komisji z 25 listopada 2025 r. w sprawie wspólnego sprawozdania Komisji i Rady o zatrudnieniu (COM(2025)0958),</w:t>
      </w:r>
    </w:p>
    <w:p w14:paraId="0A71B7C1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zalecenie Komisji z 25 listopada 2025 r. dotyczące zalecenia Rady w sprawie polityki gospodarczej w strefie euro (COM(2025)0957),</w:t>
      </w:r>
    </w:p>
    <w:p w14:paraId="47A31E09" w14:textId="77777777" w:rsidR="00ED6A16" w:rsidRPr="007D5CCA" w:rsidRDefault="00ED6A16" w:rsidP="00ED6A16">
      <w:pPr>
        <w:pStyle w:val="NormalHanging"/>
      </w:pPr>
      <w:r w:rsidRPr="007D5CCA">
        <w:lastRenderedPageBreak/>
        <w:t>–</w:t>
      </w:r>
      <w:r w:rsidRPr="007D5CCA">
        <w:tab/>
        <w:t>uwzględniając komunikat Komisji z 25 listopada 2025 r. zatytułowany „Sprawozdanie przedkładane w ramach mechanizmu ostrzegania 2025” (COM(2025)0956),</w:t>
      </w:r>
    </w:p>
    <w:p w14:paraId="57C41E94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zalecenie Komisji z 25 listopada 2025 r. dotyczące zalecenia Rady w sprawie kapitału ludzkiego w Unii Europejskiej (COM(2025)0959),</w:t>
      </w:r>
    </w:p>
    <w:p w14:paraId="19D5EF68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wkład europejskich partnerów społecznych w europejski semestr 2026, a w szczególności w pakiet jesienny,</w:t>
      </w:r>
    </w:p>
    <w:p w14:paraId="3F4E21E1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 xml:space="preserve">uwzględniając sprawozdanie Maria </w:t>
      </w:r>
      <w:proofErr w:type="spellStart"/>
      <w:r w:rsidRPr="007D5CCA">
        <w:t>Draghiego</w:t>
      </w:r>
      <w:proofErr w:type="spellEnd"/>
      <w:r w:rsidRPr="007D5CCA">
        <w:t xml:space="preserve"> pt. „Przyszłość europejskiej konkurencyjności” opublikowane we wrześniu 2024 r.,</w:t>
      </w:r>
    </w:p>
    <w:p w14:paraId="337677F3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 xml:space="preserve">uwzględniając sprawozdanie Enrica </w:t>
      </w:r>
      <w:proofErr w:type="spellStart"/>
      <w:r w:rsidRPr="007D5CCA">
        <w:t>Letty</w:t>
      </w:r>
      <w:proofErr w:type="spellEnd"/>
      <w:r w:rsidRPr="007D5CCA">
        <w:t xml:space="preserve"> w sprawie przyszłości jednolitego rynku pt. „Much </w:t>
      </w:r>
      <w:proofErr w:type="spellStart"/>
      <w:r w:rsidRPr="007D5CCA">
        <w:t>more</w:t>
      </w:r>
      <w:proofErr w:type="spellEnd"/>
      <w:r w:rsidRPr="007D5CCA">
        <w:t xml:space="preserve"> </w:t>
      </w:r>
      <w:proofErr w:type="spellStart"/>
      <w:r w:rsidRPr="007D5CCA">
        <w:t>than</w:t>
      </w:r>
      <w:proofErr w:type="spellEnd"/>
      <w:r w:rsidRPr="007D5CCA">
        <w:t xml:space="preserve"> a market” [Znacznie więcej niż rynek] opublikowane w kwietniu 2024 r.,</w:t>
      </w:r>
    </w:p>
    <w:p w14:paraId="62E47C7E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sprawozdanie grupy wysokiego szczebla ds. przyszłości ochrony socjalnej i państwa opiekuńczego w UE opublikowane w styczniu 2023 r.,</w:t>
      </w:r>
    </w:p>
    <w:p w14:paraId="7288D818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art. 55 Regulaminu,</w:t>
      </w:r>
    </w:p>
    <w:p w14:paraId="06D70742" w14:textId="77777777" w:rsidR="00ED6A16" w:rsidRPr="007D5CCA" w:rsidRDefault="00ED6A16" w:rsidP="00ED6A16">
      <w:pPr>
        <w:pStyle w:val="NormalHanging"/>
      </w:pPr>
      <w:r w:rsidRPr="007D5CCA">
        <w:t>–</w:t>
      </w:r>
      <w:r w:rsidRPr="007D5CCA">
        <w:tab/>
        <w:t>uwzględniając sprawozdanie Komisji Zatrudnienia i Spraw Socjalnych (A10-0033/2026),</w:t>
      </w:r>
    </w:p>
    <w:p w14:paraId="023E303E" w14:textId="77777777" w:rsidR="00ED6A16" w:rsidRPr="007D5CCA" w:rsidRDefault="00ED6A16" w:rsidP="00ED6A16">
      <w:pPr>
        <w:pStyle w:val="NormalHanging"/>
      </w:pPr>
      <w:r w:rsidRPr="007D5CCA">
        <w:t>A.</w:t>
      </w:r>
      <w:r w:rsidRPr="007D5CCA">
        <w:tab/>
        <w:t>mając na uwadze, że osiągnięcie celu UE w zakresie zatrudnienia, zgodnie z którym do 2030 r. co najmniej 78 % osób w wieku 20–64 lat powinno mieć zatrudnienie, jest na dobrej drodze; mając na uwadze, że w październiku 2025 r. stopa bezrobocia w UE wyniosła 6 %, przy czym w poszczególnych państwach członkowskich wahała się od 2,6 % do 10,6 %, podczas gdy bezrobocie osób młodych utrzymuje się na wysokim poziomie 13,2 %; mając na uwadze, że bezrobocie i niepewne warunki pracy utrzymują się na wysokim poziomie w przypadku młodych ludzi, kobiet, starszych pracowników, obywateli państw trzecich o niskich i średnich kwalifikacjach, osób z niepełnosprawnościami oraz Romów i innych mniejszości etnicznych napotykających bariery strukturalne w zatrudnieniu; mając na uwadze, że w przypadku osób z niepełnosprawnościami bezrobocie wynosi 15,1 %; mając na uwadze, że wyższemu poziomowi zatrudnienia w UE powinny towarzyszyć jakość miejsc pracy, godziwe wynagrodzenie, wzrost płac i wzrost wydajności;</w:t>
      </w:r>
    </w:p>
    <w:p w14:paraId="26CD7605" w14:textId="77777777" w:rsidR="00ED6A16" w:rsidRPr="007D5CCA" w:rsidRDefault="00ED6A16" w:rsidP="00ED6A16">
      <w:pPr>
        <w:pStyle w:val="NormalHanging"/>
      </w:pPr>
      <w:r w:rsidRPr="007D5CCA">
        <w:t>B.</w:t>
      </w:r>
      <w:r w:rsidRPr="007D5CCA">
        <w:tab/>
        <w:t xml:space="preserve">mając na uwadze, że europejski semestr pozostaje głównym instrumentem koordynacji polityki gospodarczej, fiskalnej, polityki zatrudnienia i polityki społecznej w całej UE oraz powinien mieć na celu bardziej systematyczne włączanie kwestii sprawiedliwości społecznej, zrównoważenia środowiskowego i sprawiedliwości międzypokoleniowej do zarządzania makroekonomicznego, przy czym Europejski filar praw socjalnych powinien być jego centralnym elementem i należy przestrzegać zasady pomocniczości; mając na uwadze, że dołożono starań, aby lepiej zrównoważyć monitorowanie celów gospodarczych i społecznych w procesie europejskiego semestru z opracowaniem tablicy wskaźników społecznych i niedawnym włączeniem do tego procesu ram konwergencji społecznej; mając na uwadze, że pakiet jesienny na 2026 r. został przedstawiony bez rocznej analizy zrównoważonego wzrostu gospodarczego określającej całościową i zrównoważoną strategię na rzecz gospodarki, społeczeństwa i zatrudnienia w Unii oraz na rzecz celów w dziedzinie środowiska, a także opierającej </w:t>
      </w:r>
      <w:r w:rsidRPr="007D5CCA">
        <w:lastRenderedPageBreak/>
        <w:t>europejski semestr na szerokiej wizji zrównoważonego wzrostu gospodarczego dla Unii; mając na uwadze, że UE musi nadal angażować się na rzecz konkurencyjności, zrównoważonego rozwoju i sprawiedliwości społecznej, nie dopuszczając do osiągania jednego celu kosztem innych;</w:t>
      </w:r>
    </w:p>
    <w:p w14:paraId="333559D6" w14:textId="77777777" w:rsidR="00ED6A16" w:rsidRPr="007D5CCA" w:rsidRDefault="00ED6A16" w:rsidP="00ED6A16">
      <w:pPr>
        <w:pStyle w:val="NormalHanging"/>
      </w:pPr>
      <w:r w:rsidRPr="007D5CCA">
        <w:t>C.</w:t>
      </w:r>
      <w:r w:rsidRPr="007D5CCA">
        <w:tab/>
        <w:t xml:space="preserve">mając na uwadze, że w 2024 r. 93,3 mln osób, czyli 21 % ludności UE, było zagrożonych ubóstwem lub wykluczeniem społecznym, co pokazuje, że poczyniono ograniczone postępy w realizacji celu Europejskiego filaru praw socjalnych na 2030 r. dotyczącego ograniczenia ubóstwa, przy czym tendencja w ponad połowie państw członkowskich zmierza w złym kierunku; mając na uwadze, że zagrożenie ubóstwem jest znacznie wyższe w przypadku kobiet, dzieci, osób starszych, osób z niepełnosprawnościami, osób LGBTI+, osób o niskich kwalifikacjach, obywateli państw trzecich, Romów, rodziców samotnie wychowujących dzieci oraz osób żyjących na wyludnionych obszarach, a między państwami członkowskimi oraz w ich obrębie, w tym między obszarami wiejskimi i miejskimi, utrzymują się znaczne rozbieżności; mając na uwadze, że ta rozbieżność między rosnącymi średnimi dochodami a utrzymującym się poziomem ubóstwa uwypukla wyzwania strukturalne w rozkładzie dochodów, na rynkach pracy oraz w strukturze i zasięgu systemów ochrony socjalnej; mając na uwadze, że w 2024 r. ponad 40 mln osób w UE, co odpowiada około 9,2 % ludności, doświadczyło ubóstwa energetycznego, co doprowadziło do deprywacji materialnej; mając na uwadze, że niewystarczający zasięg i nieadekwatność systemów dochodu minimalnego, zasiłków dla bezrobotnych oraz świadczeń rodzinnych i świadczeń na dzieci, a także bariery w integracji na rynku pracy i dostępie do wysokiej jakości usług publicznych, takich jak opieka zdrowotna, edukacja, usługi opiekuńcze i mieszkalnictwo, przyczyniają się do utrzymywania się ubóstwa i wykluczenia społecznego, zwłaszcza wśród grup najbardziej </w:t>
      </w:r>
      <w:proofErr w:type="spellStart"/>
      <w:r w:rsidRPr="007D5CCA">
        <w:t>defaworyzowanych</w:t>
      </w:r>
      <w:proofErr w:type="spellEnd"/>
      <w:r w:rsidRPr="007D5CCA">
        <w:t>; mając na uwadze, że bez zmiany podejścia do zwalczania ubóstwa na szczeblu unijnym i krajowym nie będzie możliwe odwrócenie tej tendencji; mając na uwadze, że ambitna strategia UE na rzecz walki z ubóstwem będzie miała zasadnicze znaczenie dla zapewnienia reakcji na to wielowymiarowe zjawisko ubóstwa;</w:t>
      </w:r>
    </w:p>
    <w:p w14:paraId="20C4442E" w14:textId="77777777" w:rsidR="00ED6A16" w:rsidRPr="007D5CCA" w:rsidRDefault="00ED6A16" w:rsidP="00ED6A16">
      <w:pPr>
        <w:pStyle w:val="NormalHanging"/>
      </w:pPr>
      <w:r w:rsidRPr="007D5CCA">
        <w:t>D.</w:t>
      </w:r>
      <w:r w:rsidRPr="007D5CCA">
        <w:tab/>
        <w:t xml:space="preserve">mając na uwadze, że co czwarte dziecko w Unii Europejskiej jest nadal zagrożone ubóstwem lub wykluczeniem społecznym, co jest wskaźnikiem wyższym niż w przypadku ogółu społeczeństwa; mając na uwadze, że niewystarczające są postępy w realizacji celu, jakim jest zmniejszenie liczby dzieci zagrożonych ubóstwem lub wykluczeniem społecznym o 5 mln do 2030 r., przy czym odsetek dzieci zagrożonych ubóstwem lub wykluczeniem społecznym wzrastał co roku od 2019 do 2023 r. i pozostaje niezmiennie wysoki; mając na uwadze, że zgodnie z wnioskiem Komisji dotyczącym wspólnego sprawozdania o zatrudnieniu na 2026 r. około 19,5 mln dzieci (24,2 %) w 2024 r. w UE było zagrożonych ubóstwem lub wykluczeniem społecznym; mając na uwadze, że strategie polityczne i usługi w zakresie prewencyjnego wsparcia dla dzieci i rodzin, zgodnie z europejską gwarancją dla dzieci, mają zasadnicze znaczenie dla rozwiązania problemów społeczno-gospodarczych, które mogą prowadzić do rozdzielania rodzin i instytucjonalizacji dzieci; mając na uwadze, że specjalny instrument finansowania europejskiej gwarancji dla dzieci, a także synergie z innymi funduszami unijnymi i krajowymi mają ogromne znaczenie zarówno w obecnych, jak i kolejnych wieloletnich ramach finansowych; mając na uwadze, że według Komisji UE powinna inwestować dodatkowo ponad 11 mld EUR rocznie, aby osiągnąć cele </w:t>
      </w:r>
      <w:r w:rsidRPr="007D5CCA">
        <w:lastRenderedPageBreak/>
        <w:t>barcelońskie na 2030 r. dotyczące wczesnej edukacji i opieki nad dzieckiem</w:t>
      </w:r>
      <w:r w:rsidRPr="007D5CCA">
        <w:rPr>
          <w:vertAlign w:val="superscript"/>
        </w:rPr>
        <w:footnoteReference w:id="2"/>
      </w:r>
      <w:r w:rsidRPr="007D5CCA">
        <w:t xml:space="preserve">; mając na uwadze, że dzieci, które mogą odnieść największe korzyści z uczestnictwa we wczesnej edukacji i opiece, takie jak dzieci ze środowisk </w:t>
      </w:r>
      <w:proofErr w:type="spellStart"/>
      <w:r w:rsidRPr="007D5CCA">
        <w:t>defaworyzowanych</w:t>
      </w:r>
      <w:proofErr w:type="spellEnd"/>
      <w:r w:rsidRPr="007D5CCA">
        <w:t>, zazwyczaj są w najmniejszym stopniu objęte tymi usługami i nadal napotykają przeszkody w dostępie do nich;</w:t>
      </w:r>
    </w:p>
    <w:p w14:paraId="24785F98" w14:textId="77777777" w:rsidR="00ED6A16" w:rsidRPr="007D5CCA" w:rsidRDefault="00ED6A16" w:rsidP="00ED6A16">
      <w:pPr>
        <w:pStyle w:val="NormalHanging"/>
      </w:pPr>
      <w:r w:rsidRPr="007D5CCA">
        <w:t>E.</w:t>
      </w:r>
      <w:r w:rsidRPr="007D5CCA">
        <w:tab/>
        <w:t xml:space="preserve">mając na uwadze, że nadal co najmniej 1,4 mln osób z niepełnosprawnościami i niemal 300 000 dzieci przebywa w zakładach opiekuńczych w UE; mając na uwadze, że osoby przebywające w takich zakładach są odizolowane i nie mają wystarczającej kontroli nad swoim życiem i decyzjami, które ich dotyczą; mając na uwadze, że choć UE od dawna angażuje się w proces </w:t>
      </w:r>
      <w:proofErr w:type="spellStart"/>
      <w:r w:rsidRPr="007D5CCA">
        <w:t>deinstytucjonalizacji</w:t>
      </w:r>
      <w:proofErr w:type="spellEnd"/>
      <w:r w:rsidRPr="007D5CCA">
        <w:t xml:space="preserve">, nadal potrzebne są działania zarówno na szczeblu unijnym, jak i krajowym, aby umożliwić grupom szczególnie wrażliwym niezależne życie w środowisku rodzinnym lub społeczności lokalnej; </w:t>
      </w:r>
    </w:p>
    <w:p w14:paraId="38F81D9D" w14:textId="77777777" w:rsidR="00ED6A16" w:rsidRPr="007D5CCA" w:rsidRDefault="00ED6A16" w:rsidP="00ED6A16">
      <w:pPr>
        <w:pStyle w:val="NormalHanging"/>
      </w:pPr>
      <w:r w:rsidRPr="007D5CCA">
        <w:t>F.</w:t>
      </w:r>
      <w:r w:rsidRPr="007D5CCA">
        <w:tab/>
        <w:t>mając na uwadze, że w 2024 r. co dwunasty pracownik (8,2 %) w UE doświadczył ubóstwa pracujących, co podważa spójność społeczną i pokazuje, że zatrudnienie samo w sobie nie zapewnia pełnej ochrony przed ubóstwem ani nie przekłada się na lepsze warunki życia ze względu na rosnące koszty życia i mniejszą siłę nabywczą; mając na uwadze, że niedawne podwyżki ustawowych wynagrodzeń minimalnych, często przekraczające 20 % w latach 2022–2025, a nawet 40 % w kilku państwach członkowskich, pomogły chronić siłę nabywczą pracowników o niskich dochodach i wspierały wzrost płac w nisko opłacanych sektorach; mając na uwadze, że chociaż płace realne przekroczyły poziomy sprzed pandemii w większości państw członkowskich, kilka dużych gospodarek nie powróciło jeszcze do tych poziomów;</w:t>
      </w:r>
    </w:p>
    <w:p w14:paraId="2194F03F" w14:textId="77777777" w:rsidR="00ED6A16" w:rsidRPr="007D5CCA" w:rsidRDefault="00ED6A16" w:rsidP="00ED6A16">
      <w:pPr>
        <w:pStyle w:val="NormalHanging"/>
      </w:pPr>
      <w:r w:rsidRPr="007D5CCA">
        <w:t>G.</w:t>
      </w:r>
      <w:r w:rsidRPr="007D5CCA">
        <w:tab/>
        <w:t xml:space="preserve">mając na uwadze, że zmiana klimatu pogłębiła nierówności i szczególnie dotknęła najsłabsze grupy społeczne, które są zazwyczaj bardziej narażone na zagrożenia środowiskowe, na przykład na wysokie temperatury, co prowadzi do niższych standardów jakości pracy, utraty wydajności i większej niepewności zatrudnienia; mając na uwadze, że transformacja w kierunku neutralności klimatycznej musi być uczciwa ze społecznego punktu widzenia i </w:t>
      </w:r>
      <w:proofErr w:type="spellStart"/>
      <w:r w:rsidRPr="007D5CCA">
        <w:t>inkluzywna</w:t>
      </w:r>
      <w:proofErr w:type="spellEnd"/>
      <w:r w:rsidRPr="007D5CCA">
        <w:t xml:space="preserve"> dla wszystkich, oraz oczekuje się, że w jej wyniku powstanie od 1 do 2,5 mln dodatkowych miejsc pracy do 2030 r., jeżeli będzie wspierana odpowiednią polityką zatrudnienia i edukacji; mając na uwadze, że silne i odpowiednio finansowane systemy opieki społecznej oraz strategie tworzenia miejsc pracy wysokiej jakości są warunkiem wstępnym zapewnienia sprawiedliwego i uczciwego przechodzenia w kierunku neutralności klimatycznej i transformacji cyfrowej; </w:t>
      </w:r>
    </w:p>
    <w:p w14:paraId="69D15D0D" w14:textId="77777777" w:rsidR="00ED6A16" w:rsidRPr="007D5CCA" w:rsidRDefault="00ED6A16" w:rsidP="00ED6A16">
      <w:pPr>
        <w:pStyle w:val="NormalHanging"/>
      </w:pPr>
      <w:r w:rsidRPr="007D5CCA">
        <w:t>H.</w:t>
      </w:r>
      <w:r w:rsidRPr="007D5CCA">
        <w:tab/>
        <w:t xml:space="preserve">mając na uwadze, że UE boryka się z utrzymującymi się niedoborami siły roboczej i kwalifikacji w kilku sektorach, spowodowanymi różnymi czynnikami, takimi jak zmiany demograficzne i technologiczne, niedopasowanie umiejętności, jakość miejsc pracy oraz brak atrakcyjnych, wysokiej jakości usług publicznych i inwestycji w nie, co uznano za kluczową barierę dla wzrostu i konkurencyjności UE; mając na uwadze, że ograniczone perspektywy kariery i niepewne warunki pracy młodych ludzi w niektórych częściach Unii przyczyniają się do odpływu talentów między regionami UE a państwami trzecimi, co jeszcze bardziej pogłębia te niedobory; mając na uwadze, że we wniosku Komisji dotyczącym wspólnego sprawozdania o zatrudnieniu na 2026 r. podkreślono, że zaradzenie strukturalnym słabościom rynku pracy poprzez lepszą </w:t>
      </w:r>
      <w:r w:rsidRPr="007D5CCA">
        <w:lastRenderedPageBreak/>
        <w:t xml:space="preserve">jakość miejsc pracy sprzyja wyższej wydajności, wynikom gospodarczym, sprawiedliwości społecznej i spójności; mając na uwadze, że poprawa praw pracowniczych, rokowań zbiorowych, aktywnej polityki rynku pracy, dostępu do ochrony socjalnej i możliwości rozwoju umiejętności dla wszystkich, w tym obywateli państw trzecich, a także ukierunkowane środki aktywizacji dla 51 mln osób w wieku produkcyjnym, które obecnie nie są aktywne zawodowo, pomogłyby zwiększyć uczestnictwo, </w:t>
      </w:r>
      <w:proofErr w:type="spellStart"/>
      <w:r w:rsidRPr="007D5CCA">
        <w:t>inkluzywność</w:t>
      </w:r>
      <w:proofErr w:type="spellEnd"/>
      <w:r w:rsidRPr="007D5CCA">
        <w:t xml:space="preserve"> i konkurencyjność; mając na uwadze, że oczekuje się, iż do 2050 r. liczba ludności aktywnej zawodowo w UE zmniejszy się nawet o 18,8 mln osób, co sugeruje, że legalna migracja zarobkowa może pomóc w reagowaniu na zmieniające się potrzeby rynku pracy;</w:t>
      </w:r>
    </w:p>
    <w:p w14:paraId="1FEBB675" w14:textId="77777777" w:rsidR="00ED6A16" w:rsidRPr="007D5CCA" w:rsidRDefault="00ED6A16" w:rsidP="00ED6A16">
      <w:pPr>
        <w:pStyle w:val="NormalHanging"/>
      </w:pPr>
      <w:r w:rsidRPr="007D5CCA">
        <w:t>I.</w:t>
      </w:r>
      <w:r w:rsidRPr="007D5CCA">
        <w:tab/>
        <w:t xml:space="preserve">mając na uwadze, że w 2022 r. wskaźnik uczestnictwa dorosłych w uczeniu się wyniósł 39,5 %, co wskazuje, iż w większości państw członkowskich należy dołożyć większych starań, aby do 2030 r. zrealizować cel udziału 60 % dorosłych w kształceniu i szkoleniu; mając na uwadze, że zintegrowane podejście do koordynacji polityki w ramach europejskiego semestru zapewnia ramy umożliwiające skierowanie niezbędnych inwestycji na rozwój kapitału ludzkiego, systemy kształcenia i szkolenia; mając na uwadze, że należy dołożyć dalszych znacznych starań, aby zapewnić strategie wysokiej jakości szkoleń i dostęp do nich – zwłaszcza dla pracowników w zawodach wymagających niższych kwalifikacji – tak by promować uczenie się przez całe życie oraz wzmacniać konkurencyjność, odporność i </w:t>
      </w:r>
      <w:proofErr w:type="spellStart"/>
      <w:r w:rsidRPr="007D5CCA">
        <w:t>inkluzywność</w:t>
      </w:r>
      <w:proofErr w:type="spellEnd"/>
      <w:r w:rsidRPr="007D5CCA">
        <w:t xml:space="preserve"> siły roboczej w UE; mając na uwadze, że same wydatki publiczne mogą nie odpowiadać skali potrzeb w zakresie podnoszenia i zmiany kwalifikacji ze względu na wyzwania związane z transformacją, przed którymi stoi UE; mając na uwadze, że w 2022 r. średni wynik w zakresie umiejętności podstawowych wśród 15-latków w Programie międzynarodowej oceny umiejętności uczniów (PISA) był gorszy w porównaniu z 2018 r., a słabe wyniki w nauce mają nieproporcjonalnie duży wpływ na uczniów znajdujących się w niekorzystnej sytuacji, co uwypukla potrzebę reform i trwałych inwestycji w kształcenie i szkolenie w celu wspierania przyszłych pokoleń i ich przechodzenia z etapu edukacji do etapu zatrudnienia;</w:t>
      </w:r>
    </w:p>
    <w:p w14:paraId="30C36E36" w14:textId="77777777" w:rsidR="00ED6A16" w:rsidRPr="007D5CCA" w:rsidRDefault="00ED6A16" w:rsidP="00ED6A16">
      <w:pPr>
        <w:pStyle w:val="NormalHanging"/>
      </w:pPr>
      <w:r w:rsidRPr="007D5CCA">
        <w:t>J.</w:t>
      </w:r>
      <w:r w:rsidRPr="007D5CCA">
        <w:tab/>
        <w:t>mając na uwadze, że dodatkowe potrzeby inwestycji w infrastrukturę społeczną oszacowano na 192 mld EUR rocznie, w tym z przeznaczeniem na przystępne cenowo mieszkania, opiekę zdrowotną i długoterminową, edukację i kształcenie ustawiczne</w:t>
      </w:r>
      <w:r w:rsidRPr="007D5CCA">
        <w:rPr>
          <w:vertAlign w:val="superscript"/>
        </w:rPr>
        <w:footnoteReference w:id="3"/>
      </w:r>
      <w:r w:rsidRPr="007D5CCA">
        <w:t xml:space="preserve">; mając na uwadze, że należy uznać wartość zwrotu gospodarczego z inwestycji społecznych, zwłaszcza wydatków publicznych przeznaczonych na dzieci i młodzież, które to inwestycje nie tylko poprawiają poziom życia i zmniejszają ubóstwo, lecz są także kluczowymi czynnikami napędzającymi zrównoważony wzrost gospodarczy sprzyjający włączeniu społecznemu, wyższą wydajność i wyższe wskaźniki zatrudnienia; mając na uwadze, że niedoinwestowanie edukacji i badań naukowych osłabia długoterminowe perspektywy wzrostu; mając na uwadze, że w przypadku dzieci inwestycje społeczne są inwestycjami w przyszłość, które prowadzą do lepszej edukacji i lepszych perspektyw zatrudnienia, co z kolei poprawia wskaźniki ekonomiczne; mając na uwadze, że konieczne są dalsze prace w celu zmierzenia luki w inwestycjach społecznych po odbudowie w UE, a także inwestycji w usługi społeczne i ich zasięgu oraz zwrotu gospodarczego z tych inwestycji; mając na uwadze, że opracowanie </w:t>
      </w:r>
      <w:r w:rsidRPr="007D5CCA">
        <w:lastRenderedPageBreak/>
        <w:t>wspólnych wskaźników danych dotyczących wydatków na usługi społeczne i ich zakresu, takich jak europejski wskaźnik usług społecznych, wzmocniłoby oparte na dowodach zalecenia i skuteczne monitorowanie ich wdrażania w ramach europejskiego semestru;</w:t>
      </w:r>
    </w:p>
    <w:p w14:paraId="5467E0F0" w14:textId="77777777" w:rsidR="00ED6A16" w:rsidRPr="007D5CCA" w:rsidRDefault="00ED6A16" w:rsidP="00ED6A16">
      <w:pPr>
        <w:pStyle w:val="NormalHanging"/>
      </w:pPr>
      <w:r w:rsidRPr="007D5CCA">
        <w:t>K.</w:t>
      </w:r>
      <w:r w:rsidRPr="007D5CCA">
        <w:tab/>
        <w:t>mając na uwadze, że presja związana z kosztami mieszkaniowymi i wysokie ceny energii nakładają znaczne obciążenia na gospodarstwa domowe, jednak polityka mieszkaniowa jest często niedostatecznie reprezentowana w zaleceniach dla poszczególnych krajów, mimo że ma duże znaczenie w perspektywie makroekonomicznej i odgrywa kluczową rolę w bezpieczeństwie dochodów, włączeniu społecznym i odporności w odniesieniu do kosztów utrzymania; mając na uwadze, że inwestycje w usługi społeczne i zwiększanie podaży mieszkań, w tym mieszkań socjalnych i przystępnych cenowo, a także w efektywność energetyczną i renowację budynków oraz rozwiązanie problemu niedoboru wykwalifikowanej siły roboczej odgrywają kluczową rolę w ograniczaniu ubóstwa, w tym ubóstwa energetycznego, oraz w poprawie przystępności cenowej;</w:t>
      </w:r>
    </w:p>
    <w:p w14:paraId="302D306E" w14:textId="77777777" w:rsidR="00ED6A16" w:rsidRPr="007D5CCA" w:rsidRDefault="00ED6A16" w:rsidP="00ED6A16">
      <w:pPr>
        <w:pStyle w:val="NormalHanging"/>
      </w:pPr>
      <w:r w:rsidRPr="007D5CCA">
        <w:t>L.</w:t>
      </w:r>
      <w:r w:rsidRPr="007D5CCA">
        <w:tab/>
        <w:t>mając na uwadze, że luka płacowa między kobietami a mężczyznami w UE wynosi obecnie 12 %, między innymi ze względu na nieproporcjonalny udział kobiet w obowiązkach związanych z gospodarstwem domowym i opieką nad dziećmi oraz utrzymujące się zaniżanie wartości zawodów zdominowanych przez kobiety; mając na uwadze, że kobiety są bardziej zagrożone ubóstwem, zwłaszcza w starszym wieku, a luka emerytalna między kobietami a mężczyznami wynosi obecnie 25 %</w:t>
      </w:r>
      <w:r w:rsidRPr="007D5CCA">
        <w:rPr>
          <w:vertAlign w:val="superscript"/>
        </w:rPr>
        <w:footnoteReference w:id="4"/>
      </w:r>
      <w:r w:rsidRPr="007D5CCA">
        <w:t>;</w:t>
      </w:r>
    </w:p>
    <w:p w14:paraId="50A7AC40" w14:textId="77777777" w:rsidR="00ED6A16" w:rsidRPr="007D5CCA" w:rsidRDefault="00ED6A16" w:rsidP="00ED6A16">
      <w:pPr>
        <w:pStyle w:val="NormalHanging12a"/>
      </w:pPr>
      <w:r w:rsidRPr="007D5CCA">
        <w:t>1.</w:t>
      </w:r>
      <w:r w:rsidRPr="007D5CCA">
        <w:tab/>
        <w:t xml:space="preserve">podkreśla przewagę konkurencyjną inwestowania w model społeczny UE; apeluje o włączenie do procesu europejskiego semestru zaleceń grupy wysokiego szczebla ds. przyszłości ochrony socjalnej i państwa opiekuńczego, a także zaleceń zawartych w sprawozdaniach </w:t>
      </w:r>
      <w:proofErr w:type="spellStart"/>
      <w:r w:rsidRPr="007D5CCA">
        <w:t>Letty</w:t>
      </w:r>
      <w:proofErr w:type="spellEnd"/>
      <w:r w:rsidRPr="007D5CCA">
        <w:t xml:space="preserve"> i </w:t>
      </w:r>
      <w:proofErr w:type="spellStart"/>
      <w:r w:rsidRPr="007D5CCA">
        <w:t>Draghiego</w:t>
      </w:r>
      <w:proofErr w:type="spellEnd"/>
      <w:r w:rsidRPr="007D5CCA">
        <w:t xml:space="preserve">, w celu ochrony i wzmocnienia społecznej gospodarki rynkowej UE; podkreśla potrzebę zrównoważonego podejścia, które wspiera prawa socjalne, usługi publiczne oraz struktury rokowań zbiorowych i ich zasięg, a także konkurencyjność; z zadowoleniem przyjmuje włączenie Europejskiego filaru praw socjalnych do ram zarządzania gospodarczego i apeluje do państw członkowskich o skorzystanie z możliwości przedłużenia okresu dostosowawczego, by prowadzić inwestycje w priorytety Europejskiego filaru praw socjalnych; apeluje o odzwierciedlenie zintegrowanych ram zarządzania w wewnętrznych procesach instytucji UE, przy zaangażowaniu na równi ich organów gospodarczych i społecznych; </w:t>
      </w:r>
    </w:p>
    <w:p w14:paraId="4B87E73F" w14:textId="77777777" w:rsidR="00ED6A16" w:rsidRPr="007D5CCA" w:rsidRDefault="00ED6A16" w:rsidP="00ED6A16">
      <w:pPr>
        <w:pStyle w:val="NormalHanging12a"/>
      </w:pPr>
      <w:r w:rsidRPr="007D5CCA">
        <w:t>2.</w:t>
      </w:r>
      <w:r w:rsidRPr="007D5CCA">
        <w:tab/>
        <w:t xml:space="preserve">wzywa Komisję i państwa członkowskie do pełnego wdrożenia Europejskiego filaru praw socjalnych; podkreśla, że w zaktualizowanym planie działania Europejskiego filaru praw socjalnych należy przełożyć zobowiązania polityczne na konkretne i ambitne środki, poparte jasnymi, wymiernymi celami i solidnymi wskaźnikami monitorowania, aby skutecznie przeciwdziałać ubóstwu i wykluczeniu społecznemu oraz wspierać pracowników w zarządzaniu transformacją ekologiczną i cyfrową, w szczególności w odniesieniu do umiejętności, kształcenia i szkolenia zawodowego oraz uczenia się przez całe życie; wzywa do włączenia celów zawartych w planie działania na rzecz Europejskiego filaru praw socjalnych do głównego nurtu europejskiego semestru poprzez uczynienie ich punktami odniesienia w ocenach sporządzanych w </w:t>
      </w:r>
      <w:r w:rsidRPr="007D5CCA">
        <w:lastRenderedPageBreak/>
        <w:t xml:space="preserve">ramach europejskiego semestru; zwraca uwagę, że wniosek Komisji dotyczący wspólnego sprawozdania o zatrudnieniu na 2026 r. koncentruje się w dużej mierze na niedoborach umiejętności i siły roboczej i nie zawiera kompleksowej oceny wdrożenia 20 zasad Europejskiego filaru praw socjalnych, zgodnie z wymogami rozporządzenia (UE) 2024/1263; wzywa Komisję do zadbania o to, aby wszystkie zasady Europejskiego filaru praw socjalnych zostały odzwierciedlone w przyszłych cyklach w celu zapewnienia dokładnego i pełnego obrazu sytuacji społecznej w UE; </w:t>
      </w:r>
    </w:p>
    <w:p w14:paraId="37BF271E" w14:textId="77777777" w:rsidR="00ED6A16" w:rsidRDefault="00ED6A16" w:rsidP="00ED6A16">
      <w:pPr>
        <w:pStyle w:val="NormalHanging12a"/>
      </w:pPr>
      <w:r w:rsidRPr="007D5CCA">
        <w:t>3.</w:t>
      </w:r>
      <w:r w:rsidRPr="007D5CCA">
        <w:tab/>
        <w:t xml:space="preserve">z zadowoleniem przyjmuje dążenie Komisji do wyeliminowania ubóstwa do 2050 r., jej Europejski plan na rzecz przystępnych cenowo mieszkań oraz zamiar przedstawienia propozycji aktu w sprawie wysokiej jakości miejsc pracy; ponadto z zadowoleniem przyjmuje pierwszą strategię UE na rzecz walki z ubóstwem oraz wzmocnienie europejskiej gwarancji dla dzieci; podkreśla, że należy zachować spójność między europejskim semestrem, działaniami następczymi w związku z planem działania na rzecz Europejskiego filaru praw socjalnych a tymi przyszłymi instrumentami, z wymiernymi celami i odpowiednimi zaleceniami dla poszczególnych krajów; </w:t>
      </w:r>
    </w:p>
    <w:p w14:paraId="05B83742" w14:textId="44AEAA6A" w:rsidR="00753621" w:rsidRPr="007D5CCA" w:rsidRDefault="00753621" w:rsidP="00753621">
      <w:pPr>
        <w:pStyle w:val="NormalHanging12a"/>
      </w:pPr>
      <w:r>
        <w:t>4</w:t>
      </w:r>
      <w:r w:rsidRPr="00984A10">
        <w:t>.</w:t>
      </w:r>
      <w:r w:rsidRPr="00984A10">
        <w:tab/>
        <w:t xml:space="preserve">przypomina, że przewodnicząca Komisji </w:t>
      </w:r>
      <w:proofErr w:type="spellStart"/>
      <w:r w:rsidRPr="00984A10">
        <w:t>Ursula</w:t>
      </w:r>
      <w:proofErr w:type="spellEnd"/>
      <w:r w:rsidRPr="00984A10">
        <w:t xml:space="preserve"> von der </w:t>
      </w:r>
      <w:proofErr w:type="spellStart"/>
      <w:r w:rsidRPr="00984A10">
        <w:t>Leyen</w:t>
      </w:r>
      <w:proofErr w:type="spellEnd"/>
      <w:r w:rsidRPr="00984A10">
        <w:t xml:space="preserve"> zobowiązała się w 2019 r. do zapewnienia, by każde dziecko w Europie zagrożone ubóstwem lub wykluczeniem społecznym miało dostęp do najbardziej podstawowych praw, takich jak opieka zdrowotna i edukacja, oraz że następnie 14 czerwca 2021 r. przyjęto zalecenie Rady (UE) 2021/1004 ustanawiające europejską gwarancję dla dzieci</w:t>
      </w:r>
      <w:r>
        <w:rPr>
          <w:rStyle w:val="FootnoteReference"/>
        </w:rPr>
        <w:footnoteReference w:id="5"/>
      </w:r>
      <w:r w:rsidRPr="00984A10">
        <w:t>; podkreśla, że celów europejskiej gwarancji dla dzieci nie można osiągnąć bez ambitnego specjalnego budżetu zarówno na szczeblu unijnym, jak i krajowym; ponawia w związku z tym apel o przeznaczenie znacznego specjalnego budżetu na europejską gwarancję dla dzieci w wysokości co najmniej 20 mld EUR; podkreśla pilną potrzebę przeznaczenia tego specjalnego budżetu w następnych WRF, aby sprostać rosnącemu wyzwaniu, jakim jest ubóstwo i wykluczenie społeczne dzieci;</w:t>
      </w:r>
    </w:p>
    <w:p w14:paraId="3B4C6B76" w14:textId="6CEA4717" w:rsidR="00ED6A16" w:rsidRDefault="00753621" w:rsidP="00ED6A16">
      <w:pPr>
        <w:pStyle w:val="NormalHanging12a"/>
      </w:pPr>
      <w:r>
        <w:t>5</w:t>
      </w:r>
      <w:r w:rsidR="00ED6A16" w:rsidRPr="007D5CCA">
        <w:t>.</w:t>
      </w:r>
      <w:r w:rsidR="00ED6A16" w:rsidRPr="007D5CCA">
        <w:tab/>
        <w:t>podkreśla znaczenie wyeliminowania ubóstwa i wykluczenia społecznego dzieci w celu przerwania cykli międzypokoleniowych; z zadowoleniem przyjmuje włączenie oceny wdrożenia gwarancji dla dzieci do wszystkich sprawozdań krajowych w pakiecie wiosennym na 2025 r. i zachęca do dalszego monitorowania postępów w ramach europejskiego semestru; ubolewa jednak nad brakiem działań następczych w związku z tymi ustaleniami, ponieważ w 2025 r. tylko w dwóch zaleceniach dla poszczególnych krajów zaapelowano o podjęcie działań w celu rozwiązania problemu ubóstwa dzieci; uważa, że zalecenia dla poszczególnych krajów powinny odzwierciedlać zgodność budżetu państw członkowskich z minimalnymi wymogami przydziału środków na zwalczanie ubóstwa dzieci określonymi w rozporządzeniu w sprawie EFS+</w:t>
      </w:r>
      <w:r w:rsidR="00ED6A16" w:rsidRPr="007D5CCA">
        <w:rPr>
          <w:vertAlign w:val="superscript"/>
        </w:rPr>
        <w:footnoteReference w:id="6"/>
      </w:r>
      <w:r w:rsidR="00ED6A16" w:rsidRPr="007D5CCA">
        <w:t xml:space="preserve">; </w:t>
      </w:r>
    </w:p>
    <w:p w14:paraId="7DC3653B" w14:textId="6E3D8793" w:rsidR="00ED6A16" w:rsidRPr="007D5CCA" w:rsidRDefault="00984A10" w:rsidP="00ED6A16">
      <w:pPr>
        <w:pStyle w:val="NormalHanging12a"/>
      </w:pPr>
      <w:r>
        <w:t>6</w:t>
      </w:r>
      <w:r w:rsidR="00ED6A16" w:rsidRPr="007D5CCA">
        <w:t>.</w:t>
      </w:r>
      <w:r w:rsidR="00ED6A16" w:rsidRPr="007D5CCA">
        <w:tab/>
      </w:r>
      <w:r w:rsidRPr="007A0B11">
        <w:t xml:space="preserve">ponawia apel o zwiększenie finansowania europejskiej gwarancji dla dzieci o specjalny budżet w </w:t>
      </w:r>
      <w:r w:rsidRPr="00753621">
        <w:rPr>
          <w:bCs/>
          <w:iCs/>
        </w:rPr>
        <w:t>znacznej wysokości</w:t>
      </w:r>
      <w:r w:rsidRPr="007A0B11">
        <w:t xml:space="preserve"> oraz o przeznaczenie przez państwa członkowskie co najmniej 5 % przydzielonych im środków z funduszu EFS+ na walkę z ubóstwem dzieci i wspieranie dobrostanu dzieci, przy czym co najmniej 10 % należy przeznaczyć w </w:t>
      </w:r>
      <w:r w:rsidRPr="007A0B11">
        <w:lastRenderedPageBreak/>
        <w:t>przypadku państw członkowskich, w których poziom ubóstwa dzieci przekracza średnią UE;</w:t>
      </w:r>
    </w:p>
    <w:p w14:paraId="4C0F80B1" w14:textId="49870E8F" w:rsidR="00ED6A16" w:rsidRDefault="00984A10" w:rsidP="00ED6A16">
      <w:pPr>
        <w:pStyle w:val="NormalHanging12a"/>
      </w:pPr>
      <w:r>
        <w:t>7</w:t>
      </w:r>
      <w:r w:rsidR="00ED6A16" w:rsidRPr="007D5CCA">
        <w:t>.</w:t>
      </w:r>
      <w:r w:rsidR="00ED6A16" w:rsidRPr="007D5CCA">
        <w:tab/>
        <w:t>jest zaniepokojony poziomem bezrobocia młodzieży, który pozostaje ponad dwukrotnie wyższy niż ogólna stopa bezrobocia w UE; podkreśla, że dla młodzieży zasadnicze znaczenie ma uzupełnienie środków aktywizacji zawodowej o stałe wsparcie, w tym dostęp do zintegrowanych usług społecznych, mieszkań i wsparcia w zakresie zdrowia psychicznego, aby zapewnić nieprzerwany udział tych osób w edukacji lub zatrudnieniu; podkreśla, że państwa członkowskie muszą inwestować we wzmocnioną gwarancję dla młodzieży, aby zapewnić wysokiej jakości i terminowe wsparcie wszystkim młodym ludziom niekształcącym się, niepracującym ani nieszkolącym się (młodzież NEET) w wieku poniżej 30 lat; wzywa państwa członkowskie do wykorzystania wzmocnionej gwarancji dla młodzieży jako narzędzia wspierającego osoby opuszczające system opieki i zapobiegającego nagłej utracie wsparcia w związku z wyjściem z systemu opieki („</w:t>
      </w:r>
      <w:proofErr w:type="spellStart"/>
      <w:r w:rsidR="00ED6A16" w:rsidRPr="007D5CCA">
        <w:t>care</w:t>
      </w:r>
      <w:proofErr w:type="spellEnd"/>
      <w:r w:rsidR="00ED6A16" w:rsidRPr="007D5CCA">
        <w:t xml:space="preserve"> </w:t>
      </w:r>
      <w:proofErr w:type="spellStart"/>
      <w:r w:rsidR="00ED6A16" w:rsidRPr="007D5CCA">
        <w:t>cliff</w:t>
      </w:r>
      <w:proofErr w:type="spellEnd"/>
      <w:r w:rsidR="00ED6A16" w:rsidRPr="007D5CCA">
        <w:t xml:space="preserve">”), w tym przez dostęp do poradnictwa zawodowego; </w:t>
      </w:r>
    </w:p>
    <w:p w14:paraId="7448C1DB" w14:textId="76D2079D" w:rsidR="00984A10" w:rsidRPr="007D5CCA" w:rsidRDefault="00984A10" w:rsidP="00ED6A16">
      <w:pPr>
        <w:pStyle w:val="NormalHanging12a"/>
      </w:pPr>
      <w:r>
        <w:t>8</w:t>
      </w:r>
      <w:r w:rsidRPr="00984A10">
        <w:t>.</w:t>
      </w:r>
      <w:r w:rsidRPr="00984A10">
        <w:tab/>
        <w:t>wzywa Komisję i państwa członkowskie, aby w ramach europejskiego semestru promowały wysokiej jakości i sprawiedliwie płatne staże oraz zapobiegały ich niewłaściwemu wykorzystywaniu jako substytutu zwykłego zatrudnienia; apeluje, aby przyszła dyrektywa w sprawie poprawy warunków pracy stażystów</w:t>
      </w:r>
      <w:r>
        <w:rPr>
          <w:rStyle w:val="FootnoteReference"/>
        </w:rPr>
        <w:footnoteReference w:id="7"/>
      </w:r>
      <w:r w:rsidRPr="00984A10">
        <w:t xml:space="preserve"> była ambitna i kompleksowa oraz zapewniała pełną ochronę praw stażystów, w tym aby w razie naruszenia praw podstawowych możliwe było zakończenie stażu bez negatywnych konsekwencji, a także apeluje o szybkie zakończenie negocjacji;</w:t>
      </w:r>
    </w:p>
    <w:p w14:paraId="09C8F4AC" w14:textId="5D465D0A" w:rsidR="00ED6A16" w:rsidRPr="007D5CCA" w:rsidRDefault="00984A10" w:rsidP="00ED6A16">
      <w:pPr>
        <w:pStyle w:val="NormalHanging12a"/>
      </w:pPr>
      <w:r>
        <w:t>9</w:t>
      </w:r>
      <w:r w:rsidR="00ED6A16" w:rsidRPr="007D5CCA">
        <w:t>.</w:t>
      </w:r>
      <w:r w:rsidR="00ED6A16" w:rsidRPr="007D5CCA">
        <w:tab/>
        <w:t>uważa, że potrzebne są działania na szczeblu UE i państw członkowskich, aby zapobiec utrzymującemu się wysokiemu poziomowi ubóstwa i wykluczenia społecznego oraz rozwiązać ten problem, w związku z czym z zadowoleniem przyjmuje ogłoszenie pierwszej strategii UE na rzecz walki z ubóstwem; uważa, że strategia ta musi zapewniać kompleksowe podejście do eliminowania podstawowych przyczyn i wielowymiarowych aspektów ubóstwa i wykluczenia społecznego, obejmujące konkretne działania, solidny przydział środków budżetowych, jasne cele, kamienie milowe i środki strukturalne, przy jednoczesnym zapewnieniu zdecydowanego wdrażania i monitorowania; wzywa państwa członkowskie do wdrożenia dyrektywy w sprawie adekwatnych wynagrodzeń minimalnych</w:t>
      </w:r>
      <w:r w:rsidR="00ED6A16" w:rsidRPr="007D5CCA">
        <w:rPr>
          <w:vertAlign w:val="superscript"/>
        </w:rPr>
        <w:footnoteReference w:id="8"/>
      </w:r>
      <w:r w:rsidR="00ED6A16" w:rsidRPr="007D5CCA">
        <w:t xml:space="preserve"> w celu zwalczania ubóstwa osób pracujących i zachęcania do podjęcia pracy; apeluje o to, by w strategii UE na rzecz walki z ubóstwem skoncentrować się na walce z ubóstwem dzieci, aby przerwać cykl ubóstwa; wzywa państwa członkowskie do pełnego wdrożenia zalecenia Rady w sprawie odpowiedniego dochodu minimalnego</w:t>
      </w:r>
      <w:r w:rsidR="00ED6A16" w:rsidRPr="007D5CCA">
        <w:rPr>
          <w:vertAlign w:val="superscript"/>
        </w:rPr>
        <w:footnoteReference w:id="9"/>
      </w:r>
      <w:r w:rsidR="00ED6A16" w:rsidRPr="007D5CCA">
        <w:t xml:space="preserve">; </w:t>
      </w:r>
    </w:p>
    <w:p w14:paraId="7D5F3350" w14:textId="6F6C2158" w:rsidR="00ED6A16" w:rsidRPr="007D5CCA" w:rsidRDefault="00984A10" w:rsidP="00ED6A16">
      <w:pPr>
        <w:pStyle w:val="NormalHanging12a"/>
      </w:pPr>
      <w:r>
        <w:lastRenderedPageBreak/>
        <w:t>10</w:t>
      </w:r>
      <w:r w:rsidR="00ED6A16" w:rsidRPr="007D5CCA">
        <w:t>.</w:t>
      </w:r>
      <w:r w:rsidR="00ED6A16" w:rsidRPr="007D5CCA">
        <w:tab/>
        <w:t>przypomina, jak ważna jest poprawa dostępu osób samozatrudnionych do ochrony socjalnej, i wzywa Komisję, aby wykorzystała proces europejskiego semestru do monitorowania wdrażania przez państwa członkowskie na szczeblu krajowym zalecenia Rady w sprawie dostępu pracowników oraz osób samozatrudnionych do ochrony socjalnej</w:t>
      </w:r>
      <w:r w:rsidR="00ED6A16" w:rsidRPr="007D5CCA">
        <w:rPr>
          <w:rStyle w:val="FootnoteReference"/>
        </w:rPr>
        <w:footnoteReference w:id="10"/>
      </w:r>
      <w:r w:rsidR="00ED6A16" w:rsidRPr="007D5CCA">
        <w:t>, w tym w ramach zaleceń dla poszczególnych krajów; przypomina, że ponieważ odsetek osób samozatrudnionych w sektorze kultury i sektorze kreatywnym jest ponad dwukrotnie wyższy niż wśród ogółu społeczeństwa, potrzebne są ukierunkowane środki dla tego sektora; w tym kontekście z zadowoleniem przyjmuje zapowiedź unijnej karty artystów, której celem jest podkreślenie głównych podstaw i zobowiązań dotyczących sprawiedliwych warunków pracy w tym sektorze, ale wzywa Komisję do przyspieszenia jej publikacji, tak by nastąpiła w 2026 r., ponieważ są to problemy utrzymujące się od dawna;</w:t>
      </w:r>
    </w:p>
    <w:p w14:paraId="6B8F93EF" w14:textId="4655BE98" w:rsidR="00ED6A16" w:rsidRPr="007D5CCA" w:rsidRDefault="00984A10" w:rsidP="00ED6A16">
      <w:pPr>
        <w:pStyle w:val="NormalHanging12a"/>
      </w:pPr>
      <w:r>
        <w:t>11</w:t>
      </w:r>
      <w:r w:rsidR="00ED6A16" w:rsidRPr="007D5CCA">
        <w:t>.</w:t>
      </w:r>
      <w:r w:rsidR="00ED6A16" w:rsidRPr="007D5CCA">
        <w:tab/>
        <w:t>ubolewa, że cele unijnych ram strategicznych dotyczących Romów nie są aktywniej realizowane w państwach członkowskich i że nie poświęca się im więcej uwagi w procesie europejskiego semestru, w szczególności w zaleceniach dla poszczególnych krajów; podkreśla cel ram strategicznych, jakim jest redukcja o połowę luki w zatrudnieniu między Romami a ogółem ludności i zapewnienie, by do 2030 r. co najmniej 60 % Romów wykonywało pracę zarobkową; wzywa państwa członkowskie do przyjęcia zintegrowanego podejścia ukierunkowanego na kwestie równouprawnienia oraz do dopilnowania, aby publiczne strategie polityczne i usługi skutecznie docierały do wszystkich Romów, również tych mieszkających na obszarach oddalonych i wiejskich;</w:t>
      </w:r>
    </w:p>
    <w:p w14:paraId="7E2B2B0F" w14:textId="627D9CCA" w:rsidR="00ED6A16" w:rsidRPr="007D5CCA" w:rsidRDefault="00984A10" w:rsidP="00ED6A16">
      <w:pPr>
        <w:pStyle w:val="NormalHanging12a"/>
      </w:pPr>
      <w:r>
        <w:t>12</w:t>
      </w:r>
      <w:r w:rsidR="00ED6A16" w:rsidRPr="007D5CCA">
        <w:t>.</w:t>
      </w:r>
      <w:r w:rsidR="00ED6A16" w:rsidRPr="007D5CCA">
        <w:tab/>
        <w:t xml:space="preserve">z zaniepokojeniem przypomina o utrzymującej się luce w zatrudnieniu osób z niepełnosprawnościami wynoszącej około 24 %, a z drugiej strony o celu UE, jakim jest przejście od opieki instytucjonalnej do opieki opartej na społeczności lub rodzinie dla wszystkich zainteresowanych osób; wzywa Komisję do zajęcia się w ramach europejskiego semestru problemem luki w zatrudnieniu osób z niepełnosprawnościami, w tym w zaleceniach dla poszczególnych krajów, oraz do aktualizacji strategii UE na rzecz praw osób z niepełnosprawnościami na lata 2021–2030 zgodnie z Konwencją ONZ o prawach osób niepełnosprawnych, za pomocą nowych inicjatyw przewodnich, w tym europejskiej gwarancji zatrudnienia i umiejętności dla osób z niepełnosprawnościami; ponawia apel do Komisji o przedstawienie planu działania na rzecz </w:t>
      </w:r>
      <w:proofErr w:type="spellStart"/>
      <w:r w:rsidR="00ED6A16" w:rsidRPr="007D5CCA">
        <w:t>deinstytucjonalizacji</w:t>
      </w:r>
      <w:proofErr w:type="spellEnd"/>
      <w:r w:rsidR="00ED6A16" w:rsidRPr="007D5CCA">
        <w:t xml:space="preserve"> obejmującego wszystkie grupy nadal przebywające w placówkach opiekuńczych, w tym dzieci, osoby z niepełnosprawnościami, osoby cierpiące na problemy ze zdrowiem psychicznym i osoby doświadczające bezdomności; podkreśla, że postępy w </w:t>
      </w:r>
      <w:proofErr w:type="spellStart"/>
      <w:r w:rsidR="00ED6A16" w:rsidRPr="007D5CCA">
        <w:t>deinstytucjonalizacji</w:t>
      </w:r>
      <w:proofErr w:type="spellEnd"/>
      <w:r w:rsidR="00ED6A16" w:rsidRPr="007D5CCA">
        <w:t xml:space="preserve"> należy monitorować w ramach europejskiego semestru, i wzywa państwa członkowskie do pełnego wykorzystania EFS+ oraz innych funduszy unijnych i krajowych w celu sfinalizowania tego procesu, rozwoju usług na poziomie społeczności lokalnych i inwestowania w profilaktykę;</w:t>
      </w:r>
    </w:p>
    <w:p w14:paraId="591FECBD" w14:textId="07F4EDD8" w:rsidR="00ED6A16" w:rsidRPr="007D5CCA" w:rsidRDefault="00984A10" w:rsidP="00ED6A16">
      <w:pPr>
        <w:pStyle w:val="NormalHanging12a"/>
      </w:pPr>
      <w:r>
        <w:t>13</w:t>
      </w:r>
      <w:r w:rsidR="00ED6A16" w:rsidRPr="007D5CCA">
        <w:t>.</w:t>
      </w:r>
      <w:r w:rsidR="00ED6A16" w:rsidRPr="007D5CCA">
        <w:tab/>
        <w:t xml:space="preserve">z zadowoleniem przyjmuje stałe włączenie ram konwergencji społecznej do europejskiego semestru; podkreśla, że wraz z tablicą wskaźników społecznych mają one duże znaczenie dla identyfikacji zagrożeń i śledzenia postępów w pozytywnej konwergencji społecznej, zmniejszania nierówności, wzmacniania systemów ochrony socjalnej oraz propagowania godnych warunków pracy i środków wsparcia w celu zapewnienia sprawiedliwej transformacji; wzywa Komisję do dalszego rozwijania </w:t>
      </w:r>
      <w:r w:rsidR="00ED6A16" w:rsidRPr="007D5CCA">
        <w:lastRenderedPageBreak/>
        <w:t>innowacyjnych narzędzi analizy ilościowej i jakościowej w nowych ramach, aby optymalnie wykorzystać je w przyszłych cyklach europejskiego semestru; wzywa Komisję do przeanalizowania na drugim etapie analizy zagrożeń dla pozytywnej konwergencji społecznej podkreślonych we wspólnym sprawozdaniu o zatrudnieniu na 2025 r., w tym wyników w zakresie zatrudnienia grup niedostatecznie reprezentowanych, wczesnego kończenia nauki i uczenia się dorosłych oraz ubóstwa, a także do omówienia z zainteresowanymi państwami członkowskimi środków podjętych lub planowanych w celu przeciwdziałania tym zagrożeniom; zwraca uwagę, że sprostanie wyzwaniom określonym we wspólnym sprawozdaniu o zatrudnieniu przyczyni się do osiągnięcia pozytywnej konwergencji społecznej;</w:t>
      </w:r>
    </w:p>
    <w:p w14:paraId="38C9E61A" w14:textId="5A551FA1" w:rsidR="00ED6A16" w:rsidRPr="007D5CCA" w:rsidRDefault="00984A10" w:rsidP="00ED6A16">
      <w:pPr>
        <w:pStyle w:val="NormalHanging12a"/>
      </w:pPr>
      <w:r>
        <w:t>14</w:t>
      </w:r>
      <w:r w:rsidR="00ED6A16" w:rsidRPr="007D5CCA">
        <w:t>.</w:t>
      </w:r>
      <w:r w:rsidR="00ED6A16" w:rsidRPr="007D5CCA">
        <w:tab/>
        <w:t xml:space="preserve">wzywa Komisję do udoskonalenia i aktualizacji tablicy wskaźników społecznych, tak aby odzwierciedlała ona czynniki i skutki nierówności, w tym równe szanse, wysokiej jakości zatrudnienie, podział bogactwa, dostęp do usług publicznych i społecznych, odpowiednie emerytury, mieszkalnictwo i bezdomność, zdrowie psychiczne, dyskryminację oraz społeczne skutki degradacji środowiska i zmiany klimatu; wzywa Komisję, by traktowała ubóstwo pracujących jako sygnał ostrzegawczy na tablicy wskaźników społecznych oraz by zaproponowała zalecenia dla poszczególnych krajów w przypadku utrzymywania się takich tendencji; podkreśla potrzebę zajęcia się wyzwaniami oznaczonymi w tabeli wyników jako „krytyczne” lub „wymagające obserwacji”, w tym wczesnym kończeniem nauki, przeciążeniem wydatkami mieszkaniowymi, wpływem transferów socjalnych, luką w zatrudnieniu osób z niepełnosprawnościami, niezaspokojonymi potrzebami w zakresie opieki medycznej i opieki nad dziećmi, podstawowych umiejętności cyfrowych i ubóstwa dzieci zgłoszonymi na podstawie subiektywnej oceny; wzywa do uwzględnienia wskaźnika postępu społecznego i wskaźnika równouprawnienia płci w celu lepszego pomiaru nierówności, dostępu do oferowanych możliwości i dobrostanu z wykorzystaniem danych </w:t>
      </w:r>
      <w:proofErr w:type="spellStart"/>
      <w:r w:rsidR="00ED6A16" w:rsidRPr="007D5CCA">
        <w:t>zdezagregowanych</w:t>
      </w:r>
      <w:proofErr w:type="spellEnd"/>
      <w:r w:rsidR="00ED6A16" w:rsidRPr="007D5CCA">
        <w:t>; podkreśla, że potrzebne są przedstawiane terminowo, zharmonizowane i przejrzyste dane i metodyka w celu poprawy kształtowania polityki opartej na dowodach i ukierunkowanych inwestycji społecznych oraz dostosowania tablicy wskaźników społecznych do wszystkich 20 zasad Europejskiego filaru praw socjalnych;</w:t>
      </w:r>
    </w:p>
    <w:p w14:paraId="348D4C50" w14:textId="0EAB4B1E" w:rsidR="00ED6A16" w:rsidRPr="007D5CCA" w:rsidRDefault="00984A10" w:rsidP="00ED6A16">
      <w:pPr>
        <w:pStyle w:val="NormalHanging12a"/>
      </w:pPr>
      <w:r>
        <w:t>15</w:t>
      </w:r>
      <w:r w:rsidR="00ED6A16" w:rsidRPr="007D5CCA">
        <w:t>.</w:t>
      </w:r>
      <w:r w:rsidR="00ED6A16" w:rsidRPr="007D5CCA">
        <w:tab/>
        <w:t xml:space="preserve">przypomina, że wskaźnik zagrożenia ubóstwem lub wykluczeniem społecznym (AROPE) nie odzwierciedla w wystarczającym stopniu podstawowych przyczyn ubóstwa i złożonych nierówności, w szczególności integracji osób mieszkających poza prywatnymi gospodarstwami domowymi, jakościowych aspektów ubóstwa i życiowych doświadczeń marginalizacji, przy jednoczesnym uwzględnieniu faktu, że ubóstwo to więcej niż niewystarczające dochody lub deprywacja materialna; wzywa Komitet Ochrony Socjalnej do podjęcia działań w celu aktualizacji miary statystycznej AROPE, tak aby rozszerzyć jej zakres o solidniejsze, bardziej szczegółowe i wielowymiarowe zdefiniowanie ubóstwa i wykluczenia społecznego; </w:t>
      </w:r>
    </w:p>
    <w:p w14:paraId="2BB55CE0" w14:textId="5C6D7964" w:rsidR="00ED6A16" w:rsidRPr="007D5CCA" w:rsidRDefault="00984A10" w:rsidP="00ED6A16">
      <w:pPr>
        <w:pStyle w:val="NormalHanging12a"/>
      </w:pPr>
      <w:r>
        <w:t>16</w:t>
      </w:r>
      <w:r w:rsidR="00ED6A16" w:rsidRPr="007D5CCA">
        <w:t>.</w:t>
      </w:r>
      <w:r w:rsidR="00ED6A16" w:rsidRPr="007D5CCA">
        <w:tab/>
        <w:t xml:space="preserve">przypomina, że inwestycje społeczne mogą mieć pozytywny wpływ na wzrost gospodarczy, wydajność i konkurencyjność, a tym samym wspierać stabilność fiskalną przy jednoczesnym propagowaniu pozytywnej konwergencji społecznej, warunków życia i pracy oraz integracji grup szczególnie wrażliwych; wzywa Komisję i państwa członkowskie do traktowania inwestycji społecznych jako podstawy zrównoważonego wzrostu i do skoncentrowania się na inwestycjach, które okazały się skuteczne pod względem wzrostu gospodarczego, wydajności, jakości miejsc pracy i zwiększonego uczestnictwa w rynku pracy; wzywa państwa członkowskie do pełnego i </w:t>
      </w:r>
      <w:r w:rsidR="00ED6A16" w:rsidRPr="007D5CCA">
        <w:lastRenderedPageBreak/>
        <w:t xml:space="preserve">ukierunkowanego wykorzystania Instrumentu na rzecz Odbudowy i Zwiększania Odporności do 31 grudnia 2026 r. w celu sprostania wyzwaniom określonym w zaleceniach dla poszczególnych krajów; zwraca się do Komisji o przedstawienie wytycznych dotyczących wykorzystania inwestycji prywatnych i partnerstw publiczno-prywatnych do likwidowania luk w infrastrukturze społecznej; z zadowoleniem przyjmuje uruchomienie centrum wiedzy o inwestycjach społecznych w celu udoskonalenia wzajemnego uczenia się i pomocy technicznej, dalszej poprawy terminowości i dostępności wskaźników społecznych, zmniejszenia opóźnień w ocenie tendencji dotyczących ubóstwa i nierówności oraz poprawy dostępu państw członkowskich do danych na potrzeby oceny polityki i oceny skutków; </w:t>
      </w:r>
    </w:p>
    <w:p w14:paraId="67B8BF9C" w14:textId="6ED6D3B5" w:rsidR="00ED6A16" w:rsidRPr="007D5CCA" w:rsidRDefault="00984A10" w:rsidP="00ED6A16">
      <w:pPr>
        <w:pStyle w:val="NormalHanging12a"/>
      </w:pPr>
      <w:r>
        <w:t>17</w:t>
      </w:r>
      <w:r w:rsidR="00ED6A16" w:rsidRPr="007D5CCA">
        <w:t>.</w:t>
      </w:r>
      <w:r w:rsidR="00ED6A16" w:rsidRPr="007D5CCA">
        <w:tab/>
        <w:t xml:space="preserve">przypomina, że gospodarka społeczna jest kluczowym elementem inwestycji społecznych i odgrywa wyjątkową rolę w opracowywaniu </w:t>
      </w:r>
      <w:proofErr w:type="spellStart"/>
      <w:r w:rsidR="00ED6A16" w:rsidRPr="007D5CCA">
        <w:t>inkluzywnych</w:t>
      </w:r>
      <w:proofErr w:type="spellEnd"/>
      <w:r w:rsidR="00ED6A16" w:rsidRPr="007D5CCA">
        <w:t xml:space="preserve"> i innowacyjnych rozwiązań na szczeblu lokalnym, przyczyniając się do tworzenia wysokiej jakości miejsc pracy, do świadczenia przystępnych cenowo i dostępnych usług społecznych i usług świadczonych w pobliżu miejsca zamieszkania oraz do transformacji ekologicznej i cyfrowej; zwraca uwagę, że poparcie publiczne dla gospodarki społecznej jest wysokie – 88 % respondentów badania Eurobarometr popiera strategie i przepisy wspierające tę gospodarkę; wzywa Komisję i państwa członkowskie do wzmocnienia warunków ramowych poprzez ułatwienie dostępu do finansowania, zapewnienie możliwości budowania zdolności i ich widoczności, a także do odzwierciedlenia celów planu działania na rzecz gospodarki społecznej w europejskim semestrze, w tym poprzez zalecenia dla poszczególnych krajów i ukierunkowane wykorzystanie funduszy UE;</w:t>
      </w:r>
    </w:p>
    <w:p w14:paraId="359BB364" w14:textId="77E8F82B" w:rsidR="00ED6A16" w:rsidRPr="007D5CCA" w:rsidRDefault="00984A10" w:rsidP="00ED6A16">
      <w:pPr>
        <w:pStyle w:val="NormalHanging12a"/>
      </w:pPr>
      <w:r>
        <w:t>18</w:t>
      </w:r>
      <w:r w:rsidR="00ED6A16" w:rsidRPr="007D5CCA">
        <w:t>.</w:t>
      </w:r>
      <w:r w:rsidR="00ED6A16" w:rsidRPr="007D5CCA">
        <w:tab/>
        <w:t>podkreśla, że plan Komisji dotyczący przystępnych cenowo mieszkań powinien zostać lepiej włączony do europejskiego semestru, przy czym należy położyć większy nacisk w zaleceniach dla poszczególnych krajów na przystępne cenowo, godne i zrównoważone mieszkania, w szczególności dla grup o niskich i średnich dochodach, a także dla osób z niepełnosprawnościami i osób starszych; wzywa do ściślejszego monitorowania postępów państw członkowskich w zapewnianiu dostępu do odpowiednich, bezpiecznych i wolnych od segregacji mieszkań społecznościom romskim doświadczającym skrajnego ubóstwa; przypomina sygnatariuszom Deklaracji lizbońskiej w sprawie europejskiej platformy zwalczania bezdomności o celu, jakim jest wyeliminowanie bezdomności do 2030 r.; wzywa państwa członkowskie do połączenia środków, które zwiększają podaż, obniżają koszty budowy i rozwiązują problem niedoboru siły roboczej w sektorze budowlanym i mieszkaniowym, ze wsparciem po stronie popytu, które umożliwia ludziom, w szczególności gospodarstwom domowym znajdującym się w trudnej sytuacji, dostęp do przystępnych cenowo, godnych i zrównoważonych mieszkań; podkreśla, że krajowe średniookresowe plany fiskalno-strukturalne i strategie inwestycyjne powinny wspierać mieszkania socjalne i przystępne cenowo, zapobieganie bezdomności i jej ograniczanie oraz modernizację budynków w celu zmniejszenia ubóstwa energetycznego i poprawy warunków mieszkaniowych, w szczególności w przypadku gospodarstw domowych znajdujących się w trudnej sytuacji; przypomina, że Społeczny Fundusz Klimatyczny zapewni państwom członkowskim finansowanie od 2026 r. w celu wsparcia gospodarstw domowych i mikroprzedsiębiorstw znajdujących się w trudnej sytuacji;</w:t>
      </w:r>
    </w:p>
    <w:p w14:paraId="313DD680" w14:textId="3F85828E" w:rsidR="00ED6A16" w:rsidRPr="007D5CCA" w:rsidRDefault="00984A10" w:rsidP="00ED6A16">
      <w:pPr>
        <w:pStyle w:val="NormalHanging12a"/>
      </w:pPr>
      <w:r>
        <w:t>19</w:t>
      </w:r>
      <w:r w:rsidR="00ED6A16" w:rsidRPr="007D5CCA">
        <w:t>.</w:t>
      </w:r>
      <w:r w:rsidR="00ED6A16" w:rsidRPr="007D5CCA">
        <w:tab/>
        <w:t xml:space="preserve">podkreśla, że inwestycje w wysokiej jakości, dostępną edukację i uczenie się przez całe życie są strategiczną inwestycją społeczną, która ma zasadnicze znaczenie dla spójności, włączenia społecznego i przygotowania siły roboczej do transformacji </w:t>
      </w:r>
      <w:r w:rsidR="00ED6A16" w:rsidRPr="007D5CCA">
        <w:lastRenderedPageBreak/>
        <w:t xml:space="preserve">ekologicznej i cyfrowej oraz potrzeb UE związanych z obronnością, w tym poprzez kształcenie i szkolenie zawodowe oraz przygotowanie zawodowe; z zadowoleniem przyjmuje wniosek dotyczący zalecenia Rady w sprawie kapitału ludzkiego w UE i poświęcenie w nim uwagi rozwiązaniu problemu niedoboru umiejętności, wykorzystaniu gromadzenia informacji na temat umiejętności do opracowywania strategii na rzecz umiejętności oraz wypracowania szerokiego zestawu umiejętności podstawowych, w tym umiejętności cyfrowych, obywatelskich i związanych ze sztuczną inteligencją, aby przygotować obywateli do współczesnego życia; uznaje, że niewystarczające inwestycje w kapitał ludzki hamują innowacje, konkurencyjność i zdolność ludzi do pełnego wykorzystania ich potencjału; </w:t>
      </w:r>
    </w:p>
    <w:p w14:paraId="2C5AB7CE" w14:textId="7FEE6204" w:rsidR="00ED6A16" w:rsidRPr="007D5CCA" w:rsidRDefault="00984A10" w:rsidP="00ED6A16">
      <w:pPr>
        <w:pStyle w:val="NormalHanging12a"/>
      </w:pPr>
      <w:r>
        <w:t>20</w:t>
      </w:r>
      <w:r w:rsidR="00ED6A16" w:rsidRPr="007D5CCA">
        <w:t>.</w:t>
      </w:r>
      <w:r w:rsidR="00ED6A16" w:rsidRPr="007D5CCA">
        <w:tab/>
        <w:t xml:space="preserve">podkreśla, że inicjatywy UE dotyczące niedoboru wykwalifikowanej siły roboczej muszą zapewniać większe wsparcie dla kompleksowych, włączających systemów kształcenia i szkolenia, w tym poprzez aktywną politykę rynku pracy, indywidualne rachunki szkoleniowe i </w:t>
      </w:r>
      <w:proofErr w:type="spellStart"/>
      <w:r w:rsidR="00ED6A16" w:rsidRPr="007D5CCA">
        <w:t>mikropoświadczenia</w:t>
      </w:r>
      <w:proofErr w:type="spellEnd"/>
      <w:r w:rsidR="00ED6A16" w:rsidRPr="007D5CCA">
        <w:t xml:space="preserve">, a także wzmocnienie procedur walidacji uczenia się </w:t>
      </w:r>
      <w:proofErr w:type="spellStart"/>
      <w:r w:rsidR="00ED6A16" w:rsidRPr="007D5CCA">
        <w:t>pozaformalnego</w:t>
      </w:r>
      <w:proofErr w:type="spellEnd"/>
      <w:r w:rsidR="00ED6A16" w:rsidRPr="007D5CCA">
        <w:t xml:space="preserve"> i nieformalnego; podkreśla ponadto znaczenie poprawy i ułatwienia sprawiedliwej mobilności pracowników w UE oraz rolę legalnej migracji i uznawania zagranicznych kwalifikacji w rozwiązywaniu problemu niedoboru wykwalifikowanej siły roboczej; wyraża zaniepokojenie faktem, że udział osób dorosłych w szkoleniach pozostaje znacznie poniżej celu 60 % w większości państw członkowskich, zwłaszcza wśród pracowników o niskich kwalifikacjach, starszych pracowników, obywateli państw trzecich i osób z niepełnosprawnościami; wzywa Komisję do przedstawienia konkretnych rozwiązań problemu niedoboru wykwalifikowanej siły roboczej oraz do zajęcia się utrzymującymi się wyzwaniami w przyszłym pakiecie na rzecz sprawiedliwej mobilności pracowników, tak aby przyszła inicjatywa na rzecz przenoszenia umiejętności wyeliminowała obecne przeszkody w uznawaniu umiejętności;</w:t>
      </w:r>
    </w:p>
    <w:p w14:paraId="2F4A225E" w14:textId="77332AE3" w:rsidR="00ED6A16" w:rsidRPr="007D5CCA" w:rsidRDefault="00984A10" w:rsidP="00ED6A16">
      <w:pPr>
        <w:pStyle w:val="NormalHanging12a"/>
      </w:pPr>
      <w:r>
        <w:t>21</w:t>
      </w:r>
      <w:r w:rsidR="00ED6A16" w:rsidRPr="007D5CCA">
        <w:t>.</w:t>
      </w:r>
      <w:r w:rsidR="00ED6A16" w:rsidRPr="007D5CCA">
        <w:tab/>
        <w:t>jest głęboko przekonany, że indywidualne prawo do szkolenia pracowników w godzinach pracy, które usuwa główne bariery w dostępie do szkoleń, może zapewnić wysoką jakość podnoszenia lub zmiany kwalifikacji, szkolenie pracowników i wsparcie rozwoju kariery w celu zapewnienia pracodawcom przewidywalnej i stabilnej podaży wykwalifikowanych pracowników; podkreśla, że należy zająć się barierą kosztową poprzez zapewnienie pracownikom bezpłatnych szkoleń wspieranych finansowaniem, zachętami podatkowymi i partnerstwami; podkreśla, że instytucje krajowe i partnerzy społeczni są odpowiedzialni za szkolenie pracowników, i wskazuje na ich zasadniczą rolę we wdrażaniu prawa do szkolenia; wzywa w związku z tym państwa członkowskie do priorytetowego traktowania i promowania programów szkoleniowych opracowywanych wspólnie przez pracowników i ich pracodawców, tak aby podnoszenie i zmiana kwalifikacji odpowiadały rzeczywistemu popytowi rynkowemu i przyczyniały się do rozwoju kariery; wzywa Komisję do opracowania i wydania wytycznych dotyczących sposobu, w jaki partnerstwa publiczno-prywatne między państwami członkowskimi a przedsiębiorstwami mogą finansować szkolenia, przekwalifikowanie i podnoszenie kwalifikacji pracowników, w szczególności prawo do szkolenia dla poszczególnych pracowników;</w:t>
      </w:r>
    </w:p>
    <w:p w14:paraId="4A154365" w14:textId="010134FD" w:rsidR="00ED6A16" w:rsidRPr="007D5CCA" w:rsidRDefault="00984A10" w:rsidP="00ED6A16">
      <w:pPr>
        <w:pStyle w:val="NormalHanging12a"/>
      </w:pPr>
      <w:r>
        <w:t>22</w:t>
      </w:r>
      <w:r w:rsidR="00ED6A16" w:rsidRPr="007D5CCA">
        <w:t>.</w:t>
      </w:r>
      <w:r w:rsidR="00ED6A16" w:rsidRPr="007D5CCA">
        <w:tab/>
        <w:t xml:space="preserve">podkreśla, że sprawiedliwość międzypokoleniowa musi stać się strukturalnym elementem europejskiego semestru; wzywa Komisję, aby w ramach strategii na rzecz sprawiedliwości międzypokoleniowej włączyła do ram oceny europejskiego semestru wskaźniki dotyczące dobrostanu młodzieży i osób starszych, dostępu do wysokiej jakości miejsc pracy, przystępności cenowej mieszkań, dostępności, w tym dostępności </w:t>
      </w:r>
      <w:r w:rsidR="00ED6A16" w:rsidRPr="007D5CCA">
        <w:lastRenderedPageBreak/>
        <w:t>fizycznej, adekwatności dochodu minimalnego i emerytur, dostępu do wysokiej jakości usług zdrowia psychicznego oraz wysokiej jakości edukacji i możliwości zdobywania umiejętności, a także aby oceniła długoterminowe i dystrybucyjne skutki zaleceń budżetowych i zaleceń dotyczących reform; wzywa Komisję do oceny długoterminowych skutków gospodarczych, środowiskowych i społecznych zaleceń politycznych, w tym niedoinwestowania, dla przyszłych pokoleń; podkreśla, że należy włączyć w większej mierze do europejskiego semestru kwestie transformacji demograficznej i dłuższego średniego trwania życia; podkreśla, że zmiany demograficzne wymagają strategii politycznych, których celem jest zwiększenie współczynnika aktywności zawodowej; podkreśla, że potrzebne są środki wspierające aktywne starzenie się i zapewniające długoterminową stabilność systemów emerytalnych i systemów opieki; uważa, że w zaleceniach dla poszczególnych krajów należy propagować emerytury zapewniające godne życie, dobrostan i dostęp do przystępnej cenowo opieki zdrowotnej i profilaktyki wysokiej jakości, dostępnej dla wszystkich;</w:t>
      </w:r>
    </w:p>
    <w:p w14:paraId="2CC74BF7" w14:textId="265A7E64" w:rsidR="00ED6A16" w:rsidRPr="007D5CCA" w:rsidRDefault="00984A10" w:rsidP="00ED6A16">
      <w:pPr>
        <w:pStyle w:val="NormalHanging12a"/>
      </w:pPr>
      <w:r>
        <w:t>23</w:t>
      </w:r>
      <w:r w:rsidR="00ED6A16" w:rsidRPr="007D5CCA">
        <w:t>.</w:t>
      </w:r>
      <w:r w:rsidR="00ED6A16" w:rsidRPr="007D5CCA">
        <w:tab/>
        <w:t>podkreśla, że w ramach europejskiego semestru wydatki na obronność muszą być planowane w sposób skoordynowany, skuteczny, przejrzysty i w kontekście europejskim, aby maksymalnie zwiększyć korzyści dla społeczeństwa; podkreśla, że inwestycje związane z bezpieczeństwem powinny koncentrować się na odporności społecznej, w tym na infrastrukturze przynoszącej duże korzyści cywilne, w zakresie ochrony socjalnej, edukacji obywatelskiej, odporności demokratycznej i ochrony przed dezinformacją, przy czym należy uznać, że stabilność społeczna i zaufanie demokratyczne są ważnymi składowymi europejskiej architektury bezpieczeństwa i muszą zostać odzwierciedlone w przeprowadzonej w ramach semestru analizie długoterminowych potrzeb dotyczących reform i inwestycji;</w:t>
      </w:r>
    </w:p>
    <w:p w14:paraId="74BA0723" w14:textId="78AF89CF" w:rsidR="00ED6A16" w:rsidRPr="007D5CCA" w:rsidRDefault="00984A10" w:rsidP="00ED6A16">
      <w:pPr>
        <w:pStyle w:val="NormalHanging12a"/>
      </w:pPr>
      <w:r>
        <w:t>24</w:t>
      </w:r>
      <w:r w:rsidR="00ED6A16" w:rsidRPr="007D5CCA">
        <w:t>.</w:t>
      </w:r>
      <w:r w:rsidR="00ED6A16" w:rsidRPr="007D5CCA">
        <w:tab/>
        <w:t>podkreśla, że zalecenia europejskiego semestru w 2026 r. będą miały kluczowe znaczenie dla kształtowania kolejnych wieloletnich ram finansowych; uważa, że reformy i inwestycje powinny być wybierane ze względu na wydajność i skuteczność, z jaką uwzględniają odpowiednie zalecenia dla poszczególnych krajów; ostrzega, że jeżeli finansowanie UE ma być powiązane z wytycznymi europejskiego semestru, wytyczne te muszą być społecznie zrównoważone w pełnej zgodności z Europejskim filarem praw socjalnych, a podmioty regionalne i lokalne muszą odgrywać ważną rolę w wydatkowaniu środków; z zaniepokojeniem odnotowuje zatem wniosek Komisji dotyczący wydatków socjalnych, który grozi osłabieniem uwagi skoncentrowanej na celach w zakresie zatrudnienia i cele społeczne, oraz wzywa do utworzenia odrębnego i wzmocnionego EFS+ obejmującego koncentrację tematyczną;</w:t>
      </w:r>
    </w:p>
    <w:p w14:paraId="1FB0C3B3" w14:textId="0146BA7C" w:rsidR="00ED6A16" w:rsidRPr="007D5CCA" w:rsidRDefault="00984A10" w:rsidP="00ED6A16">
      <w:pPr>
        <w:pStyle w:val="NormalHanging12a"/>
      </w:pPr>
      <w:r>
        <w:t>25</w:t>
      </w:r>
      <w:r w:rsidR="00ED6A16" w:rsidRPr="007D5CCA">
        <w:t>.</w:t>
      </w:r>
      <w:r w:rsidR="00ED6A16" w:rsidRPr="007D5CCA">
        <w:tab/>
        <w:t xml:space="preserve">uważa, że model społeczny UE stanowi integralną część jej konkurencyjności oraz że wysiłki zmierzające do uproszczenia obciążeń administracyjnych dla przedsiębiorstw muszą chronić i gwarantować prawa socjalne; podkreśla, że jakość miejsc pracy i konkurencyjność </w:t>
      </w:r>
      <w:proofErr w:type="spellStart"/>
      <w:r w:rsidR="00ED6A16" w:rsidRPr="007D5CCA">
        <w:t>pozacenowa</w:t>
      </w:r>
      <w:proofErr w:type="spellEnd"/>
      <w:r w:rsidR="00ED6A16" w:rsidRPr="007D5CCA">
        <w:t>, taka jak jakość produktów i usług, również może wspierać wydajność i adekwatne wynagrodzenia; podkreśla, że ważne jest zapewnienie większej jasności, proporcjonalności i pewności prawa, w szczególności dla małych i średnich przedsiębiorstw oraz samozatrudnionych specjalistów, oraz zwraca uwagę, że takie podejścia powinny respektować różnorodność modeli rynku pracy w państwach członkowskich, a jednocześnie wspierać zrównoważoną działalność gospodarczą i tworzenie wysokiej jakości miejsc pracy;</w:t>
      </w:r>
    </w:p>
    <w:p w14:paraId="5B5078C7" w14:textId="116CCEB0" w:rsidR="00ED6A16" w:rsidRPr="007D5CCA" w:rsidRDefault="00984A10" w:rsidP="00ED6A16">
      <w:pPr>
        <w:pStyle w:val="NormalHanging12a"/>
      </w:pPr>
      <w:r>
        <w:lastRenderedPageBreak/>
        <w:t>26</w:t>
      </w:r>
      <w:r w:rsidR="00ED6A16" w:rsidRPr="007D5CCA">
        <w:t>.</w:t>
      </w:r>
      <w:r w:rsidR="00ED6A16" w:rsidRPr="007D5CCA">
        <w:tab/>
        <w:t xml:space="preserve">popiera bardziej demokratyczny proces europejskiego semestru, w którym Parlament byłby mocno zaangażowany w określanie priorytetów polityki gospodarczej i społecznej oraz podejmowanie decyzji dotyczących zarządzania gospodarczego; podkreśla, że przy formułowaniu i monitorowaniu reform krajowych oraz podejmowaniu działań następczych ich dotyczących należy systematycznie angażować partnerów społecznych, organizacje społeczeństwa obywatelskiego oraz podmioty regionalne i lokalne, zapewniając im odpowiedni czas i przejrzystość; wzywa Komisję i państwa członkowskie do zapewnienia ich odpowiedniego zaangażowania na wszystkich etapach analizy, w tym w ramach konwergencji społecznej, w celu wzmocnienia odpowiedzialności i zapewnienia, aby prawa socjalne UE były faktycznie realizowane w terenie; podkreśla, że poszanowanie zasady pomocniczości i kompetencji krajowych pozostaje centralnym elementem europejskiego semestru; przypomina, że Komisja powinna dopilnować, aby w ramach europejskiego semestru i unijnych ram zarządzania gospodarczego oceniano wpływ zalecanych reform na równouprawnienie płci i integrację kobiet na rynku pracy, a także promować inwestycje w wysokiej jakości usługi publiczne i infrastrukturę opiekuńczą; </w:t>
      </w:r>
    </w:p>
    <w:p w14:paraId="39364076" w14:textId="1641ECCA" w:rsidR="00ED6A16" w:rsidRPr="007D5CCA" w:rsidRDefault="00984A10" w:rsidP="00ED6A16">
      <w:pPr>
        <w:pStyle w:val="NormalHanging12a"/>
      </w:pPr>
      <w:r>
        <w:t>27</w:t>
      </w:r>
      <w:r w:rsidR="00ED6A16" w:rsidRPr="007D5CCA">
        <w:t>.</w:t>
      </w:r>
      <w:r w:rsidR="00ED6A16" w:rsidRPr="007D5CCA">
        <w:tab/>
        <w:t>zwraca uwagę na brak przejrzystej metodyki formułowania zaleceń dla poszczególnych krajów oraz na brak jasności co do kryteriów stosowanych przy ich wyborze; ostrzega, że podważa to rozliczalność i grozi nierównym traktowaniem państw członkowskich; wzywa Komisję do zapewnienia pełnej przejrzystości procedur i wewnętrznego procesu decyzyjnego, w tym zaangażowanych dyrekcji generalnych, oraz do zwiększenia rozliczalności i wymiany informacji z Parlamentem; jest zaniepokojony, że przestrzeganie zaleceń dla poszczególnych krajów pozostaje na niskim poziomie; wzywa państwa członkowskie do lepszego uwzględniania zaleceń w dziedzinie polityki zatrudnienia i polityki społecznej; wzywa Komisję do wzmocnienia dialogu z państwami członkowskimi na temat wdrażania istniejących zaleceń i wytycznych dotyczących zatrudnienia, w tym działań następczych w związku z obecnymi i planowanymi działaniami politycznymi;</w:t>
      </w:r>
    </w:p>
    <w:p w14:paraId="7153C45C" w14:textId="7A25BEDC" w:rsidR="007D5CCA" w:rsidRPr="007D5CCA" w:rsidRDefault="00984A10" w:rsidP="007D5CCA">
      <w:pPr>
        <w:pStyle w:val="NormalHanging12a"/>
      </w:pPr>
      <w:r>
        <w:t>28</w:t>
      </w:r>
      <w:r w:rsidR="00ED6A16" w:rsidRPr="007D5CCA">
        <w:t>.</w:t>
      </w:r>
      <w:r w:rsidR="00ED6A16" w:rsidRPr="007D5CCA">
        <w:tab/>
        <w:t>zobowiązuje swoją przewodniczącą do przekazania niniejszej rezolucji Radzie i Komisji.</w:t>
      </w:r>
    </w:p>
    <w:p w14:paraId="22CD6DAB" w14:textId="156E2652" w:rsidR="00E365E1" w:rsidRPr="007D5CCA" w:rsidRDefault="00E365E1" w:rsidP="00D24D2C"/>
    <w:sectPr w:rsidR="00E365E1" w:rsidRPr="007D5CCA" w:rsidSect="007D5C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20788" w14:textId="77777777" w:rsidR="00D24D2C" w:rsidRPr="007D5CCA" w:rsidRDefault="00D24D2C">
      <w:r w:rsidRPr="007D5CCA">
        <w:separator/>
      </w:r>
    </w:p>
  </w:endnote>
  <w:endnote w:type="continuationSeparator" w:id="0">
    <w:p w14:paraId="66424A4F" w14:textId="77777777" w:rsidR="00D24D2C" w:rsidRPr="007D5CCA" w:rsidRDefault="00D24D2C">
      <w:r w:rsidRPr="007D5C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218F0" w14:textId="77777777" w:rsidR="00064002" w:rsidRPr="007D5C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3793" w14:textId="77777777" w:rsidR="00064002" w:rsidRPr="007D5C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223A" w14:textId="77777777" w:rsidR="00064002" w:rsidRPr="007D5C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54C4" w14:textId="77777777" w:rsidR="00D24D2C" w:rsidRPr="007D5CCA" w:rsidRDefault="00D24D2C">
      <w:r w:rsidRPr="007D5CCA">
        <w:separator/>
      </w:r>
    </w:p>
  </w:footnote>
  <w:footnote w:type="continuationSeparator" w:id="0">
    <w:p w14:paraId="21670177" w14:textId="77777777" w:rsidR="00D24D2C" w:rsidRPr="007D5CCA" w:rsidRDefault="00D24D2C">
      <w:r w:rsidRPr="007D5CCA">
        <w:continuationSeparator/>
      </w:r>
    </w:p>
  </w:footnote>
  <w:footnote w:id="1">
    <w:p w14:paraId="2B826360" w14:textId="6BEB1130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 xml:space="preserve">Dz.U. L, 2024/1263, 30.4.2024, ELI: </w:t>
      </w:r>
      <w:hyperlink r:id="rId1" w:history="1">
        <w:r w:rsidRPr="00984A10">
          <w:rPr>
            <w:rStyle w:val="Hyperlink"/>
            <w:sz w:val="24"/>
            <w:szCs w:val="24"/>
            <w:lang w:val="pl-PL"/>
          </w:rPr>
          <w:t>http://data.europa.eu/eli/reg/2024/1263/oj</w:t>
        </w:r>
      </w:hyperlink>
      <w:r w:rsidRPr="00984A10">
        <w:rPr>
          <w:sz w:val="24"/>
          <w:szCs w:val="24"/>
          <w:lang w:val="pl-PL"/>
        </w:rPr>
        <w:t>.</w:t>
      </w:r>
    </w:p>
  </w:footnote>
  <w:footnote w:id="2">
    <w:p w14:paraId="442B3237" w14:textId="64FBA10D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Komisja Europejska, „</w:t>
      </w:r>
      <w:proofErr w:type="spellStart"/>
      <w:r w:rsidRPr="00984A10">
        <w:rPr>
          <w:sz w:val="24"/>
          <w:szCs w:val="24"/>
          <w:lang w:val="pl-PL"/>
        </w:rPr>
        <w:t>Employment</w:t>
      </w:r>
      <w:proofErr w:type="spellEnd"/>
      <w:r w:rsidRPr="00984A10">
        <w:rPr>
          <w:sz w:val="24"/>
          <w:szCs w:val="24"/>
          <w:lang w:val="pl-PL"/>
        </w:rPr>
        <w:t xml:space="preserve"> and </w:t>
      </w:r>
      <w:proofErr w:type="spellStart"/>
      <w:r w:rsidRPr="00984A10">
        <w:rPr>
          <w:sz w:val="24"/>
          <w:szCs w:val="24"/>
          <w:lang w:val="pl-PL"/>
        </w:rPr>
        <w:t>social</w:t>
      </w:r>
      <w:proofErr w:type="spellEnd"/>
      <w:r w:rsidRPr="00984A10">
        <w:rPr>
          <w:sz w:val="24"/>
          <w:szCs w:val="24"/>
          <w:lang w:val="pl-PL"/>
        </w:rPr>
        <w:t xml:space="preserve"> </w:t>
      </w:r>
      <w:proofErr w:type="spellStart"/>
      <w:r w:rsidRPr="00984A10">
        <w:rPr>
          <w:sz w:val="24"/>
          <w:szCs w:val="24"/>
          <w:lang w:val="pl-PL"/>
        </w:rPr>
        <w:t>developments</w:t>
      </w:r>
      <w:proofErr w:type="spellEnd"/>
      <w:r w:rsidRPr="00984A10">
        <w:rPr>
          <w:sz w:val="24"/>
          <w:szCs w:val="24"/>
          <w:lang w:val="pl-PL"/>
        </w:rPr>
        <w:t xml:space="preserve"> in Europe (ESDE) 2024” [Zatrudnienie i kwestie społeczne w Europie w 2024 r.], wrzesień 2024 r.</w:t>
      </w:r>
    </w:p>
  </w:footnote>
  <w:footnote w:id="3">
    <w:p w14:paraId="483247BD" w14:textId="7493EC98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Dokument roboczy służb Komisji z 27 maja 2020 r. pt. „</w:t>
      </w:r>
      <w:proofErr w:type="spellStart"/>
      <w:r w:rsidRPr="00984A10">
        <w:rPr>
          <w:sz w:val="24"/>
          <w:szCs w:val="24"/>
          <w:lang w:val="pl-PL"/>
        </w:rPr>
        <w:t>Identifying</w:t>
      </w:r>
      <w:proofErr w:type="spellEnd"/>
      <w:r w:rsidRPr="00984A10">
        <w:rPr>
          <w:sz w:val="24"/>
          <w:szCs w:val="24"/>
          <w:lang w:val="pl-PL"/>
        </w:rPr>
        <w:t xml:space="preserve"> </w:t>
      </w:r>
      <w:proofErr w:type="spellStart"/>
      <w:r w:rsidRPr="00984A10">
        <w:rPr>
          <w:sz w:val="24"/>
          <w:szCs w:val="24"/>
          <w:lang w:val="pl-PL"/>
        </w:rPr>
        <w:t>Europe’s</w:t>
      </w:r>
      <w:proofErr w:type="spellEnd"/>
      <w:r w:rsidRPr="00984A10">
        <w:rPr>
          <w:sz w:val="24"/>
          <w:szCs w:val="24"/>
          <w:lang w:val="pl-PL"/>
        </w:rPr>
        <w:t xml:space="preserve"> </w:t>
      </w:r>
      <w:proofErr w:type="spellStart"/>
      <w:r w:rsidRPr="00984A10">
        <w:rPr>
          <w:sz w:val="24"/>
          <w:szCs w:val="24"/>
          <w:lang w:val="pl-PL"/>
        </w:rPr>
        <w:t>recovery</w:t>
      </w:r>
      <w:proofErr w:type="spellEnd"/>
      <w:r w:rsidRPr="00984A10">
        <w:rPr>
          <w:sz w:val="24"/>
          <w:szCs w:val="24"/>
          <w:lang w:val="pl-PL"/>
        </w:rPr>
        <w:t xml:space="preserve"> </w:t>
      </w:r>
      <w:proofErr w:type="spellStart"/>
      <w:r w:rsidRPr="00984A10">
        <w:rPr>
          <w:sz w:val="24"/>
          <w:szCs w:val="24"/>
          <w:lang w:val="pl-PL"/>
        </w:rPr>
        <w:t>needs</w:t>
      </w:r>
      <w:proofErr w:type="spellEnd"/>
      <w:r w:rsidRPr="00984A10">
        <w:rPr>
          <w:sz w:val="24"/>
          <w:szCs w:val="24"/>
          <w:lang w:val="pl-PL"/>
        </w:rPr>
        <w:t>” [Określenie potrzeb Europy w zakresie odbudowy] (</w:t>
      </w:r>
      <w:proofErr w:type="gramStart"/>
      <w:r w:rsidRPr="00984A10">
        <w:rPr>
          <w:sz w:val="24"/>
          <w:szCs w:val="24"/>
          <w:lang w:val="pl-PL"/>
        </w:rPr>
        <w:t>SWD(</w:t>
      </w:r>
      <w:proofErr w:type="gramEnd"/>
      <w:r w:rsidRPr="00984A10">
        <w:rPr>
          <w:sz w:val="24"/>
          <w:szCs w:val="24"/>
          <w:lang w:val="pl-PL"/>
        </w:rPr>
        <w:t>2020</w:t>
      </w:r>
      <w:r w:rsidR="00753621">
        <w:rPr>
          <w:sz w:val="24"/>
          <w:szCs w:val="24"/>
          <w:lang w:val="pl-PL"/>
        </w:rPr>
        <w:t>)</w:t>
      </w:r>
      <w:r w:rsidRPr="00984A10">
        <w:rPr>
          <w:sz w:val="24"/>
          <w:szCs w:val="24"/>
          <w:lang w:val="pl-PL"/>
        </w:rPr>
        <w:t>0098) towarzyszący komunikatowi Komisji pt. „Decydujący moment dla Europy: naprawa i przygotowanie na następną generację” (COM(2020)0456).</w:t>
      </w:r>
    </w:p>
  </w:footnote>
  <w:footnote w:id="4">
    <w:p w14:paraId="4BF6FCBE" w14:textId="0543F1EC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Europejski Instytut ds. Równości Kobiet i Mężczyzn, „</w:t>
      </w:r>
      <w:proofErr w:type="spellStart"/>
      <w:r w:rsidRPr="00984A10">
        <w:rPr>
          <w:sz w:val="24"/>
          <w:szCs w:val="24"/>
          <w:lang w:val="pl-PL"/>
        </w:rPr>
        <w:t>Gender</w:t>
      </w:r>
      <w:proofErr w:type="spellEnd"/>
      <w:r w:rsidRPr="00984A10">
        <w:rPr>
          <w:sz w:val="24"/>
          <w:szCs w:val="24"/>
          <w:lang w:val="pl-PL"/>
        </w:rPr>
        <w:t xml:space="preserve"> </w:t>
      </w:r>
      <w:proofErr w:type="spellStart"/>
      <w:r w:rsidRPr="00984A10">
        <w:rPr>
          <w:sz w:val="24"/>
          <w:szCs w:val="24"/>
          <w:lang w:val="pl-PL"/>
        </w:rPr>
        <w:t>Equality</w:t>
      </w:r>
      <w:proofErr w:type="spellEnd"/>
      <w:r w:rsidRPr="00984A10">
        <w:rPr>
          <w:sz w:val="24"/>
          <w:szCs w:val="24"/>
          <w:lang w:val="pl-PL"/>
        </w:rPr>
        <w:t xml:space="preserve"> Index” [Wskaźnik równouprawnienia płci], </w:t>
      </w:r>
      <w:hyperlink r:id="rId2" w:history="1">
        <w:r w:rsidRPr="00984A10">
          <w:rPr>
            <w:rStyle w:val="Hyperlink"/>
            <w:sz w:val="24"/>
            <w:szCs w:val="24"/>
            <w:lang w:val="pl-PL"/>
          </w:rPr>
          <w:t>https://eige.europa.eu/gender-equality-index/2025/country</w:t>
        </w:r>
      </w:hyperlink>
      <w:r w:rsidRPr="00984A10">
        <w:rPr>
          <w:sz w:val="24"/>
          <w:szCs w:val="24"/>
          <w:lang w:val="pl-PL"/>
        </w:rPr>
        <w:t>.</w:t>
      </w:r>
    </w:p>
  </w:footnote>
  <w:footnote w:id="5">
    <w:p w14:paraId="072CA138" w14:textId="77777777" w:rsidR="00753621" w:rsidRPr="009C509A" w:rsidRDefault="00753621" w:rsidP="00753621">
      <w:pPr>
        <w:pStyle w:val="FootnoteText"/>
        <w:rPr>
          <w:sz w:val="24"/>
          <w:szCs w:val="24"/>
          <w:lang w:val="pl-PL"/>
        </w:rPr>
      </w:pPr>
      <w:r w:rsidRPr="009C509A">
        <w:rPr>
          <w:rStyle w:val="FootnoteReference"/>
          <w:sz w:val="24"/>
          <w:szCs w:val="24"/>
        </w:rPr>
        <w:footnoteRef/>
      </w:r>
      <w:r w:rsidRPr="009C509A">
        <w:rPr>
          <w:sz w:val="24"/>
          <w:szCs w:val="24"/>
          <w:lang w:val="pl-PL"/>
        </w:rPr>
        <w:t xml:space="preserve"> </w:t>
      </w:r>
      <w:r w:rsidRPr="009C509A">
        <w:rPr>
          <w:sz w:val="24"/>
          <w:szCs w:val="24"/>
          <w:lang w:val="pl-PL"/>
        </w:rPr>
        <w:tab/>
        <w:t xml:space="preserve">Dz.U. L 223 z </w:t>
      </w:r>
      <w:proofErr w:type="gramStart"/>
      <w:r w:rsidRPr="009C509A">
        <w:rPr>
          <w:sz w:val="24"/>
          <w:szCs w:val="24"/>
          <w:lang w:val="pl-PL"/>
        </w:rPr>
        <w:t>22.6.2021</w:t>
      </w:r>
      <w:proofErr w:type="gramEnd"/>
      <w:r w:rsidRPr="009C509A">
        <w:rPr>
          <w:sz w:val="24"/>
          <w:szCs w:val="24"/>
          <w:lang w:val="pl-PL"/>
        </w:rPr>
        <w:t>, s. 14, ELI: http://data.europa.eu/eli/reco/2021/1004/oj</w:t>
      </w:r>
    </w:p>
  </w:footnote>
  <w:footnote w:id="6">
    <w:p w14:paraId="5D4AF21E" w14:textId="3AE2E8ED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Rozporządzenie Parlamentu Europejskiego i Rady (UE) 2021/1057 z dnia 24 czerwca 2021 r. ustanawiające Europejski Fundusz Społeczny Plus (EFS+) oraz uchylające rozporządzenie (UE) nr 1296/2013 (Dz.U. L 231 z </w:t>
      </w:r>
      <w:proofErr w:type="gramStart"/>
      <w:r w:rsidRPr="00984A10">
        <w:rPr>
          <w:sz w:val="24"/>
          <w:szCs w:val="24"/>
          <w:lang w:val="pl-PL"/>
        </w:rPr>
        <w:t>30.6.2021</w:t>
      </w:r>
      <w:proofErr w:type="gramEnd"/>
      <w:r w:rsidRPr="00984A10">
        <w:rPr>
          <w:sz w:val="24"/>
          <w:szCs w:val="24"/>
          <w:lang w:val="pl-PL"/>
        </w:rPr>
        <w:t>, s. 21, ELI: </w:t>
      </w:r>
      <w:hyperlink r:id="rId3" w:tooltip="Dostęp do dokumentu poprzez identyfikator URI w systemie ELI." w:history="1">
        <w:r w:rsidRPr="00984A10">
          <w:rPr>
            <w:rStyle w:val="Hyperlink"/>
            <w:sz w:val="24"/>
            <w:szCs w:val="24"/>
            <w:lang w:val="pl-PL"/>
          </w:rPr>
          <w:t>http://data.europa.eu/eli/reg/2021/1057/oj</w:t>
        </w:r>
      </w:hyperlink>
      <w:r w:rsidRPr="00984A10">
        <w:rPr>
          <w:sz w:val="24"/>
          <w:szCs w:val="24"/>
          <w:lang w:val="pl-PL"/>
        </w:rPr>
        <w:t>).</w:t>
      </w:r>
    </w:p>
  </w:footnote>
  <w:footnote w:id="7">
    <w:p w14:paraId="727AFE3B" w14:textId="3886C333" w:rsidR="00984A10" w:rsidRPr="009C509A" w:rsidRDefault="00984A10">
      <w:pPr>
        <w:pStyle w:val="FootnoteText"/>
        <w:rPr>
          <w:sz w:val="24"/>
          <w:szCs w:val="24"/>
          <w:lang w:val="pl-PL"/>
        </w:rPr>
      </w:pPr>
      <w:r w:rsidRPr="009C509A">
        <w:rPr>
          <w:rStyle w:val="FootnoteReference"/>
          <w:sz w:val="24"/>
          <w:szCs w:val="24"/>
        </w:rPr>
        <w:footnoteRef/>
      </w:r>
      <w:r w:rsidRPr="009C509A">
        <w:rPr>
          <w:sz w:val="24"/>
          <w:szCs w:val="24"/>
          <w:lang w:val="pl-PL"/>
        </w:rPr>
        <w:t xml:space="preserve"> </w:t>
      </w:r>
      <w:r w:rsidRPr="009C509A">
        <w:rPr>
          <w:sz w:val="24"/>
          <w:szCs w:val="24"/>
          <w:lang w:val="pl-PL"/>
        </w:rPr>
        <w:tab/>
        <w:t>Wniosek Komisji z dnia 20 marca 2024 r. dotyczący dyrektywy Parlamentu Europejskiego i Rady w sprawie poprawy i egzekwowania warunków pracy stażystów oraz zwalczania zwykłych stosunków pracy ukrytych pod postacią staży („dyrektywa w sprawie stażystów”) (</w:t>
      </w:r>
      <w:proofErr w:type="gramStart"/>
      <w:r w:rsidRPr="009C509A">
        <w:rPr>
          <w:sz w:val="24"/>
          <w:szCs w:val="24"/>
          <w:lang w:val="pl-PL"/>
        </w:rPr>
        <w:t>COM(</w:t>
      </w:r>
      <w:proofErr w:type="gramEnd"/>
      <w:r w:rsidRPr="009C509A">
        <w:rPr>
          <w:sz w:val="24"/>
          <w:szCs w:val="24"/>
          <w:lang w:val="pl-PL"/>
        </w:rPr>
        <w:t>2024)0132).</w:t>
      </w:r>
    </w:p>
  </w:footnote>
  <w:footnote w:id="8">
    <w:p w14:paraId="1F3754B9" w14:textId="02D42BD5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Dyrektywa Parlamentu Europejskiego i Rady (UE) 2022/2041 z dnia 19 października 2022 r. w sprawie adekwatnych wynagrodzeń minimalnych w Unii Europejskiej (Dz.U. L 275 z 25.10.2022, s. 33, ELI: </w:t>
      </w:r>
      <w:hyperlink r:id="rId4" w:tooltip="Dostęp do dokumentu poprzez identyfikator URI w systemie ELI." w:history="1">
        <w:r w:rsidRPr="00984A10">
          <w:rPr>
            <w:rStyle w:val="Hyperlink"/>
            <w:sz w:val="24"/>
            <w:szCs w:val="24"/>
            <w:lang w:val="pl-PL"/>
          </w:rPr>
          <w:t>http://data.europa.eu/eli/dir/2022/2041/oj</w:t>
        </w:r>
      </w:hyperlink>
      <w:r w:rsidRPr="00984A10">
        <w:rPr>
          <w:sz w:val="24"/>
          <w:szCs w:val="24"/>
          <w:lang w:val="pl-PL"/>
        </w:rPr>
        <w:t xml:space="preserve">). </w:t>
      </w:r>
    </w:p>
  </w:footnote>
  <w:footnote w:id="9">
    <w:p w14:paraId="28B9FF4C" w14:textId="08A7E935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Zalecenie Rady z dnia 30 stycznia 2023 r. w sprawie odpowiedniego dochodu minimalnego zapewniającego aktywne włączenie 2023/C 41/01 (Dz.U. C 41 z 3.2.2023, s. 1).</w:t>
      </w:r>
    </w:p>
  </w:footnote>
  <w:footnote w:id="10">
    <w:p w14:paraId="0283C208" w14:textId="19D8D3C2" w:rsidR="00ED6A16" w:rsidRPr="00984A10" w:rsidRDefault="00ED6A16" w:rsidP="007D5CCA">
      <w:pPr>
        <w:pStyle w:val="FootnoteText"/>
        <w:ind w:left="567" w:hanging="567"/>
        <w:rPr>
          <w:sz w:val="24"/>
          <w:szCs w:val="24"/>
          <w:lang w:val="pl-PL"/>
        </w:rPr>
      </w:pPr>
      <w:r w:rsidRPr="00984A10">
        <w:rPr>
          <w:rStyle w:val="FootnoteReference"/>
          <w:sz w:val="24"/>
          <w:szCs w:val="24"/>
          <w:lang w:val="pl-PL"/>
        </w:rPr>
        <w:footnoteRef/>
      </w:r>
      <w:r w:rsidR="007D5CCA" w:rsidRPr="00984A10">
        <w:rPr>
          <w:sz w:val="24"/>
          <w:szCs w:val="24"/>
          <w:lang w:val="pl-PL"/>
        </w:rPr>
        <w:t xml:space="preserve"> </w:t>
      </w:r>
      <w:r w:rsidR="007D5CCA" w:rsidRPr="00984A10">
        <w:rPr>
          <w:sz w:val="24"/>
          <w:szCs w:val="24"/>
          <w:lang w:val="pl-PL"/>
        </w:rPr>
        <w:tab/>
      </w:r>
      <w:r w:rsidRPr="00984A10">
        <w:rPr>
          <w:sz w:val="24"/>
          <w:szCs w:val="24"/>
          <w:lang w:val="pl-PL"/>
        </w:rPr>
        <w:t>Zalecenie Rady z dnia 8 listopada 2019 r. w sprawie dostępu pracowników oraz osób samozatrudnionych do ochrony socjalnej (Dz.U. C 387 z 15.11.2019,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E61D" w14:textId="77777777" w:rsidR="00064002" w:rsidRPr="007D5C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6043" w14:textId="77777777" w:rsidR="00064002" w:rsidRPr="007D5C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AF2A" w14:textId="77777777" w:rsidR="00064002" w:rsidRPr="007D5C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8814806">
    <w:abstractNumId w:val="9"/>
  </w:num>
  <w:num w:numId="2" w16cid:durableId="1858807264">
    <w:abstractNumId w:val="9"/>
  </w:num>
  <w:num w:numId="3" w16cid:durableId="240336654">
    <w:abstractNumId w:val="7"/>
  </w:num>
  <w:num w:numId="4" w16cid:durableId="1332098365">
    <w:abstractNumId w:val="7"/>
  </w:num>
  <w:num w:numId="5" w16cid:durableId="1323117050">
    <w:abstractNumId w:val="6"/>
  </w:num>
  <w:num w:numId="6" w16cid:durableId="948270962">
    <w:abstractNumId w:val="6"/>
  </w:num>
  <w:num w:numId="7" w16cid:durableId="1280604814">
    <w:abstractNumId w:val="5"/>
  </w:num>
  <w:num w:numId="8" w16cid:durableId="612438007">
    <w:abstractNumId w:val="5"/>
  </w:num>
  <w:num w:numId="9" w16cid:durableId="73820837">
    <w:abstractNumId w:val="4"/>
  </w:num>
  <w:num w:numId="10" w16cid:durableId="1662805591">
    <w:abstractNumId w:val="4"/>
  </w:num>
  <w:num w:numId="11" w16cid:durableId="272131259">
    <w:abstractNumId w:val="8"/>
  </w:num>
  <w:num w:numId="12" w16cid:durableId="1221287373">
    <w:abstractNumId w:val="8"/>
  </w:num>
  <w:num w:numId="13" w16cid:durableId="1140145948">
    <w:abstractNumId w:val="3"/>
  </w:num>
  <w:num w:numId="14" w16cid:durableId="1703745710">
    <w:abstractNumId w:val="3"/>
  </w:num>
  <w:num w:numId="15" w16cid:durableId="547648439">
    <w:abstractNumId w:val="2"/>
  </w:num>
  <w:num w:numId="16" w16cid:durableId="573392715">
    <w:abstractNumId w:val="2"/>
  </w:num>
  <w:num w:numId="17" w16cid:durableId="1243834723">
    <w:abstractNumId w:val="1"/>
  </w:num>
  <w:num w:numId="18" w16cid:durableId="947546657">
    <w:abstractNumId w:val="1"/>
  </w:num>
  <w:num w:numId="19" w16cid:durableId="406535330">
    <w:abstractNumId w:val="0"/>
  </w:num>
  <w:num w:numId="20" w16cid:durableId="1208444428">
    <w:abstractNumId w:val="0"/>
  </w:num>
  <w:num w:numId="21" w16cid:durableId="153641481">
    <w:abstractNumId w:val="9"/>
  </w:num>
  <w:num w:numId="22" w16cid:durableId="169948663">
    <w:abstractNumId w:val="7"/>
  </w:num>
  <w:num w:numId="23" w16cid:durableId="201528323">
    <w:abstractNumId w:val="6"/>
  </w:num>
  <w:num w:numId="24" w16cid:durableId="1481459577">
    <w:abstractNumId w:val="5"/>
  </w:num>
  <w:num w:numId="25" w16cid:durableId="1975940533">
    <w:abstractNumId w:val="4"/>
  </w:num>
  <w:num w:numId="26" w16cid:durableId="331029707">
    <w:abstractNumId w:val="8"/>
  </w:num>
  <w:num w:numId="27" w16cid:durableId="391930116">
    <w:abstractNumId w:val="3"/>
  </w:num>
  <w:num w:numId="28" w16cid:durableId="407460472">
    <w:abstractNumId w:val="2"/>
  </w:num>
  <w:num w:numId="29" w16cid:durableId="1110510419">
    <w:abstractNumId w:val="1"/>
  </w:num>
  <w:num w:numId="30" w16cid:durableId="34433491">
    <w:abstractNumId w:val="0"/>
  </w:num>
  <w:num w:numId="31" w16cid:durableId="1532913945">
    <w:abstractNumId w:val="9"/>
  </w:num>
  <w:num w:numId="32" w16cid:durableId="2092000724">
    <w:abstractNumId w:val="7"/>
  </w:num>
  <w:num w:numId="33" w16cid:durableId="1537040902">
    <w:abstractNumId w:val="6"/>
  </w:num>
  <w:num w:numId="34" w16cid:durableId="1631934057">
    <w:abstractNumId w:val="5"/>
  </w:num>
  <w:num w:numId="35" w16cid:durableId="1653214412">
    <w:abstractNumId w:val="4"/>
  </w:num>
  <w:num w:numId="36" w16cid:durableId="302195632">
    <w:abstractNumId w:val="8"/>
  </w:num>
  <w:num w:numId="37" w16cid:durableId="925650377">
    <w:abstractNumId w:val="3"/>
  </w:num>
  <w:num w:numId="38" w16cid:durableId="1731686942">
    <w:abstractNumId w:val="2"/>
  </w:num>
  <w:num w:numId="39" w16cid:durableId="1977685739">
    <w:abstractNumId w:val="1"/>
  </w:num>
  <w:num w:numId="40" w16cid:durableId="462581243">
    <w:abstractNumId w:val="0"/>
  </w:num>
  <w:num w:numId="41" w16cid:durableId="1298610611">
    <w:abstractNumId w:val="10"/>
  </w:num>
  <w:num w:numId="42" w16cid:durableId="1045759545">
    <w:abstractNumId w:val="10"/>
  </w:num>
  <w:num w:numId="43" w16cid:durableId="718438122">
    <w:abstractNumId w:val="10"/>
  </w:num>
  <w:num w:numId="44" w16cid:durableId="1740321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PL"/>
    <w:docVar w:name="dvnumam" w:val="0"/>
    <w:docVar w:name="dvpe" w:val="779.558"/>
    <w:docVar w:name="dvrapporteur" w:val="Sprawozdawca: "/>
    <w:docVar w:name="dvtitre" w:val="Rezolucja Parlamentu Europejskiego z dnia  2026 r. w sprawie europejskiego semestru na rzecz koordynacji polityki gospodarczej: priorytety w zakresie zatrudnienia i priorytety społeczne – sprawozdanie roczne 2026(2025/2183(INI))"/>
  </w:docVars>
  <w:rsids>
    <w:rsidRoot w:val="00D24D2C"/>
    <w:rsid w:val="00002272"/>
    <w:rsid w:val="00064002"/>
    <w:rsid w:val="000677B9"/>
    <w:rsid w:val="000831BA"/>
    <w:rsid w:val="000A42CC"/>
    <w:rsid w:val="000E3D3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621"/>
    <w:rsid w:val="00756632"/>
    <w:rsid w:val="00762C74"/>
    <w:rsid w:val="00786EC0"/>
    <w:rsid w:val="007D1690"/>
    <w:rsid w:val="007D5CCA"/>
    <w:rsid w:val="007E22AD"/>
    <w:rsid w:val="00817416"/>
    <w:rsid w:val="00842779"/>
    <w:rsid w:val="00865F67"/>
    <w:rsid w:val="00881A7B"/>
    <w:rsid w:val="008840E5"/>
    <w:rsid w:val="00887B3E"/>
    <w:rsid w:val="008C2AC6"/>
    <w:rsid w:val="00927478"/>
    <w:rsid w:val="00930C23"/>
    <w:rsid w:val="0093193B"/>
    <w:rsid w:val="009509D8"/>
    <w:rsid w:val="00950B64"/>
    <w:rsid w:val="00981893"/>
    <w:rsid w:val="00984A10"/>
    <w:rsid w:val="009C50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D2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A1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77443"/>
  <w15:chartTrackingRefBased/>
  <w15:docId w15:val="{54FB9F53-7DA9-4AD2-9A46-25EBAA42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D6A1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qFormat/>
    <w:rsid w:val="00ED6A1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D6A16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unhideWhenUsed/>
    <w:rsid w:val="00ED6A1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84A1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057/oj" TargetMode="External"/><Relationship Id="rId2" Type="http://schemas.openxmlformats.org/officeDocument/2006/relationships/hyperlink" Target="https://eige.europa.eu/gender-equality-index/2025/country" TargetMode="External"/><Relationship Id="rId1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2/2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5809</Words>
  <Characters>38866</Characters>
  <Application>Microsoft Office Word</Application>
  <DocSecurity>0</DocSecurity>
  <Lines>323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2026-04-20T07:01:00Z</dcterms:created>
  <dcterms:modified xsi:type="dcterms:W3CDTF">2026-04-20T07:01:00Z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