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3EF4" w14:paraId="4DF5CE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F76D1C" w14:textId="77777777" w:rsidR="00751A4A" w:rsidRPr="00C53EF4" w:rsidRDefault="00A158D5" w:rsidP="0010095E">
            <w:pPr>
              <w:pStyle w:val="EPName"/>
            </w:pPr>
            <w:r w:rsidRPr="00C53EF4">
              <w:t>Parlamento Europeu</w:t>
            </w:r>
          </w:p>
          <w:p w14:paraId="1D21A577" w14:textId="77777777" w:rsidR="00751A4A" w:rsidRPr="00C53E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3EF4">
              <w:t>2024</w:t>
            </w:r>
            <w:r w:rsidR="00817416" w:rsidRPr="00C53EF4">
              <w:t>-202</w:t>
            </w:r>
            <w:r w:rsidRPr="00C53EF4">
              <w:t>9</w:t>
            </w:r>
          </w:p>
        </w:tc>
        <w:tc>
          <w:tcPr>
            <w:tcW w:w="2268" w:type="dxa"/>
            <w:shd w:val="clear" w:color="auto" w:fill="auto"/>
          </w:tcPr>
          <w:p w14:paraId="2ED574FD" w14:textId="77777777" w:rsidR="00751A4A" w:rsidRPr="00C53EF4" w:rsidRDefault="00187494" w:rsidP="0010095E">
            <w:pPr>
              <w:pStyle w:val="EPLogo"/>
            </w:pPr>
            <w:r w:rsidRPr="00C53EF4">
              <w:rPr>
                <w:noProof/>
                <w:lang w:eastAsia="ja-JP"/>
              </w:rPr>
              <w:drawing>
                <wp:inline distT="0" distB="0" distL="0" distR="0" wp14:anchorId="606C1C02" wp14:editId="2E7B64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02ADE0" w14:textId="77777777" w:rsidR="00D058B8" w:rsidRPr="00C53EF4" w:rsidRDefault="00D058B8" w:rsidP="004C5D52">
      <w:pPr>
        <w:pStyle w:val="LineTop"/>
      </w:pPr>
    </w:p>
    <w:p w14:paraId="03D5475D" w14:textId="77777777" w:rsidR="00680577" w:rsidRPr="00C53EF4" w:rsidRDefault="00A158D5" w:rsidP="00680577">
      <w:pPr>
        <w:pStyle w:val="EPBodyTA1"/>
      </w:pPr>
      <w:r w:rsidRPr="00C53EF4">
        <w:t>TEXTOS APROVADOS</w:t>
      </w:r>
    </w:p>
    <w:p w14:paraId="281F7E39" w14:textId="77777777" w:rsidR="00D058B8" w:rsidRPr="00C53EF4" w:rsidRDefault="00D058B8" w:rsidP="00D058B8">
      <w:pPr>
        <w:pStyle w:val="LineBottom"/>
      </w:pPr>
    </w:p>
    <w:p w14:paraId="5B3A1677" w14:textId="674B9276" w:rsidR="00A158D5" w:rsidRPr="00C53EF4" w:rsidRDefault="00A158D5" w:rsidP="00A158D5">
      <w:pPr>
        <w:pStyle w:val="ATHeading1"/>
      </w:pPr>
      <w:bookmarkStart w:id="0" w:name="TANumber"/>
      <w:r w:rsidRPr="00C53EF4">
        <w:t>P10_TA(2026)</w:t>
      </w:r>
      <w:bookmarkEnd w:id="0"/>
      <w:r w:rsidR="001065CF" w:rsidRPr="00C53EF4">
        <w:t>007</w:t>
      </w:r>
      <w:r w:rsidR="0052466B" w:rsidRPr="00C53EF4">
        <w:t>6</w:t>
      </w:r>
    </w:p>
    <w:p w14:paraId="70A67618" w14:textId="44FAD7B5" w:rsidR="00A158D5" w:rsidRPr="00C53EF4" w:rsidRDefault="00A158D5" w:rsidP="00A158D5">
      <w:pPr>
        <w:pStyle w:val="ATHeading2"/>
      </w:pPr>
      <w:bookmarkStart w:id="1" w:name="title"/>
      <w:r w:rsidRPr="00C53EF4">
        <w:t>Semestre Europeu para a coordenação das políticas económicas: emprego e prioridades sociais para</w:t>
      </w:r>
      <w:r w:rsidR="00302C95" w:rsidRPr="00C53EF4">
        <w:t xml:space="preserve"> </w:t>
      </w:r>
      <w:r w:rsidRPr="00C53EF4">
        <w:t>2026</w:t>
      </w:r>
      <w:bookmarkEnd w:id="1"/>
    </w:p>
    <w:p w14:paraId="3D0D79FE" w14:textId="77777777" w:rsidR="00A158D5" w:rsidRPr="00C53EF4" w:rsidRDefault="00A158D5" w:rsidP="00A158D5">
      <w:pPr>
        <w:rPr>
          <w:i/>
          <w:vanish/>
        </w:rPr>
      </w:pPr>
      <w:r w:rsidRPr="00C53EF4">
        <w:rPr>
          <w:i/>
        </w:rPr>
        <w:fldChar w:fldCharType="begin"/>
      </w:r>
      <w:r w:rsidRPr="00C53EF4">
        <w:rPr>
          <w:i/>
        </w:rPr>
        <w:instrText xml:space="preserve"> TC"(</w:instrText>
      </w:r>
      <w:bookmarkStart w:id="2" w:name="DocNumber"/>
      <w:r w:rsidRPr="00C53EF4">
        <w:rPr>
          <w:i/>
        </w:rPr>
        <w:instrText>A10-0033/2026</w:instrText>
      </w:r>
      <w:bookmarkEnd w:id="2"/>
      <w:r w:rsidRPr="00C53EF4">
        <w:rPr>
          <w:i/>
        </w:rPr>
        <w:instrText xml:space="preserve"> - Relatora: Nela Riehl)"\l3 \n&gt; \* MERGEFORMAT </w:instrText>
      </w:r>
      <w:r w:rsidRPr="00C53EF4">
        <w:rPr>
          <w:i/>
        </w:rPr>
        <w:fldChar w:fldCharType="end"/>
      </w:r>
    </w:p>
    <w:p w14:paraId="490DE81B" w14:textId="77777777" w:rsidR="00A158D5" w:rsidRPr="00C53EF4" w:rsidRDefault="00A158D5" w:rsidP="00A158D5">
      <w:pPr>
        <w:rPr>
          <w:vanish/>
        </w:rPr>
      </w:pPr>
      <w:bookmarkStart w:id="3" w:name="Commission"/>
      <w:r w:rsidRPr="00C53EF4">
        <w:rPr>
          <w:vanish/>
        </w:rPr>
        <w:t>Comissão do Emprego e dos Assuntos Sociais</w:t>
      </w:r>
      <w:bookmarkEnd w:id="3"/>
    </w:p>
    <w:p w14:paraId="358E1DB0" w14:textId="77777777" w:rsidR="00A158D5" w:rsidRPr="00C53EF4" w:rsidRDefault="00A158D5" w:rsidP="00A158D5">
      <w:pPr>
        <w:rPr>
          <w:vanish/>
        </w:rPr>
      </w:pPr>
      <w:bookmarkStart w:id="4" w:name="PE"/>
      <w:r w:rsidRPr="00C53EF4">
        <w:rPr>
          <w:vanish/>
        </w:rPr>
        <w:t>PE779.558</w:t>
      </w:r>
      <w:bookmarkEnd w:id="4"/>
    </w:p>
    <w:p w14:paraId="666DD77F" w14:textId="5FE4E677" w:rsidR="00A158D5" w:rsidRPr="00C53EF4" w:rsidRDefault="00A158D5" w:rsidP="00A158D5">
      <w:pPr>
        <w:pStyle w:val="ATHeading3"/>
      </w:pPr>
      <w:bookmarkStart w:id="5" w:name="Sujet"/>
      <w:r w:rsidRPr="00C53EF4">
        <w:t xml:space="preserve">Resolução do Parlamento Europeu, de </w:t>
      </w:r>
      <w:r w:rsidR="00302C95" w:rsidRPr="00C53EF4">
        <w:t xml:space="preserve">11 </w:t>
      </w:r>
      <w:r w:rsidRPr="00C53EF4">
        <w:t xml:space="preserve">de </w:t>
      </w:r>
      <w:r w:rsidR="00302C95" w:rsidRPr="00C53EF4">
        <w:t xml:space="preserve">março </w:t>
      </w:r>
      <w:r w:rsidRPr="00C53EF4">
        <w:t xml:space="preserve">de 2026, sobre o Semestre Europeu para a coordenação das políticas económicas: emprego e prioridades sociais </w:t>
      </w:r>
      <w:r w:rsidR="00302C95" w:rsidRPr="00C53EF4">
        <w:t xml:space="preserve">– </w:t>
      </w:r>
      <w:r w:rsidRPr="00C53EF4">
        <w:t>Relatório anual 2026</w:t>
      </w:r>
      <w:bookmarkEnd w:id="5"/>
      <w:r w:rsidRPr="00C53EF4">
        <w:t xml:space="preserve"> </w:t>
      </w:r>
      <w:bookmarkStart w:id="6" w:name="References"/>
      <w:r w:rsidRPr="00C53EF4">
        <w:t>(2025/2183(INI))</w:t>
      </w:r>
      <w:bookmarkEnd w:id="6"/>
    </w:p>
    <w:p w14:paraId="282B563C" w14:textId="77777777" w:rsidR="008266F5" w:rsidRPr="00C53EF4" w:rsidRDefault="008266F5" w:rsidP="001065CF">
      <w:pPr>
        <w:pStyle w:val="Normal12"/>
        <w:spacing w:before="480"/>
      </w:pPr>
      <w:r w:rsidRPr="00C53EF4">
        <w:rPr>
          <w:i/>
        </w:rPr>
        <w:t>O Parlamento Europeu</w:t>
      </w:r>
      <w:r w:rsidRPr="00C53EF4">
        <w:t>,</w:t>
      </w:r>
    </w:p>
    <w:p w14:paraId="21981557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 artigo 3.º do Tratado da União Europeia,</w:t>
      </w:r>
    </w:p>
    <w:p w14:paraId="62776067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os artigos 9.º, 121.º, 148.º e 149.º do Tratado sobre o Funcionamento da União Europeia (TFUE),</w:t>
      </w:r>
    </w:p>
    <w:p w14:paraId="18BA394B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 Pilar Europeu dos Direitos Sociais (PEDS), proclamado e assinado pelo Conselho, pelo Parlamento e pela Comissão em 17 de novembro de 2017, e o respetivo plano de ação, adotado em 2021, nomeadamente as grandes metas propostas para 2030 nos domínios do emprego, das competências e da redução da pobreza,</w:t>
      </w:r>
    </w:p>
    <w:p w14:paraId="3B34BEF9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 Regulamento (UE) 2024/1263 do Parlamento Europeu e do Conselho, de 29 de abril de 2024, relativo à coordenação eficaz das políticas económicas e à supervisão orçamental multilateral e que revoga o Regulamento (CE) n.º 1466/97 do Conselho</w:t>
      </w:r>
      <w:r w:rsidRPr="00C53EF4">
        <w:rPr>
          <w:vertAlign w:val="superscript"/>
        </w:rPr>
        <w:footnoteReference w:id="1"/>
      </w:r>
      <w:r w:rsidRPr="00C53EF4">
        <w:t>, nomeadamente os artigos 3.º, 4.º, 13.º e 27.º,</w:t>
      </w:r>
    </w:p>
    <w:p w14:paraId="718F304B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 relatório da Comissão intitulado «</w:t>
      </w:r>
      <w:proofErr w:type="spellStart"/>
      <w:r w:rsidRPr="00C53EF4">
        <w:t>Employment</w:t>
      </w:r>
      <w:proofErr w:type="spellEnd"/>
      <w:r w:rsidRPr="00C53EF4">
        <w:t xml:space="preserve"> </w:t>
      </w:r>
      <w:proofErr w:type="spellStart"/>
      <w:r w:rsidRPr="00C53EF4">
        <w:t>and</w:t>
      </w:r>
      <w:proofErr w:type="spellEnd"/>
      <w:r w:rsidRPr="00C53EF4">
        <w:t xml:space="preserve"> Social </w:t>
      </w:r>
      <w:proofErr w:type="spellStart"/>
      <w:r w:rsidRPr="00C53EF4">
        <w:t>Developments</w:t>
      </w:r>
      <w:proofErr w:type="spellEnd"/>
      <w:r w:rsidRPr="00C53EF4">
        <w:t xml:space="preserve"> in </w:t>
      </w:r>
      <w:proofErr w:type="spellStart"/>
      <w:r w:rsidRPr="00C53EF4">
        <w:t>Europe</w:t>
      </w:r>
      <w:proofErr w:type="spellEnd"/>
      <w:r w:rsidRPr="00C53EF4">
        <w:t>» [Evolução do emprego e da situação social na Europa], publicado em setembro de 2025,</w:t>
      </w:r>
    </w:p>
    <w:p w14:paraId="1D3CA549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 xml:space="preserve">Tendo em conta o relatório da Comissão intitulado «Labour </w:t>
      </w:r>
      <w:proofErr w:type="spellStart"/>
      <w:r w:rsidRPr="00C53EF4">
        <w:t>Market</w:t>
      </w:r>
      <w:proofErr w:type="spellEnd"/>
      <w:r w:rsidRPr="00C53EF4">
        <w:t xml:space="preserve"> </w:t>
      </w:r>
      <w:proofErr w:type="spellStart"/>
      <w:r w:rsidRPr="00C53EF4">
        <w:t>and</w:t>
      </w:r>
      <w:proofErr w:type="spellEnd"/>
      <w:r w:rsidRPr="00C53EF4">
        <w:t xml:space="preserve"> </w:t>
      </w:r>
      <w:proofErr w:type="spellStart"/>
      <w:r w:rsidRPr="00C53EF4">
        <w:t>Wage</w:t>
      </w:r>
      <w:proofErr w:type="spellEnd"/>
      <w:r w:rsidRPr="00C53EF4">
        <w:t xml:space="preserve"> </w:t>
      </w:r>
      <w:proofErr w:type="spellStart"/>
      <w:r w:rsidRPr="00C53EF4">
        <w:t>Development</w:t>
      </w:r>
      <w:proofErr w:type="spellEnd"/>
      <w:r w:rsidRPr="00C53EF4">
        <w:t xml:space="preserve"> in </w:t>
      </w:r>
      <w:proofErr w:type="spellStart"/>
      <w:r w:rsidRPr="00C53EF4">
        <w:t>Europe</w:t>
      </w:r>
      <w:proofErr w:type="spellEnd"/>
      <w:r w:rsidRPr="00C53EF4">
        <w:t>» [Evolução do mercado de trabalho e dos salários na Europa], publicado em outubro de 2025,</w:t>
      </w:r>
    </w:p>
    <w:p w14:paraId="3A9D94B2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a proposta da Comissão, de 25 de novembro de 2025, de um relatório conjunto sobre o emprego da Comissão e do Conselho (COM(2025)0958),</w:t>
      </w:r>
    </w:p>
    <w:p w14:paraId="4A5E4CD3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a Recomendação de recomendação do Conselho sobre a política económica da área do euro, publicada pela Comissão em 25 de novembro de 2025 (COM(2025)0957),</w:t>
      </w:r>
    </w:p>
    <w:p w14:paraId="1EB62487" w14:textId="56C29925" w:rsidR="008266F5" w:rsidRPr="00C53EF4" w:rsidRDefault="008266F5" w:rsidP="008266F5">
      <w:pPr>
        <w:pStyle w:val="NormalHanging"/>
      </w:pPr>
      <w:r w:rsidRPr="00C53EF4">
        <w:lastRenderedPageBreak/>
        <w:t>–</w:t>
      </w:r>
      <w:r w:rsidRPr="00C53EF4">
        <w:tab/>
        <w:t>Tendo em conta a Comunicação da Comissão, de 25 de novembro de 2025, intitulada «Relatório sobre o Mecanismo de Alerta 2026» (COM(</w:t>
      </w:r>
      <w:r w:rsidR="00D6584D" w:rsidRPr="00C53EF4">
        <w:t>202</w:t>
      </w:r>
      <w:r w:rsidR="00B63040">
        <w:t>5</w:t>
      </w:r>
      <w:r w:rsidRPr="00C53EF4">
        <w:t>)0956),</w:t>
      </w:r>
    </w:p>
    <w:p w14:paraId="4CA41BC5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a Recomendação de recomendação do Conselho sobre o capital humano na União Europeia, publicada pela Comissão em 25 de novembro de 2025 (COM(2025)0959),</w:t>
      </w:r>
    </w:p>
    <w:p w14:paraId="4ECA2E68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os contributos dos parceiros sociais europeus para o Semestre Europeu de 2026 e, em particular, para o pacote de outono,</w:t>
      </w:r>
    </w:p>
    <w:p w14:paraId="3D631D74" w14:textId="1A2BEAF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 xml:space="preserve">Tendo em conta o Relatório de Mario Draghi intitulado «The future of </w:t>
      </w:r>
      <w:proofErr w:type="spellStart"/>
      <w:r w:rsidRPr="00C53EF4">
        <w:t>European</w:t>
      </w:r>
      <w:proofErr w:type="spellEnd"/>
      <w:r w:rsidRPr="00C53EF4">
        <w:t xml:space="preserve"> </w:t>
      </w:r>
      <w:proofErr w:type="spellStart"/>
      <w:r w:rsidRPr="00C53EF4">
        <w:t>competitiveness</w:t>
      </w:r>
      <w:proofErr w:type="spellEnd"/>
      <w:r w:rsidRPr="00C53EF4">
        <w:t xml:space="preserve">» [O futuro da competitividade europeia], publicado em setembro </w:t>
      </w:r>
      <w:r w:rsidR="00302C95" w:rsidRPr="00C53EF4">
        <w:t>de </w:t>
      </w:r>
      <w:r w:rsidRPr="00C53EF4">
        <w:t>2024,</w:t>
      </w:r>
    </w:p>
    <w:p w14:paraId="1E6DC488" w14:textId="21E1CF2A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 xml:space="preserve">Tendo em conta o Relatório de Enrico </w:t>
      </w:r>
      <w:proofErr w:type="spellStart"/>
      <w:r w:rsidRPr="00C53EF4">
        <w:t>Letta</w:t>
      </w:r>
      <w:proofErr w:type="spellEnd"/>
      <w:r w:rsidRPr="00C53EF4">
        <w:t xml:space="preserve"> sobre o futuro do mercado único, intitulado «</w:t>
      </w:r>
      <w:proofErr w:type="spellStart"/>
      <w:r w:rsidRPr="00C53EF4">
        <w:t>Much</w:t>
      </w:r>
      <w:proofErr w:type="spellEnd"/>
      <w:r w:rsidRPr="00C53EF4">
        <w:t xml:space="preserve"> more </w:t>
      </w:r>
      <w:proofErr w:type="spellStart"/>
      <w:r w:rsidRPr="00C53EF4">
        <w:t>than</w:t>
      </w:r>
      <w:proofErr w:type="spellEnd"/>
      <w:r w:rsidRPr="00C53EF4">
        <w:t xml:space="preserve"> a </w:t>
      </w:r>
      <w:proofErr w:type="spellStart"/>
      <w:r w:rsidRPr="00C53EF4">
        <w:t>market</w:t>
      </w:r>
      <w:proofErr w:type="spellEnd"/>
      <w:r w:rsidRPr="00C53EF4">
        <w:t xml:space="preserve">» [Muito mais do que um mercado], publicado em abril </w:t>
      </w:r>
      <w:r w:rsidR="00302C95" w:rsidRPr="00C53EF4">
        <w:t>de </w:t>
      </w:r>
      <w:r w:rsidRPr="00C53EF4">
        <w:t>2024,</w:t>
      </w:r>
    </w:p>
    <w:p w14:paraId="741963A1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 Relatório do Grupo de Alto Nível sobre o futuro da proteção social e do Estado</w:t>
      </w:r>
      <w:r w:rsidRPr="00C53EF4">
        <w:noBreakHyphen/>
        <w:t>providência na UE, publicado em janeiro de 2023,</w:t>
      </w:r>
    </w:p>
    <w:p w14:paraId="0D10099C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 artigo 55.º do seu Regimento,</w:t>
      </w:r>
    </w:p>
    <w:p w14:paraId="3B4D4B5D" w14:textId="77777777" w:rsidR="008266F5" w:rsidRPr="00C53EF4" w:rsidRDefault="008266F5" w:rsidP="008266F5">
      <w:pPr>
        <w:pStyle w:val="NormalHanging"/>
      </w:pPr>
      <w:r w:rsidRPr="00C53EF4">
        <w:t>–</w:t>
      </w:r>
      <w:r w:rsidRPr="00C53EF4">
        <w:tab/>
        <w:t>Tendo em conta o relatório da Comissão do Emprego e dos Assuntos Sociais (A10</w:t>
      </w:r>
      <w:r w:rsidRPr="00C53EF4">
        <w:noBreakHyphen/>
        <w:t>0033/2026),</w:t>
      </w:r>
    </w:p>
    <w:p w14:paraId="1F50F046" w14:textId="0FF4BE71" w:rsidR="008266F5" w:rsidRPr="00C53EF4" w:rsidRDefault="008266F5" w:rsidP="008266F5">
      <w:pPr>
        <w:pStyle w:val="NormalHanging"/>
      </w:pPr>
      <w:r w:rsidRPr="00C53EF4">
        <w:t>A.</w:t>
      </w:r>
      <w:r w:rsidRPr="00C53EF4">
        <w:tab/>
        <w:t xml:space="preserve">Considerando que a meta da UE em matéria de emprego de pelo menos 78 % das pessoas com idades compreendidas entre os 20 e os 64 anos estarem empregadas </w:t>
      </w:r>
      <w:r w:rsidR="00302C95" w:rsidRPr="00C53EF4">
        <w:t>até </w:t>
      </w:r>
      <w:r w:rsidRPr="00C53EF4">
        <w:t>2030 está no bom caminho para ser alcançada</w:t>
      </w:r>
      <w:r w:rsidR="00302C95" w:rsidRPr="00C53EF4">
        <w:t>; considerando que</w:t>
      </w:r>
      <w:r w:rsidRPr="00C53EF4">
        <w:t>, em outubro de 2025, a taxa de desemprego na UE se situava em 6 %, variando entre 2,6 % e 10,6 % nos Estados</w:t>
      </w:r>
      <w:r w:rsidRPr="00C53EF4">
        <w:noBreakHyphen/>
        <w:t>Membros, enquanto o desemprego jovem continuava elevado, ascendendo a 13,2 %</w:t>
      </w:r>
      <w:r w:rsidR="00302C95" w:rsidRPr="00C53EF4">
        <w:t>; considerando que</w:t>
      </w:r>
      <w:r w:rsidRPr="00C53EF4">
        <w:t xml:space="preserve"> os níveis de desemprego e as condições de trabalho precárias se mantêm persistentemente elevados entre os jovens, as mulheres, os trabalhadores mais velhos, os nacionais de países terceiros com baixas e médias qualificações, as pessoas com deficiência, os ciganos e outras minorias étnicas, que enfrentam obstáculos estruturais ao emprego</w:t>
      </w:r>
      <w:r w:rsidR="00302C95" w:rsidRPr="00C53EF4">
        <w:t>; considerando que</w:t>
      </w:r>
      <w:r w:rsidRPr="00C53EF4">
        <w:t>, no que respeita às pessoas com deficiência, o desemprego ascende a 15,1 %</w:t>
      </w:r>
      <w:r w:rsidR="00302C95" w:rsidRPr="00C53EF4">
        <w:t>; considerando que</w:t>
      </w:r>
      <w:r w:rsidRPr="00C53EF4">
        <w:t xml:space="preserve"> o aumento dos níveis de emprego na UE deve estar estreitamente associado à qualidade do emprego, a salários dignos, a aumentos salariais e a ganhos de produtividade;</w:t>
      </w:r>
    </w:p>
    <w:p w14:paraId="7F1E7DD3" w14:textId="72D17F55" w:rsidR="008266F5" w:rsidRPr="00C53EF4" w:rsidRDefault="008266F5" w:rsidP="008266F5">
      <w:pPr>
        <w:pStyle w:val="NormalHanging"/>
      </w:pPr>
      <w:r w:rsidRPr="00C53EF4">
        <w:t>B.</w:t>
      </w:r>
      <w:r w:rsidRPr="00C53EF4">
        <w:tab/>
        <w:t xml:space="preserve">Considerando que o Semestre Europeu continua a ser um instrumento central de coordenação das políticas económicas, orçamentais, laborais e sociais no conjunto da UE e deve visar integrar de forma mais sistemática a justiça social, a sustentabilidade ambiental e a equidade </w:t>
      </w:r>
      <w:proofErr w:type="spellStart"/>
      <w:r w:rsidRPr="00C53EF4">
        <w:t>intergeracional</w:t>
      </w:r>
      <w:proofErr w:type="spellEnd"/>
      <w:r w:rsidRPr="00C53EF4">
        <w:t xml:space="preserve"> na governação macroeconómica, articulando</w:t>
      </w:r>
      <w:r w:rsidRPr="00C53EF4">
        <w:noBreakHyphen/>
        <w:t>se em torno do Pilar Europeu dos Direitos Sociais e respeitando o princípio da subsidiariedade</w:t>
      </w:r>
      <w:r w:rsidR="00302C95" w:rsidRPr="00C53EF4">
        <w:t>; considerando que</w:t>
      </w:r>
      <w:r w:rsidRPr="00C53EF4">
        <w:t xml:space="preserve"> foram realizados esforços para equilibrar melhor o acompanhamento dos objetivos económicos e sociais no processo do Semestre Europeu com o desenvolvimento do painel de indicadores sociais e a recente integração do Quadro de Convergência Social no processo</w:t>
      </w:r>
      <w:r w:rsidR="00302C95" w:rsidRPr="00C53EF4">
        <w:t>; considerando que</w:t>
      </w:r>
      <w:r w:rsidRPr="00C53EF4">
        <w:t xml:space="preserve"> o pacote de outono de 2026 foi apresentado sem uma análise anual do crescimento sustentável que definisse uma estratégia holística e equilibrada para a consecução dos objetivos económicos, sociais, laborais e ambientais da UE e que ancorasse o Semestre Europeu numa visão </w:t>
      </w:r>
      <w:r w:rsidRPr="00C53EF4">
        <w:lastRenderedPageBreak/>
        <w:t>ampla do crescimento sustentável para a União</w:t>
      </w:r>
      <w:r w:rsidR="00302C95" w:rsidRPr="00C53EF4">
        <w:t>; considerando que</w:t>
      </w:r>
      <w:r w:rsidRPr="00C53EF4">
        <w:t xml:space="preserve"> a UE deve continuar empenhada na competitividade, na sustentabilidade e na justiça social, sem permitir que um objetivo seja concretizado à custa de outros;</w:t>
      </w:r>
    </w:p>
    <w:p w14:paraId="4FCE0408" w14:textId="310AAD17" w:rsidR="008266F5" w:rsidRPr="00C53EF4" w:rsidRDefault="008266F5" w:rsidP="008266F5">
      <w:pPr>
        <w:pStyle w:val="NormalHanging"/>
      </w:pPr>
      <w:r w:rsidRPr="00C53EF4">
        <w:t>C.</w:t>
      </w:r>
      <w:r w:rsidRPr="00C53EF4">
        <w:tab/>
        <w:t xml:space="preserve">Considerando que 93,3 milhões de pessoas </w:t>
      </w:r>
      <w:r w:rsidR="00302C95" w:rsidRPr="00C53EF4">
        <w:t xml:space="preserve">– </w:t>
      </w:r>
      <w:r w:rsidRPr="00C53EF4">
        <w:t xml:space="preserve">ou seja, 21 % da população da UE </w:t>
      </w:r>
      <w:r w:rsidR="00302C95" w:rsidRPr="00C53EF4">
        <w:t xml:space="preserve">– </w:t>
      </w:r>
      <w:r w:rsidRPr="00C53EF4">
        <w:t>estavam em risco de pobreza ou exclusão social em 2024, o que demonstra que os progressos realizados para cumprir a meta de redução da pobreza do Pilar Europeu dos Direitos Sociais para 2030 foram limitados, com mais de metade dos Estados</w:t>
      </w:r>
      <w:r w:rsidRPr="00C53EF4">
        <w:noBreakHyphen/>
        <w:t>Membros a registar uma evolução negativa</w:t>
      </w:r>
      <w:r w:rsidR="00302C95" w:rsidRPr="00C53EF4">
        <w:t>; considerando que</w:t>
      </w:r>
      <w:r w:rsidRPr="00C53EF4">
        <w:t xml:space="preserve"> o risco de pobreza é muito mais elevado entre as mulheres, as crianças, os idosos, as pessoas com deficiência, a comunidade LGBTI+, as pessoas pouco qualificadas, os nacionais de países terceiros, os ciganos, as famílias monoparentais e as pessoas que vivem em zonas despovoadas, e que persistem discrepâncias consideráveis entre os Estados</w:t>
      </w:r>
      <w:r w:rsidRPr="00C53EF4">
        <w:noBreakHyphen/>
        <w:t>Membros e no seio destes, nomeadamente entre as zonas rurais e urbanas</w:t>
      </w:r>
      <w:r w:rsidR="00302C95" w:rsidRPr="00C53EF4">
        <w:t>; considerando que</w:t>
      </w:r>
      <w:r w:rsidRPr="00C53EF4">
        <w:t xml:space="preserve"> esta divergência entre o aumento dos rendimentos médios e a persistência dos níveis de pobreza evidencia desafios estruturais na distribuição dos rendimentos, nos mercados de trabalho e na conceção e cobertura dos sistemas de proteção social</w:t>
      </w:r>
      <w:r w:rsidR="00302C95" w:rsidRPr="00C53EF4">
        <w:t>; considerando que</w:t>
      </w:r>
      <w:r w:rsidRPr="00C53EF4">
        <w:t xml:space="preserve">, em 2024, mais de 40 milhões de pessoas na UE </w:t>
      </w:r>
      <w:r w:rsidR="00302C95" w:rsidRPr="00C53EF4">
        <w:t xml:space="preserve">– </w:t>
      </w:r>
      <w:r w:rsidRPr="00C53EF4">
        <w:t xml:space="preserve">ou seja, cerca de 9,2 % da população </w:t>
      </w:r>
      <w:r w:rsidR="00302C95" w:rsidRPr="00C53EF4">
        <w:t xml:space="preserve">– </w:t>
      </w:r>
      <w:r w:rsidRPr="00C53EF4">
        <w:t>viveram em situação de pobreza energética e, portanto, de privação material</w:t>
      </w:r>
      <w:r w:rsidR="00302C95" w:rsidRPr="00C53EF4">
        <w:t>; considerando que</w:t>
      </w:r>
      <w:r w:rsidRPr="00C53EF4">
        <w:t xml:space="preserve"> a cobertura insuficiente e a inadequação dos regimes de rendimento mínimo, das prestações de desemprego e das prestações familiares e por filho a cargo, bem como os obstáculos à integração no mercado de trabalho e ao acesso a serviços públicos de qualidade, como a saúde, a educação, os cuidados e a habitação, contribuem para a persistência da pobreza e da exclusão social, particularmente entre os grupos mais desfavorecidos</w:t>
      </w:r>
      <w:r w:rsidR="00302C95" w:rsidRPr="00C53EF4">
        <w:t>; considerando que</w:t>
      </w:r>
      <w:r w:rsidRPr="00C53EF4">
        <w:t>, sem uma mudança de abordagem da luta contra a pobreza a nível da UE e nacional, não será possível inverter esta tendência</w:t>
      </w:r>
      <w:r w:rsidR="00302C95" w:rsidRPr="00C53EF4">
        <w:t>; considerando que</w:t>
      </w:r>
      <w:r w:rsidRPr="00C53EF4">
        <w:t xml:space="preserve"> uma estratégia da UE de combate à pobreza ambiciosa será essencial para dar resposta ao fenómeno multidimensional de pobreza;</w:t>
      </w:r>
    </w:p>
    <w:p w14:paraId="2D7D94D4" w14:textId="775CB79B" w:rsidR="008266F5" w:rsidRPr="00C53EF4" w:rsidRDefault="008266F5" w:rsidP="008266F5">
      <w:pPr>
        <w:pStyle w:val="NormalHanging"/>
      </w:pPr>
      <w:r w:rsidRPr="00C53EF4">
        <w:t>D.</w:t>
      </w:r>
      <w:r w:rsidRPr="00C53EF4">
        <w:tab/>
        <w:t>Considerando que uma em cada quatro crianças ainda se encontra em risco de pobreza ou exclusão social na União Europeia, o que corresponde a um nível mais elevado do que o da população em geral</w:t>
      </w:r>
      <w:r w:rsidR="00302C95" w:rsidRPr="00C53EF4">
        <w:t>; considerando que</w:t>
      </w:r>
      <w:r w:rsidRPr="00C53EF4">
        <w:t xml:space="preserve"> não estão a ser realizados progressos suficientes para alcançar o objetivo de reduzir o número de crianças em risco de pobreza ou exclusão social em 5 milhões até 2030, sendo que a percentagem de crianças em risco de pobreza ou exclusão social aumentou de ano para ano entre 2019 </w:t>
      </w:r>
      <w:r w:rsidR="00302C95" w:rsidRPr="00C53EF4">
        <w:t>e </w:t>
      </w:r>
      <w:r w:rsidRPr="00C53EF4">
        <w:t>2023 e permaneceu persistentemente elevada</w:t>
      </w:r>
      <w:r w:rsidR="00302C95" w:rsidRPr="00C53EF4">
        <w:t>; considerando que</w:t>
      </w:r>
      <w:r w:rsidRPr="00C53EF4">
        <w:t>, de acordo com a proposta da Comissão de um relatório conjunto sobre o emprego em 2026, cerca de 19,5 milhões de crianças (24,2 %) estavam em risco de pobreza ou exclusão social na UE em 2024</w:t>
      </w:r>
      <w:r w:rsidR="00302C95" w:rsidRPr="00C53EF4">
        <w:t>; considerando que</w:t>
      </w:r>
      <w:r w:rsidRPr="00C53EF4">
        <w:t xml:space="preserve"> as políticas e os serviços preventivos de apoio às crianças e às famílias, em conformidade com a Garantia Europeia para a Infância, são essenciais para combater as condições socioeconómicas que podem conduzir à separação familiar e à institucionalização das crianças</w:t>
      </w:r>
      <w:r w:rsidR="00302C95" w:rsidRPr="00C53EF4">
        <w:t>; considerando que</w:t>
      </w:r>
      <w:r w:rsidRPr="00C53EF4">
        <w:t xml:space="preserve"> um instrumento de financiamento específico para a Garantia Europeia para a Infância, bem assim como as sinergias com outros fundos da UE e nacionais, são da máxima importância, tanto no atual quadro financeiro plurianual como no próximo</w:t>
      </w:r>
      <w:r w:rsidR="00302C95" w:rsidRPr="00C53EF4">
        <w:t>; considerando que</w:t>
      </w:r>
      <w:r w:rsidRPr="00C53EF4">
        <w:t>, de acordo com a Comissão, a UE tem de aumentar o investimento em mais de 11 mil milhões de EUR por ano para cumprir as metas de Barcelona para 2030 em matéria de educação e acolhimento na primeira infância</w:t>
      </w:r>
      <w:r w:rsidRPr="00C53EF4">
        <w:rPr>
          <w:vertAlign w:val="superscript"/>
        </w:rPr>
        <w:footnoteReference w:id="2"/>
      </w:r>
      <w:r w:rsidR="00302C95" w:rsidRPr="00C53EF4">
        <w:t>; considerando que</w:t>
      </w:r>
      <w:r w:rsidRPr="00C53EF4">
        <w:t xml:space="preserve"> as crianças que mais podem beneficiar da educação e acolhimento na primeira infância, como as oriundas de meios </w:t>
      </w:r>
      <w:r w:rsidRPr="00C53EF4">
        <w:lastRenderedPageBreak/>
        <w:t>desfavorecidos, são as que menos tendem a participar e continuam a enfrentar obstáculos ao acesso;</w:t>
      </w:r>
    </w:p>
    <w:p w14:paraId="45C34E66" w14:textId="08625BA8" w:rsidR="008266F5" w:rsidRPr="00C53EF4" w:rsidRDefault="008266F5" w:rsidP="008266F5">
      <w:pPr>
        <w:pStyle w:val="NormalHanging"/>
      </w:pPr>
      <w:r w:rsidRPr="00C53EF4">
        <w:t>E.</w:t>
      </w:r>
      <w:r w:rsidRPr="00C53EF4">
        <w:tab/>
        <w:t>Considerando que pelo menos 1,4 milhões de pessoas com deficiência e quase 300 000 crianças ainda vivem em instituições na UE</w:t>
      </w:r>
      <w:r w:rsidR="00302C95" w:rsidRPr="00C53EF4">
        <w:t>; considerando que</w:t>
      </w:r>
      <w:r w:rsidRPr="00C53EF4">
        <w:t xml:space="preserve"> as pessoas que residem em instituições estão isoladas do resto da sociedade e não têm um controlo suficiente sobre a sua vida e as decisões que lhes dizem respeito</w:t>
      </w:r>
      <w:r w:rsidR="00302C95" w:rsidRPr="00C53EF4">
        <w:t>; considerando que</w:t>
      </w:r>
      <w:r w:rsidRPr="00C53EF4">
        <w:t xml:space="preserve">, apesar de a UE estar há muito empenhada no processo de desinstitucionalização, são ainda necessários esforços, tanto a nível da UE como nacional, para que os grupos vulneráveis possam viver de forma independente num ambiente familiar ou de proximidade; </w:t>
      </w:r>
    </w:p>
    <w:p w14:paraId="70A38089" w14:textId="2D8B4B69" w:rsidR="008266F5" w:rsidRPr="00C53EF4" w:rsidRDefault="008266F5" w:rsidP="008266F5">
      <w:pPr>
        <w:pStyle w:val="NormalHanging"/>
      </w:pPr>
      <w:r w:rsidRPr="00C53EF4">
        <w:t>F.</w:t>
      </w:r>
      <w:r w:rsidRPr="00C53EF4">
        <w:tab/>
        <w:t>Considerando que um em cada 12 trabalhadores na UE (8,2 %) viveu em situação de pobreza no trabalho em 2024, o que fragiliza a coesão social e evidencia que o emprego, por si só, não confere proteção total contra a pobreza nem se traduz em melhores condições de vida, devido ao aumento do custo de vida e à diminuição do poder de compra</w:t>
      </w:r>
      <w:r w:rsidR="00302C95" w:rsidRPr="00C53EF4">
        <w:t>; considerando que</w:t>
      </w:r>
      <w:r w:rsidRPr="00C53EF4">
        <w:t xml:space="preserve"> os recentes aumentos dos salários mínimos nacionais, que, entre 2022 e 2025, foram superiores a 20 % em muitos casos e superiores a 40 % em vários Estados</w:t>
      </w:r>
      <w:r w:rsidRPr="00C53EF4">
        <w:noBreakHyphen/>
        <w:t>Membros, ajudaram a proteger o poder de compra dos trabalhadores com salários baixos e contribuíram para o aumento dos salários em setores mal remunerados</w:t>
      </w:r>
      <w:r w:rsidR="00302C95" w:rsidRPr="00C53EF4">
        <w:t>; considerando que</w:t>
      </w:r>
      <w:r w:rsidRPr="00C53EF4">
        <w:t>, apesar de os salários reais terem ultrapassado os níveis anteriores à pandemia na maioria dos Estados</w:t>
      </w:r>
      <w:r w:rsidRPr="00C53EF4">
        <w:noBreakHyphen/>
        <w:t>Membros, várias grandes economias ainda não regressaram a esses níveis;</w:t>
      </w:r>
    </w:p>
    <w:p w14:paraId="4B86EDAC" w14:textId="3DD79718" w:rsidR="008266F5" w:rsidRPr="00C53EF4" w:rsidRDefault="008266F5" w:rsidP="008266F5">
      <w:pPr>
        <w:pStyle w:val="NormalHanging"/>
      </w:pPr>
      <w:r w:rsidRPr="00C53EF4">
        <w:t>G.</w:t>
      </w:r>
      <w:r w:rsidRPr="00C53EF4">
        <w:tab/>
        <w:t>Considerando que as alterações climáticas agravaram as desigualdades e afetaram particularmente os grupos mais vulneráveis, que tendem a estar mais expostos aos perigos ambientais, como, por exemplo, as temperaturas elevadas, conduzindo a padrões mais baixos de qualidade do emprego, à perda de produtividade e a uma maior insegurança laboral</w:t>
      </w:r>
      <w:r w:rsidR="00302C95" w:rsidRPr="00C53EF4">
        <w:t>; considerando que</w:t>
      </w:r>
      <w:r w:rsidRPr="00C53EF4">
        <w:t xml:space="preserve"> a transição para a neutralidade climática deve ser socialmente justa e inclusiva para todos, e que se espera que crie entre um milhão e 2,5 milhões de postos de trabalho adicionais até 2030, se for ancorada nas políticas de emprego e de educação adequadas</w:t>
      </w:r>
      <w:r w:rsidR="00302C95" w:rsidRPr="00C53EF4">
        <w:t>; considerando que</w:t>
      </w:r>
      <w:r w:rsidRPr="00C53EF4">
        <w:t xml:space="preserve"> uma proteção social sólida e adequadamente financiada, bem como políticas de criação de emprego de qualidade, são um pré</w:t>
      </w:r>
      <w:r w:rsidRPr="00C53EF4">
        <w:noBreakHyphen/>
        <w:t xml:space="preserve">requisito para assegurar uma transição justa e equitativa para a neutralidade climática e a transformação digital; </w:t>
      </w:r>
    </w:p>
    <w:p w14:paraId="1258BA86" w14:textId="2483D2EA" w:rsidR="008266F5" w:rsidRPr="00C53EF4" w:rsidRDefault="008266F5" w:rsidP="008266F5">
      <w:pPr>
        <w:pStyle w:val="NormalHanging"/>
      </w:pPr>
      <w:r w:rsidRPr="00C53EF4">
        <w:t>H.</w:t>
      </w:r>
      <w:r w:rsidRPr="00C53EF4">
        <w:tab/>
        <w:t>Considerando que a UE enfrenta uma escassez persistente de mão de obra e de competências em vários setores, devido a múltiplos fatores, como a evolução demográfica e tecnológica, a inadequação das competências, a qualidade do emprego e a falta de atratividade e de investimento em serviços públicos de qualidade, que foi identificada como um obstáculo fundamental ao crescimento e à competitividade da UE</w:t>
      </w:r>
      <w:r w:rsidR="00302C95" w:rsidRPr="00C53EF4">
        <w:t>; considerando que</w:t>
      </w:r>
      <w:r w:rsidRPr="00C53EF4">
        <w:t xml:space="preserve"> as perspetivas de carreira limitadas e as condições de trabalho precárias dos jovens em partes da União contribuem para a fuga de talentos de regiões da UE para países terceiros, agravando ainda mais esta escassez</w:t>
      </w:r>
      <w:r w:rsidR="00302C95" w:rsidRPr="00C53EF4">
        <w:t>; considerando que</w:t>
      </w:r>
      <w:r w:rsidRPr="00C53EF4">
        <w:t xml:space="preserve"> a proposta da Comissão relativa a um relatório conjunto sobre o emprego de 2026 salienta que a resolução das fragilidades estruturais do mercado de trabalho através da melhoria da qualidade do emprego favorece o aumento da produtividade, o desempenho económico, a justiça social e a coesão</w:t>
      </w:r>
      <w:r w:rsidR="00302C95" w:rsidRPr="00C53EF4">
        <w:t>; considerando que</w:t>
      </w:r>
      <w:r w:rsidRPr="00C53EF4">
        <w:t xml:space="preserve"> a melhoria dos direitos dos trabalhadores, da negociação coletiva, das políticas ativas do mercado de trabalho, do acesso à proteção social e das oportunidades de desenvolvimento de competências para todos, incluindo os nacionais de países terceiros, bem como a aplicação de medidas de ativação específicas para os 51 milhões de pessoas em idade ativa que estão atualmente inativas, ajudaria a intensificar a participação, a inclusão e a competitividade</w:t>
      </w:r>
      <w:r w:rsidR="00302C95" w:rsidRPr="00C53EF4">
        <w:t xml:space="preserve">; </w:t>
      </w:r>
      <w:r w:rsidR="00302C95" w:rsidRPr="00C53EF4">
        <w:lastRenderedPageBreak/>
        <w:t>considerando que</w:t>
      </w:r>
      <w:r w:rsidRPr="00C53EF4">
        <w:t>, até 2050, a população ativa da UE deverá diminuir em até 18,8 milhões de pessoas, o que faz pensar que a migração laboral legal pode ajudar a responder à evolução das necessidades do mercado de trabalho;</w:t>
      </w:r>
    </w:p>
    <w:p w14:paraId="70F874C1" w14:textId="01F551C7" w:rsidR="008266F5" w:rsidRPr="00C53EF4" w:rsidRDefault="008266F5" w:rsidP="008266F5">
      <w:pPr>
        <w:pStyle w:val="NormalHanging"/>
      </w:pPr>
      <w:r w:rsidRPr="00C53EF4">
        <w:t>I.</w:t>
      </w:r>
      <w:r w:rsidRPr="00C53EF4">
        <w:tab/>
        <w:t>Considerando que, em 2022, a taxa de participação de adultos em aprendizagens se situava em 39,5 %, o que indica a necessidade de redobrar esforços na maioria dos Estados</w:t>
      </w:r>
      <w:r w:rsidRPr="00C53EF4">
        <w:noBreakHyphen/>
        <w:t>Membros para alcançar a meta de 60 % dos adultos a participar em programas de educação e formação até 2030</w:t>
      </w:r>
      <w:r w:rsidR="00302C95" w:rsidRPr="00C53EF4">
        <w:t>; considerando que</w:t>
      </w:r>
      <w:r w:rsidRPr="00C53EF4">
        <w:t xml:space="preserve"> a abordagem integrada da coordenação das políticas no âmbito do Semestre Europeu proporciona um quadro para orientar o investimento necessário no desenvolvimento do capital humano e nos sistemas de educação e formação</w:t>
      </w:r>
      <w:r w:rsidR="00302C95" w:rsidRPr="00C53EF4">
        <w:t>; considerando que</w:t>
      </w:r>
      <w:r w:rsidRPr="00C53EF4">
        <w:t xml:space="preserve"> são necessários esforços adicionais substanciais para assegurar a disponibilização de políticas de formação de qualidade e o acesso a estas, notadamente para os trabalhadores com profissões menos qualificadas, com vista a promover a aprendizagem ao longo da vida e reforçar a competitividade, a resiliência e a </w:t>
      </w:r>
      <w:proofErr w:type="spellStart"/>
      <w:r w:rsidRPr="00C53EF4">
        <w:t>inclusividade</w:t>
      </w:r>
      <w:proofErr w:type="spellEnd"/>
      <w:r w:rsidRPr="00C53EF4">
        <w:t xml:space="preserve"> da mão de obra da UE</w:t>
      </w:r>
      <w:r w:rsidR="00302C95" w:rsidRPr="00C53EF4">
        <w:t>; considerando que</w:t>
      </w:r>
      <w:r w:rsidRPr="00C53EF4">
        <w:t xml:space="preserve"> a despesa pública poderá não ser suficiente, por si só, para responder à amplitude das necessidades de melhoria de competências e de requalificação, tendo em conta as transformações com que a UE se depara</w:t>
      </w:r>
      <w:r w:rsidR="00302C95" w:rsidRPr="00C53EF4">
        <w:t>; considerando que</w:t>
      </w:r>
      <w:r w:rsidRPr="00C53EF4">
        <w:t xml:space="preserve">, em 2022, a pontuação média das competências básicas dos jovens com 15 anos de idade no âmbito do Programa Internacional de Avaliação de Alunos (PISA) diminuiu em comparação com 2018, com o </w:t>
      </w:r>
      <w:proofErr w:type="spellStart"/>
      <w:r w:rsidRPr="00C53EF4">
        <w:t>subdesempenho</w:t>
      </w:r>
      <w:proofErr w:type="spellEnd"/>
      <w:r w:rsidRPr="00C53EF4">
        <w:t xml:space="preserve"> a afetar desproporcionadamente os aprendentes desfavorecidos, o que põe em evidência a necessidade de reformas e de um investimento sustentado na educação e na formação para apoiar as gerações futuras e a sua transição da educação para o trabalho;</w:t>
      </w:r>
    </w:p>
    <w:p w14:paraId="06A3F44C" w14:textId="1090D965" w:rsidR="008266F5" w:rsidRPr="00C53EF4" w:rsidRDefault="008266F5" w:rsidP="008266F5">
      <w:pPr>
        <w:pStyle w:val="NormalHanging"/>
      </w:pPr>
      <w:r w:rsidRPr="00C53EF4">
        <w:t>J.</w:t>
      </w:r>
      <w:r w:rsidRPr="00C53EF4">
        <w:tab/>
        <w:t>Considerando que as necessidades de investimento suplementares nas infraestruturas sociais foram estimadas em 192 mil milhões de EUR por ano, designadamente o investimento na habitação a preços acessíveis, na saúde e nos cuidados de longa duração, na educação e na formação ao longo da vida</w:t>
      </w:r>
      <w:r w:rsidRPr="00C53EF4">
        <w:rPr>
          <w:vertAlign w:val="superscript"/>
        </w:rPr>
        <w:footnoteReference w:id="3"/>
      </w:r>
      <w:r w:rsidR="00302C95" w:rsidRPr="00C53EF4">
        <w:t>; considerando que</w:t>
      </w:r>
      <w:r w:rsidRPr="00C53EF4">
        <w:t xml:space="preserve"> há que reconhecer a importância do retorno económico dos investimentos sociais, em particular das despesas públicas a favor das crianças e dos jovens, que não só melhoram o nível de vida e reduzem a pobreza, como também são motores essenciais do crescimento económico sustentável e inclusivo, do aumento da produtividade e da subida das taxas de emprego</w:t>
      </w:r>
      <w:r w:rsidR="00302C95" w:rsidRPr="00C53EF4">
        <w:t>; considerando que</w:t>
      </w:r>
      <w:r w:rsidRPr="00C53EF4">
        <w:t xml:space="preserve"> o </w:t>
      </w:r>
      <w:proofErr w:type="spellStart"/>
      <w:r w:rsidRPr="00C53EF4">
        <w:t>subinvestimento</w:t>
      </w:r>
      <w:proofErr w:type="spellEnd"/>
      <w:r w:rsidRPr="00C53EF4">
        <w:t xml:space="preserve"> na educação e na investigação diminui as perspetivas de crescimento a longo prazo</w:t>
      </w:r>
      <w:r w:rsidR="00302C95" w:rsidRPr="00C53EF4">
        <w:t>; considerando que</w:t>
      </w:r>
      <w:r w:rsidRPr="00C53EF4">
        <w:t>, para as crianças, os investimentos sociais são um investimento no futuro que permite melhorar a educação e as perspetivas de emprego, o que, por sua vez, impulsiona os indicadores económicos</w:t>
      </w:r>
      <w:r w:rsidR="00302C95" w:rsidRPr="00C53EF4">
        <w:t>; considerando que</w:t>
      </w:r>
      <w:r w:rsidRPr="00C53EF4">
        <w:t xml:space="preserve"> é necessário diligenciar mais para medir o défice de investimento social após a recuperação na UE, bem como o investimento nos serviços sociais, a cobertura que estes oferecem e o seu retorno económico</w:t>
      </w:r>
      <w:r w:rsidR="00302C95" w:rsidRPr="00C53EF4">
        <w:t>; considerando que</w:t>
      </w:r>
      <w:r w:rsidRPr="00C53EF4">
        <w:t xml:space="preserve"> a elaboração de indicadores de dados comuns sobre as despesas e a cobertura dos serviços sociais, como o Índice Europeu de Serviços Sociais, fortaleceria as recomendações baseadas em dados concretos e o acompanhamento eficaz da sua aplicação no âmbito do Semestre Europeu;</w:t>
      </w:r>
    </w:p>
    <w:p w14:paraId="5ADFB58A" w14:textId="1FF0B283" w:rsidR="008266F5" w:rsidRPr="00C53EF4" w:rsidRDefault="008266F5" w:rsidP="008266F5">
      <w:pPr>
        <w:pStyle w:val="NormalHanging"/>
      </w:pPr>
      <w:r w:rsidRPr="00C53EF4">
        <w:lastRenderedPageBreak/>
        <w:t>K.</w:t>
      </w:r>
      <w:r w:rsidRPr="00C53EF4">
        <w:tab/>
        <w:t>Considerando que as pressões sobre os custos da habitação e os elevados preços da energia impõem encargos pesados às famílias, mas que a política de habitação tem sido amiúde sub</w:t>
      </w:r>
      <w:r w:rsidRPr="00C53EF4">
        <w:noBreakHyphen/>
        <w:t>representada nas recomendações específicas por país, apesar da sua relevância macroeconómica e do seu papel central na segurança dos rendimentos, na inclusão social e na resiliência ante o custo de vida</w:t>
      </w:r>
      <w:r w:rsidR="00302C95" w:rsidRPr="00C53EF4">
        <w:t>; considerando que</w:t>
      </w:r>
      <w:r w:rsidRPr="00C53EF4">
        <w:t xml:space="preserve"> os investimentos em serviços sociais e no aumento da oferta de habitação, incluindo a habitação social e a preços acessíveis, bem como na eficiência energética, na renovação dos edifícios e na correção da escassez de competências, desempenham um papel fundamental na redução da pobreza, incluindo a pobreza energética, e na melhoria da acessibilidade dos preços;</w:t>
      </w:r>
    </w:p>
    <w:p w14:paraId="5344563C" w14:textId="6FFD159E" w:rsidR="008266F5" w:rsidRPr="00C53EF4" w:rsidRDefault="008266F5" w:rsidP="008266F5">
      <w:pPr>
        <w:pStyle w:val="NormalHanging"/>
      </w:pPr>
      <w:r w:rsidRPr="00C53EF4">
        <w:t>L.</w:t>
      </w:r>
      <w:r w:rsidRPr="00C53EF4">
        <w:tab/>
        <w:t>Considerando que a disparidade salarial em razão do género na UE se situa em 12 %, devido à parte desproporcionada de responsabilidades domésticas e de cuidado dos filhos assumida pelas mulheres e à persistente subavaliação das profissões predominantemente exercidas por mulheres, entre outros fatores</w:t>
      </w:r>
      <w:r w:rsidR="00302C95" w:rsidRPr="00C53EF4">
        <w:t>; considerando que</w:t>
      </w:r>
      <w:r w:rsidRPr="00C53EF4">
        <w:t xml:space="preserve"> as mulheres enfrentam um risco mais elevado de pobreza, particularmente na velhice, e que a disparidade de género nas pensões atinge atualmente 25 %</w:t>
      </w:r>
      <w:r w:rsidRPr="00C53EF4">
        <w:rPr>
          <w:vertAlign w:val="superscript"/>
        </w:rPr>
        <w:footnoteReference w:id="4"/>
      </w:r>
      <w:r w:rsidRPr="00C53EF4">
        <w:t>;</w:t>
      </w:r>
    </w:p>
    <w:p w14:paraId="7FAD133C" w14:textId="77777777" w:rsidR="008266F5" w:rsidRPr="00C53EF4" w:rsidRDefault="008266F5" w:rsidP="008266F5">
      <w:pPr>
        <w:pStyle w:val="NormalHanging12a"/>
      </w:pPr>
      <w:r w:rsidRPr="00C53EF4">
        <w:t>1.</w:t>
      </w:r>
      <w:r w:rsidRPr="00C53EF4">
        <w:tab/>
        <w:t>Enfatiza a vantagem competitiva de investir no modelo social da UE; solicita que as recomendações do Grupo de Alto Nível sobre o futuro da proteção social e do Estado</w:t>
      </w:r>
      <w:r w:rsidRPr="00C53EF4">
        <w:noBreakHyphen/>
        <w:t xml:space="preserve">providência na UE, bem assim como as recomendações dos Relatórios </w:t>
      </w:r>
      <w:proofErr w:type="spellStart"/>
      <w:r w:rsidRPr="00C53EF4">
        <w:t>Letta</w:t>
      </w:r>
      <w:proofErr w:type="spellEnd"/>
      <w:r w:rsidRPr="00C53EF4">
        <w:t xml:space="preserve"> e Draghi, sejam integradas no processo do Semestre Europeu para proteger e reforçar a economia social de mercado da UE; frisa a necessidade de adotar uma abordagem equilibrada que apoie tanto os direitos sociais, os serviços públicos e as estruturas e a cobertura da negociação coletiva como a competitividade; congratula</w:t>
      </w:r>
      <w:r w:rsidRPr="00C53EF4">
        <w:noBreakHyphen/>
        <w:t>se com a integração do Pilar Europeu dos Direitos Sociais no quadro de governação económica, e insta os Estados</w:t>
      </w:r>
      <w:r w:rsidRPr="00C53EF4">
        <w:noBreakHyphen/>
        <w:t xml:space="preserve">Membros a tirarem partido da possibilidade de prorrogar o período de ajustamento para investir nas prioridades do Pilar Europeu dos Direitos Sociais; solicita que o quadro de governação integrado se reflita nos processos internos das instituições da UE, e que os seus órgãos económicos e sociais sejam associados em igual medida; </w:t>
      </w:r>
    </w:p>
    <w:p w14:paraId="2DC7E407" w14:textId="5B3339EB" w:rsidR="008266F5" w:rsidRPr="00C53EF4" w:rsidRDefault="008266F5" w:rsidP="008266F5">
      <w:pPr>
        <w:pStyle w:val="NormalHanging12a"/>
      </w:pPr>
      <w:r w:rsidRPr="00C53EF4">
        <w:t>2.</w:t>
      </w:r>
      <w:r w:rsidRPr="00C53EF4">
        <w:tab/>
        <w:t>Exorta a Comissão e aos Estados</w:t>
      </w:r>
      <w:r w:rsidRPr="00C53EF4">
        <w:noBreakHyphen/>
        <w:t>Membros a darem plena execução ao Pilar Europeu dos Direitos Sociais; realça que o plano de ação atualizado sobre o Pilar Europeu dos Direitos Sociais deve traduzir os compromissos políticos em medidas concretas e ambiciosas, ancoradas em metas claras e mensuráveis e em indicadores de acompanhamento robustos, a fim de combater eficazmente a pobreza e a exclusão social e apoiar os trabalhadores na gestão das transições ecológica e digital, particularmente no que diz respeito às competências, ao ensino e formação profissionais e à aprendizagem ao longo da vida; solicita que as metas do Plano de Ação sobre o Pilar Europeu dos Direitos Sociais sejam inscritas no âmago do Semestre Europeu, tornando</w:t>
      </w:r>
      <w:r w:rsidRPr="00C53EF4">
        <w:noBreakHyphen/>
        <w:t>as parâmetros de referência nas avaliações do Semestre Europeu; observa que a proposta da Comissão relativa a um relatório conjunto sobre o emprego de 2026 se centra, em grande medida, na escassez de competências e de mão de obra e fica aquém de uma avaliação abrangente da aplicação dos 20 princípios do Pilar Europeu dos Direitos Sociais, tal como exige o Regulamento (UE) 2024/1263; insta a Comissão a garantir que todos os princípios do Pilar Europeu dos Direitos Sociais sejam tidos em conta nos futuros ciclos, a fim de assegurar uma panorâmica exata e completa da situação social na UE;</w:t>
      </w:r>
    </w:p>
    <w:p w14:paraId="6883A480" w14:textId="10B2F8F0" w:rsidR="008266F5" w:rsidRPr="00C53EF4" w:rsidRDefault="008266F5" w:rsidP="008266F5">
      <w:pPr>
        <w:pStyle w:val="NormalHanging12a"/>
      </w:pPr>
      <w:r w:rsidRPr="00C53EF4">
        <w:t>3.</w:t>
      </w:r>
      <w:r w:rsidRPr="00C53EF4">
        <w:tab/>
        <w:t xml:space="preserve">Acolhe com agrado a ambição da Comissão de erradicar a pobreza até 2050, o seu Plano Europeu de Habitação a Preços Acessíveis e a sua intenção de propor um ato legislativo </w:t>
      </w:r>
      <w:r w:rsidRPr="00C53EF4">
        <w:lastRenderedPageBreak/>
        <w:t>sobre empregos de qualidade; acolhe igualmente com agrado a primeira estratégia da UE de combate à pobreza e o reforço da Garantia Europeia para a Infância; enfatiza a necessidade de coerência entre o Semestre Europeu, o seguimento dado ao Plano de Ação sobre o Pilar Europeu dos Direitos Sociais e estes futuros instrumentos, formulando para tal metas mensuráveis e recomendações específicas por país correspondentes;</w:t>
      </w:r>
    </w:p>
    <w:p w14:paraId="724DA558" w14:textId="17D7D6A1" w:rsidR="00B16E5D" w:rsidRPr="00C53EF4" w:rsidRDefault="00FD57FE" w:rsidP="008266F5">
      <w:pPr>
        <w:pStyle w:val="NormalHanging12a"/>
      </w:pPr>
      <w:r w:rsidRPr="00C53EF4">
        <w:t>4.</w:t>
      </w:r>
      <w:r w:rsidR="00B16E5D" w:rsidRPr="00C53EF4">
        <w:tab/>
      </w:r>
      <w:r w:rsidR="008C1E12" w:rsidRPr="00C53EF4">
        <w:t xml:space="preserve">Recorda o compromisso assumido em 2019 pela presidente da Comissão, </w:t>
      </w:r>
      <w:proofErr w:type="spellStart"/>
      <w:r w:rsidR="008C1E12" w:rsidRPr="00C53EF4">
        <w:t>Ursula</w:t>
      </w:r>
      <w:proofErr w:type="spellEnd"/>
      <w:r w:rsidR="008C1E12" w:rsidRPr="00C53EF4">
        <w:t xml:space="preserve"> von der </w:t>
      </w:r>
      <w:proofErr w:type="spellStart"/>
      <w:r w:rsidR="008C1E12" w:rsidRPr="00C53EF4">
        <w:t>Leyen</w:t>
      </w:r>
      <w:proofErr w:type="spellEnd"/>
      <w:r w:rsidR="008C1E12" w:rsidRPr="00C53EF4">
        <w:t>, de garantir que todas as crianças em risco de pobreza ou de exclusão social na Europa tivessem acesso aos direitos mais básicos, como os cuidados de saúde e a educação, a que se seguiu a adoção da Recomendação (UE) 2021/1004 do Conselho, de 14 de junho de 2021, relativa à criação de uma Garantia Europeia para a Infância</w:t>
      </w:r>
      <w:r w:rsidRPr="00C53EF4">
        <w:rPr>
          <w:rStyle w:val="FootnoteReference"/>
        </w:rPr>
        <w:footnoteReference w:id="5"/>
      </w:r>
      <w:r w:rsidR="008C1E12" w:rsidRPr="00C53EF4">
        <w:t>; salienta que os objetivos da Garantia Europeia para a Infância não podem ser alcançados sem um orçamento específico ambicioso, tanto a nível da UE como a nível nacional; reitera, nesse contexto, o seu apelo à adoção de um orçamento específico substancial de, pelo menos, 20 mil milhões de EUR para a Garantia Europeia para a Infância; sublinha a necessidade urgente de incluir este orçamento específico no próximo quadro financeiro plurianual, a fim de dar resposta ao problema crescente da pobreza e exclusão social das crianças;</w:t>
      </w:r>
    </w:p>
    <w:p w14:paraId="1D4AB90A" w14:textId="077C9FE0" w:rsidR="008266F5" w:rsidRPr="00C53EF4" w:rsidRDefault="00FD57FE" w:rsidP="008266F5">
      <w:pPr>
        <w:pStyle w:val="NormalHanging12a"/>
      </w:pPr>
      <w:r w:rsidRPr="00C53EF4">
        <w:t>5</w:t>
      </w:r>
      <w:r w:rsidR="008266F5" w:rsidRPr="00C53EF4">
        <w:t>.</w:t>
      </w:r>
      <w:r w:rsidR="008266F5" w:rsidRPr="00C53EF4">
        <w:tab/>
        <w:t xml:space="preserve">Frisa a importância de erradicar a pobreza e a exclusão social infantis, por forma a quebrar os ciclos </w:t>
      </w:r>
      <w:proofErr w:type="spellStart"/>
      <w:r w:rsidR="008266F5" w:rsidRPr="00C53EF4">
        <w:t>intergeracionais</w:t>
      </w:r>
      <w:proofErr w:type="spellEnd"/>
      <w:r w:rsidR="008266F5" w:rsidRPr="00C53EF4">
        <w:t>; congratula</w:t>
      </w:r>
      <w:r w:rsidR="008266F5" w:rsidRPr="00C53EF4">
        <w:noBreakHyphen/>
        <w:t>se com a inclusão de uma avaliação da execução da Garantia Europeia para a Infância em todos os relatórios por país do pacote da primavera de 2025, e incentiva ao acompanhamento contínuo dos progressos realizados no âmbito do Semestre Europeu; lamenta, no entanto, a ausência de seguimento dado a essas constatações, pois que apenas duas recomendações específicas por país em 2025 apelavam à adoção de medidas para combater a pobreza infantil; considera que as recomendações específicas por país devem espelhar a conformidade orçamental dos Estados</w:t>
      </w:r>
      <w:r w:rsidR="008266F5" w:rsidRPr="00C53EF4">
        <w:noBreakHyphen/>
        <w:t>Membros com os requisitos de dotação mínima para o combate à pobreza infantil estabelecidos no Regulamento FSE+</w:t>
      </w:r>
      <w:r w:rsidR="008266F5" w:rsidRPr="00C53EF4">
        <w:rPr>
          <w:vertAlign w:val="superscript"/>
        </w:rPr>
        <w:footnoteReference w:id="6"/>
      </w:r>
      <w:r w:rsidR="008266F5" w:rsidRPr="00C53EF4">
        <w:t xml:space="preserve">; </w:t>
      </w:r>
    </w:p>
    <w:p w14:paraId="56A975BF" w14:textId="5E3B91C0" w:rsidR="008266F5" w:rsidRPr="00C53EF4" w:rsidRDefault="00FD57FE" w:rsidP="008266F5">
      <w:pPr>
        <w:pStyle w:val="NormalHanging12a"/>
      </w:pPr>
      <w:r w:rsidRPr="00C53EF4">
        <w:t>6</w:t>
      </w:r>
      <w:r w:rsidR="008266F5" w:rsidRPr="00C53EF4">
        <w:t>.</w:t>
      </w:r>
      <w:r w:rsidR="008266F5" w:rsidRPr="00C53EF4">
        <w:tab/>
        <w:t xml:space="preserve">Reitera o seu apelo para que se aumente o financiamento da Garantia Europeia para a Infância, com um orçamento específico </w:t>
      </w:r>
      <w:r w:rsidR="008C1E12" w:rsidRPr="00C53EF4">
        <w:t>substancial</w:t>
      </w:r>
      <w:r w:rsidR="008266F5" w:rsidRPr="00C53EF4">
        <w:t>, e para que os Estados</w:t>
      </w:r>
      <w:r w:rsidR="008266F5" w:rsidRPr="00C53EF4">
        <w:noBreakHyphen/>
        <w:t>Membros afetem, pelo menos, 5 % dos seus fundos do FSE+ à luta contra a pobreza infantil e à promoção do bem</w:t>
      </w:r>
      <w:r w:rsidR="008266F5" w:rsidRPr="00C53EF4">
        <w:noBreakHyphen/>
        <w:t>estar das crianças e, no caso dos Estados</w:t>
      </w:r>
      <w:r w:rsidR="008266F5" w:rsidRPr="00C53EF4">
        <w:noBreakHyphen/>
        <w:t>Membros com níveis de pobreza infantil superiores à média da UE, pelo menos 10 %;</w:t>
      </w:r>
    </w:p>
    <w:p w14:paraId="4C7E00FF" w14:textId="2E536458" w:rsidR="00B16E5D" w:rsidRPr="00C53EF4" w:rsidRDefault="00FD57FE" w:rsidP="008266F5">
      <w:pPr>
        <w:pStyle w:val="NormalHanging12a"/>
      </w:pPr>
      <w:r w:rsidRPr="00C53EF4">
        <w:t>7</w:t>
      </w:r>
      <w:r w:rsidR="008266F5" w:rsidRPr="00C53EF4">
        <w:t>.</w:t>
      </w:r>
      <w:r w:rsidR="008266F5" w:rsidRPr="00C53EF4">
        <w:tab/>
        <w:t>Manifesta preocupação com o nível de desemprego dos jovens, que continua a ser superior ao dobro da taxa de desemprego global da UE; realça que, no que concerne aos jovens, é essencial complementar as medidas de ativação do emprego com um apoio sustentado, incluindo o acesso a serviços sociais integrados, à habitação e ao apoio à saúde mental, a fim de assegurar a sua participação contínua na educação ou no emprego; enfatiza a necessidade de os Estados</w:t>
      </w:r>
      <w:r w:rsidR="008266F5" w:rsidRPr="00C53EF4">
        <w:noBreakHyphen/>
        <w:t>Membros investirem na Garantia Europeia para a Juventude reforçada, com vista a garantir um apoio de qualidade e atempado a todos os jovens que não trabalham, não estudam nem seguem qualquer formação (NEET) com menos de 30 anos de idade; exorta os Estados</w:t>
      </w:r>
      <w:r w:rsidR="008266F5" w:rsidRPr="00C53EF4">
        <w:noBreakHyphen/>
        <w:t xml:space="preserve">Membros a </w:t>
      </w:r>
      <w:r w:rsidR="008266F5" w:rsidRPr="00C53EF4">
        <w:lastRenderedPageBreak/>
        <w:t>intensificarem a utilização da Garantia Europeia para a Juventude reforçada como ferramenta para apoiar os jovens que saem do sistema de acolhimento e prevenir o «abismo da desinstitucionalização» («</w:t>
      </w:r>
      <w:proofErr w:type="spellStart"/>
      <w:r w:rsidR="008266F5" w:rsidRPr="00C53EF4">
        <w:rPr>
          <w:i/>
          <w:iCs/>
        </w:rPr>
        <w:t>care</w:t>
      </w:r>
      <w:proofErr w:type="spellEnd"/>
      <w:r w:rsidR="008266F5" w:rsidRPr="00C53EF4">
        <w:rPr>
          <w:i/>
          <w:iCs/>
        </w:rPr>
        <w:t> </w:t>
      </w:r>
      <w:proofErr w:type="spellStart"/>
      <w:r w:rsidR="008266F5" w:rsidRPr="00C53EF4">
        <w:rPr>
          <w:i/>
          <w:iCs/>
        </w:rPr>
        <w:t>cliff</w:t>
      </w:r>
      <w:proofErr w:type="spellEnd"/>
      <w:r w:rsidR="008266F5" w:rsidRPr="00C53EF4">
        <w:t>»), nomeadamente através do acesso a orientação profissional;</w:t>
      </w:r>
    </w:p>
    <w:p w14:paraId="3E16F44F" w14:textId="503D4588" w:rsidR="008266F5" w:rsidRPr="00C53EF4" w:rsidRDefault="00FD57FE" w:rsidP="008C1E12">
      <w:pPr>
        <w:pStyle w:val="NormalHanging12a"/>
      </w:pPr>
      <w:r w:rsidRPr="00C53EF4">
        <w:t>8.</w:t>
      </w:r>
      <w:r w:rsidR="00B16E5D" w:rsidRPr="00C53EF4">
        <w:tab/>
      </w:r>
      <w:r w:rsidR="008C1E12" w:rsidRPr="00C53EF4">
        <w:t>Insta a Comissão e os Estados</w:t>
      </w:r>
      <w:r w:rsidR="008C1E12" w:rsidRPr="00C53EF4">
        <w:noBreakHyphen/>
        <w:t>Membros, no âmbito do Semestre Europeu, a promoverem estágios de elevada qualidade e remunerados de forma justa e a evitarem a sua utilização abusiva como substituição do emprego regular; solicita que a futura diretiva relativa à melhoria das condições de trabalho dos estagiários</w:t>
      </w:r>
      <w:r w:rsidR="00073A60" w:rsidRPr="00C53EF4">
        <w:rPr>
          <w:rStyle w:val="FootnoteReference"/>
        </w:rPr>
        <w:footnoteReference w:id="7"/>
      </w:r>
      <w:r w:rsidR="008C1E12" w:rsidRPr="00C53EF4">
        <w:t xml:space="preserve"> seja ambiciosa e abrangente, assegurando a plena proteção dos direitos dos estagiários, incluindo a possibilidade de pôr termo ao estágio sem prejuízo em caso de violação dos direitos fundamentais, e apela à conclusão rápida das negociações;</w:t>
      </w:r>
    </w:p>
    <w:p w14:paraId="11A73EF6" w14:textId="59A149C5" w:rsidR="008266F5" w:rsidRPr="00C53EF4" w:rsidRDefault="00FD57FE" w:rsidP="008266F5">
      <w:pPr>
        <w:pStyle w:val="NormalHanging12a"/>
      </w:pPr>
      <w:r w:rsidRPr="00C53EF4">
        <w:t>9</w:t>
      </w:r>
      <w:r w:rsidR="008266F5" w:rsidRPr="00C53EF4">
        <w:t>.</w:t>
      </w:r>
      <w:r w:rsidR="008266F5" w:rsidRPr="00C53EF4">
        <w:tab/>
        <w:t>Considera que são necessárias medidas a nível da UE e dos Estados</w:t>
      </w:r>
      <w:r w:rsidR="008266F5" w:rsidRPr="00C53EF4">
        <w:noBreakHyphen/>
        <w:t>Membros para prevenir e combater os níveis persistentemente elevados de pobreza e exclusão social e, neste contexto, congratula</w:t>
      </w:r>
      <w:r w:rsidR="008266F5" w:rsidRPr="00C53EF4">
        <w:noBreakHyphen/>
        <w:t>se com o anúncio da primeira estratégia da UE de combate à pobreza; entende que a estratégia deve proporcionar uma abordagem abrangente do combate às causas profundas e aos aspetos multidimensionais da pobreza e da exclusão social, com respaldo em ações concretas, numa dotação orçamental robusta e em medidas estruturais e objetivos e marcos claros, assegurando uma aplicação e um acompanhamento sólidos; insta os Estados</w:t>
      </w:r>
      <w:r w:rsidR="008266F5" w:rsidRPr="00C53EF4">
        <w:noBreakHyphen/>
        <w:t>Membros a aplicarem a Diretiva relativa a salários mínimos adequados</w:t>
      </w:r>
      <w:r w:rsidR="008266F5" w:rsidRPr="00C53EF4">
        <w:rPr>
          <w:vertAlign w:val="superscript"/>
        </w:rPr>
        <w:footnoteReference w:id="8"/>
      </w:r>
      <w:r w:rsidR="008266F5" w:rsidRPr="00C53EF4">
        <w:t xml:space="preserve"> para combater a pobreza no trabalho e incentivar o trabalho; solicita que a Estratégia da UE de Combate à Pobreza tenha como ponto fulcral a luta contra a pobreza infantil, com vista a quebrar o ciclo da pobreza; exorta os Estados</w:t>
      </w:r>
      <w:r w:rsidR="008266F5" w:rsidRPr="00C53EF4">
        <w:noBreakHyphen/>
        <w:t>Membros a aplicarem na íntegra a Recomendação do Conselho relativa a um rendimento mínimo adequado</w:t>
      </w:r>
      <w:r w:rsidR="008266F5" w:rsidRPr="00C53EF4">
        <w:rPr>
          <w:vertAlign w:val="superscript"/>
        </w:rPr>
        <w:footnoteReference w:id="9"/>
      </w:r>
      <w:r w:rsidR="008266F5" w:rsidRPr="00C53EF4">
        <w:t xml:space="preserve">; </w:t>
      </w:r>
    </w:p>
    <w:p w14:paraId="5827290D" w14:textId="1B9802D4" w:rsidR="008266F5" w:rsidRPr="00C53EF4" w:rsidRDefault="00FD57FE" w:rsidP="008266F5">
      <w:pPr>
        <w:pStyle w:val="NormalHanging12a"/>
      </w:pPr>
      <w:r w:rsidRPr="00C53EF4">
        <w:t>10</w:t>
      </w:r>
      <w:r w:rsidR="008266F5" w:rsidRPr="00C53EF4">
        <w:t>.</w:t>
      </w:r>
      <w:r w:rsidR="008266F5" w:rsidRPr="00C53EF4">
        <w:tab/>
        <w:t>Recorda a importância de melhorar o acesso dos trabalhadores por conta própria à proteção social, e insta a Comissão a utilizar o processo do Semestre Europeu para acompanhar a execução nacional da Recomendação do Conselho relativa ao acesso à proteção social dos trabalhadores por conta de outrem e por conta própria</w:t>
      </w:r>
      <w:r w:rsidR="008266F5" w:rsidRPr="00C53EF4">
        <w:rPr>
          <w:rStyle w:val="FootnoteReference"/>
        </w:rPr>
        <w:footnoteReference w:id="10"/>
      </w:r>
      <w:r w:rsidR="008266F5" w:rsidRPr="00C53EF4">
        <w:t>, incluindo as recomendações específicas por país; recorda, atendendo a que a taxa de trabalhadores por conta própria nos setores culturais e criativos é mais de duas vezes superior à taxa da população em geral, que são necessárias medidas específicas para estes setores; congratula</w:t>
      </w:r>
      <w:r w:rsidR="008266F5" w:rsidRPr="00C53EF4">
        <w:noBreakHyphen/>
        <w:t>se, neste contexto, com o anúncio de uma «carta dos artistas da UE» destinada a sobrelevar os princípios e compromissos fundamentais conducentes a condições de trabalho justas neste setor, mas exorta a Comissão a antecipar a sua publicação para 2026, uma vez que se trata de questões há muito pendentes;</w:t>
      </w:r>
    </w:p>
    <w:p w14:paraId="586177E6" w14:textId="6D9AA50A" w:rsidR="008266F5" w:rsidRPr="00C53EF4" w:rsidRDefault="00FD57FE" w:rsidP="008266F5">
      <w:pPr>
        <w:pStyle w:val="NormalHanging12a"/>
      </w:pPr>
      <w:r w:rsidRPr="00C53EF4">
        <w:lastRenderedPageBreak/>
        <w:t>11</w:t>
      </w:r>
      <w:r w:rsidR="008266F5" w:rsidRPr="00C53EF4">
        <w:t>.</w:t>
      </w:r>
      <w:r w:rsidR="008266F5" w:rsidRPr="00C53EF4">
        <w:tab/>
        <w:t>Lamenta que os objetivos do Quadro Estratégico da UE para os Ciganos não estejam a ser concretizados de forma mais ativa pelos Estados</w:t>
      </w:r>
      <w:r w:rsidR="008266F5" w:rsidRPr="00C53EF4">
        <w:noBreakHyphen/>
        <w:t>Membros e que não estejam a receber uma atenção sustentada no processo do Semestre Europeu, notadamente nas recomendações específicas por país; enfatiza o objetivo do quadro estratégico de reduzir para metade a disparidade no emprego entre os ciganos e a população em geral e assegurar que pelo menos 60 % dos ciganos tenham um trabalho remunerado até 2030; exorta os Estados</w:t>
      </w:r>
      <w:r w:rsidR="008266F5" w:rsidRPr="00C53EF4">
        <w:noBreakHyphen/>
        <w:t>Membros a adotarem uma abordagem integrada e centrada na igualdade e a assegurarem que as políticas e os serviços públicos cheguem efetivamente a todos os ciganos, incluindo os que vivem em zonas rurais e remotas;</w:t>
      </w:r>
    </w:p>
    <w:p w14:paraId="2E418F18" w14:textId="60BA68E4" w:rsidR="008266F5" w:rsidRPr="00C53EF4" w:rsidRDefault="00FD57FE" w:rsidP="008266F5">
      <w:pPr>
        <w:pStyle w:val="NormalHanging12a"/>
      </w:pPr>
      <w:r w:rsidRPr="00C53EF4">
        <w:t>12</w:t>
      </w:r>
      <w:r w:rsidR="008266F5" w:rsidRPr="00C53EF4">
        <w:t>.</w:t>
      </w:r>
      <w:r w:rsidR="008266F5" w:rsidRPr="00C53EF4">
        <w:tab/>
        <w:t>Recorda com preocupação a persistente disparidade na taxa de emprego das pessoas com deficiência, que corresponde a cerca de 24 %, e, por outro lado, o objetivo da UE de transitar dos cuidados institucionais para os cuidados de proximidade ou no seio das famílias para todas as pessoas em causa; insta a Comissão a abordar a disparidade na taxa de emprego das pessoas com deficiência através do Semestre Europeu, inclusive nas recomendações específicas por país, e a atualizar a Estratégia da UE sobre os Direitos das Pessoas com Deficiência 2021</w:t>
      </w:r>
      <w:r w:rsidR="008266F5" w:rsidRPr="00C53EF4">
        <w:noBreakHyphen/>
        <w:t>2030 em consonância com a Convenção das Nações Unidas sobre os Direitos das Pessoas com Deficiência, com novas iniciativas emblemáticas, designadamente uma garantia europeia para o emprego e as competências das pessoas com deficiência; reitera o seu apelo à Comissão para que apresente um plano de ação para a desinstitucionalização que abranja todos os grupos que ainda vivem em instituições, incluindo as crianças, as pessoas com deficiência, as pessoas com problemas de saúde mental e as pessoas em situação de sem</w:t>
      </w:r>
      <w:r w:rsidR="008266F5" w:rsidRPr="00C53EF4">
        <w:noBreakHyphen/>
        <w:t>abrigo; salienta que os progressos no domínio da desinstitucionalização devem ser acompanhados no âmbito do Semestre Europeu, e insta os Estados</w:t>
      </w:r>
      <w:r w:rsidR="008266F5" w:rsidRPr="00C53EF4">
        <w:noBreakHyphen/>
        <w:t>Membros a fazerem pleno uso do FSE+ e de outros fundos da UE e nacionais para finalizar este processo, desenvolver serviços de base comunitária e investir na prevenção;</w:t>
      </w:r>
    </w:p>
    <w:p w14:paraId="241B4BB6" w14:textId="6A56E132" w:rsidR="008266F5" w:rsidRPr="00C53EF4" w:rsidRDefault="00FD57FE" w:rsidP="008266F5">
      <w:pPr>
        <w:pStyle w:val="NormalHanging12a"/>
      </w:pPr>
      <w:r w:rsidRPr="00C53EF4">
        <w:t>13</w:t>
      </w:r>
      <w:r w:rsidR="008266F5" w:rsidRPr="00C53EF4">
        <w:t>.</w:t>
      </w:r>
      <w:r w:rsidR="008266F5" w:rsidRPr="00C53EF4">
        <w:tab/>
        <w:t>Congratula</w:t>
      </w:r>
      <w:r w:rsidR="008266F5" w:rsidRPr="00C53EF4">
        <w:noBreakHyphen/>
        <w:t xml:space="preserve">se com a inclusão permanente do Quadro de Convergência Social no Semestre Europeu; insiste na importância deste quadro, juntamente com o painel de indicadores sociais, para identificar os riscos e acompanhar os progressos em matéria de convergência social ascendente, redução das desigualdades, reforço dos sistemas de proteção social e promoção de condições de trabalho dignas e de medidas de apoio para garantir equidade na transição; insta a Comissão a continuar a desenvolver ferramentas de análise quantitativa e qualitativa inovadoras no âmbito deste novo quadro, de modo que seja aproveitado ao máximo nos futuros ciclos do Semestre Europeu; pede à Comissão que analise os riscos para a convergência social ascendente salientados no seu Relatório Conjunto sobre o Emprego de 2025 </w:t>
      </w:r>
      <w:r w:rsidR="00302C95" w:rsidRPr="00C53EF4">
        <w:t xml:space="preserve">– </w:t>
      </w:r>
      <w:r w:rsidR="008266F5" w:rsidRPr="00C53EF4">
        <w:t>entre os quais os resultados em matéria de emprego dos grupos sub</w:t>
      </w:r>
      <w:r w:rsidR="008266F5" w:rsidRPr="00C53EF4">
        <w:noBreakHyphen/>
        <w:t xml:space="preserve">representados, o abandono escolar precoce e a educação de adultos e a pobreza </w:t>
      </w:r>
      <w:r w:rsidR="00302C95" w:rsidRPr="00C53EF4">
        <w:t xml:space="preserve">– </w:t>
      </w:r>
      <w:r w:rsidR="008266F5" w:rsidRPr="00C53EF4">
        <w:t>na segunda fase da análise, e que debata com os Estados</w:t>
      </w:r>
      <w:r w:rsidR="008266F5" w:rsidRPr="00C53EF4">
        <w:noBreakHyphen/>
        <w:t>Membros em questão as medidas tomadas ou previstas para corrigir estes riscos; faz notar que a resolução dos desafios identificados no relatório conjunto sobre o emprego contribuirá para a consecução da convergência social ascendente;</w:t>
      </w:r>
    </w:p>
    <w:p w14:paraId="46343D3D" w14:textId="220A2A5C" w:rsidR="008266F5" w:rsidRPr="00C53EF4" w:rsidRDefault="00FD57FE" w:rsidP="008266F5">
      <w:pPr>
        <w:pStyle w:val="NormalHanging12a"/>
      </w:pPr>
      <w:r w:rsidRPr="00C53EF4">
        <w:t>14</w:t>
      </w:r>
      <w:r w:rsidR="008266F5" w:rsidRPr="00C53EF4">
        <w:t>.</w:t>
      </w:r>
      <w:r w:rsidR="008266F5" w:rsidRPr="00C53EF4">
        <w:tab/>
        <w:t>Insta a Comissão a melhorar e atualizar o painel de indicadores sociais, certificando</w:t>
      </w:r>
      <w:r w:rsidR="008266F5" w:rsidRPr="00C53EF4">
        <w:noBreakHyphen/>
        <w:t>se de que este reflita os catalisadores e as repercussões da desigualdade, incluindo a igualdade de oportunidades, o emprego de qualidade, a distribuição da riqueza, o acesso aos serviços públicos e sociais, a adequação das pensões, a habitação e a situação de sem</w:t>
      </w:r>
      <w:r w:rsidR="008266F5" w:rsidRPr="00C53EF4">
        <w:noBreakHyphen/>
        <w:t xml:space="preserve">abrigo, a saúde mental, a discriminação e as consequências sociais da degradação ambiental e das alterações climáticas; pede à Comissão que trate a pobreza no trabalho como um sinal de alerta no âmbito do painel de indicadores sociais e que proponha recomendações específicas por país sempre que se registem tendências persistentes </w:t>
      </w:r>
      <w:r w:rsidR="008266F5" w:rsidRPr="00C53EF4">
        <w:lastRenderedPageBreak/>
        <w:t>nesse sentido; destaca a necessidade de resolver os desafios sinalizados como «críticos» ou «a vigiar» no painel de avaliação, entre eles o abandono escolar precoce, a sobrecarga das despesas em habitação, o impacto das transferências sociais, a disparidade na taxa de emprego das pessoas com deficiência, as necessidades de cuidados médicos não satisfeitas declaradas pelo próprio, o acolhimento de crianças, as competências digitais básicas e a pobreza infantil; defende a inclusão de um índice de progresso social e do Índice de Igualdade de Género para melhor medir a desigualdade, o acesso às oportunidades e o bem</w:t>
      </w:r>
      <w:r w:rsidR="008266F5" w:rsidRPr="00C53EF4">
        <w:noBreakHyphen/>
        <w:t>estar com recurso a dados desagregados; ressalta a necessidade de dispor de dados e metodologias atempados, harmonizados e transparentes para melhorar a elaboração de políticas baseadas em dados concretos e a orientação dos investimentos sociais, bem como de harmonizar o painel de indicadores sociais com os 20 princípios do Pilar Europeu dos Direitos Sociais;</w:t>
      </w:r>
    </w:p>
    <w:p w14:paraId="5D1E28DF" w14:textId="7B07D42D" w:rsidR="008266F5" w:rsidRPr="00C53EF4" w:rsidRDefault="00FD57FE" w:rsidP="008266F5">
      <w:pPr>
        <w:pStyle w:val="NormalHanging12a"/>
      </w:pPr>
      <w:r w:rsidRPr="00C53EF4">
        <w:t>15</w:t>
      </w:r>
      <w:r w:rsidR="008266F5" w:rsidRPr="00C53EF4">
        <w:t>.</w:t>
      </w:r>
      <w:r w:rsidR="008266F5" w:rsidRPr="00C53EF4">
        <w:tab/>
        <w:t xml:space="preserve">Recorda que o indicador de risco de pobreza ou exclusão social não tem suficientemente em conta as causas profundas da pobreza e das desigualdades complexas, em particular a inclusão das pessoas que vivem fora de residências particulares, os aspetos qualitativos da pobreza e as experiências vividas de marginalização, atendendo a que a pobreza é mais do que a insuficiência de rendimentos ou a privação material; convida o Comité da Proteção Social a trabalhar na reformulação da medida estatística de risco de pobreza ou exclusão social, a fim de a alargar para obter uma visão mais sólida, desagregada e multidimensional da pobreza e da exclusão social; </w:t>
      </w:r>
    </w:p>
    <w:p w14:paraId="6912D970" w14:textId="7663AA7F" w:rsidR="008266F5" w:rsidRPr="00C53EF4" w:rsidRDefault="00FD57FE" w:rsidP="008266F5">
      <w:pPr>
        <w:pStyle w:val="NormalHanging12a"/>
      </w:pPr>
      <w:r w:rsidRPr="00C53EF4">
        <w:t>16</w:t>
      </w:r>
      <w:r w:rsidR="008266F5" w:rsidRPr="00C53EF4">
        <w:t>.</w:t>
      </w:r>
      <w:r w:rsidR="008266F5" w:rsidRPr="00C53EF4">
        <w:tab/>
        <w:t>Recorda que o investimento social pode ter efeitos positivos no crescimento económico, na produtividade e na competitividade, ao mesmo tempo que contribui para a sustentabilidade orçamental e promove a coesão social ascendente, as condições de vida e de trabalho e a inclusão dos grupos vulneráveis; insta a Comissão e os Estados</w:t>
      </w:r>
      <w:r w:rsidR="008266F5" w:rsidRPr="00C53EF4">
        <w:noBreakHyphen/>
        <w:t>Membros a tratarem o investimento social como um pilar do crescimento sustentável e a centrarem as atenções nos investimentos de eficácia comprovada para o crescimento, a produtividade, a qualidade do emprego e o aumento da participação no mercado de trabalho; convida os Estados</w:t>
      </w:r>
      <w:r w:rsidR="008266F5" w:rsidRPr="00C53EF4">
        <w:noBreakHyphen/>
        <w:t>Membros a utilizarem o Mecanismo de Recuperação e Resiliência de forma integral e direcionada até 31 de dezembro de 2026 para dirimir os desafios identificados nas recomendações específicas por país; solicita à Comissão que forneça orientações sobre a alavancagem do investimento privado e das parcerias público</w:t>
      </w:r>
      <w:r w:rsidR="008266F5" w:rsidRPr="00C53EF4">
        <w:noBreakHyphen/>
        <w:t>privadas para suprir as lacunas no que toca a infraestruturas sociais; saúda a criação do polo de conhecimentos sobre o investimento social com o intuito de aumentar a aprendizagem mútua e a assistência técnica, continuar a melhorar a atualidade e a disponibilidade dos indicadores sociais, encurtar o retardamento da avaliação das tendências em matéria de pobreza e de desigualdade e melhorar o acesso dos Estados</w:t>
      </w:r>
      <w:r w:rsidR="008266F5" w:rsidRPr="00C53EF4">
        <w:noBreakHyphen/>
        <w:t>Membros aos dados para a avaliação das políticas e a avaliação do impacto;</w:t>
      </w:r>
    </w:p>
    <w:p w14:paraId="132C8325" w14:textId="6890B68E" w:rsidR="008266F5" w:rsidRPr="00C53EF4" w:rsidRDefault="00FD57FE" w:rsidP="008266F5">
      <w:pPr>
        <w:pStyle w:val="NormalHanging12a"/>
      </w:pPr>
      <w:r w:rsidRPr="00C53EF4">
        <w:t>17</w:t>
      </w:r>
      <w:r w:rsidR="008266F5" w:rsidRPr="00C53EF4">
        <w:t>.</w:t>
      </w:r>
      <w:r w:rsidR="008266F5" w:rsidRPr="00C53EF4">
        <w:tab/>
        <w:t>Recorda que a economia social é uma componente basilar do investimento social que desempenha um papel único no desenvolvimento de soluções inclusivas e inovadoras a nível local e contribui para a criação de emprego de qualidade, para a prestação de serviços sociais e de proximidade acessíveis e a preços comportáveis e para as transições ecológica e digital; constata que a opinião pública é fortemente favorável à economia social, sendo que 88 % dos inquiridos num inquérito Eurobarómetro se declararam a favor de estratégias e legislação que visem promovê</w:t>
      </w:r>
      <w:r w:rsidR="008266F5" w:rsidRPr="00C53EF4">
        <w:noBreakHyphen/>
        <w:t>la; insta a Comissão e os Estados</w:t>
      </w:r>
      <w:r w:rsidR="008266F5" w:rsidRPr="00C53EF4">
        <w:noBreakHyphen/>
        <w:t>Membros a fortalecerem as suas condições</w:t>
      </w:r>
      <w:r w:rsidR="008266F5" w:rsidRPr="00C53EF4">
        <w:noBreakHyphen/>
        <w:t>quadro, facilitando o acesso ao financiamento, proporcionando oportunidades de reforço das capacidades e garantindo a sua visibilidade, e a refletirem os objetivos do Plano de Ação para a Economia Social no Semestre Europeu, nomeadamente através de recomendações específicas por país e da utilização direcionada dos fundos da UE;</w:t>
      </w:r>
    </w:p>
    <w:p w14:paraId="2DAFD3AC" w14:textId="605DDBA8" w:rsidR="008266F5" w:rsidRPr="00C53EF4" w:rsidRDefault="00FD57FE" w:rsidP="008266F5">
      <w:pPr>
        <w:pStyle w:val="NormalHanging12a"/>
      </w:pPr>
      <w:r w:rsidRPr="00C53EF4">
        <w:lastRenderedPageBreak/>
        <w:t>18</w:t>
      </w:r>
      <w:r w:rsidR="008266F5" w:rsidRPr="00C53EF4">
        <w:t>.</w:t>
      </w:r>
      <w:r w:rsidR="008266F5" w:rsidRPr="00C53EF4">
        <w:tab/>
        <w:t>Enfatiza que o plano de habitação a preços acessíveis da Comissão deve ser mais bem integrado no Semestre Europeu, aumentando a ênfase dada nas recomendações específicas por país à habitação a preços acessíveis, digna e sustentável, mormente para os grupos com rendimentos baixos e médios, bem como para as pessoas com deficiência e as pessoas idosas; solicita um acompanhamento acrescido dos progressos realizados pelos Estados</w:t>
      </w:r>
      <w:r w:rsidR="008266F5" w:rsidRPr="00C53EF4">
        <w:noBreakHyphen/>
        <w:t>Membros na garantia de acesso a habitação adequada, segura e não segregada para as comunidades ciganas em situação de pobreza extrema; recorda aos signatários da Declaração de Lisboa sobre a Plataforma Europeia de Combate à Situação de Sem</w:t>
      </w:r>
      <w:r w:rsidR="008266F5" w:rsidRPr="00C53EF4">
        <w:noBreakHyphen/>
        <w:t>Abrigo o objetivo de erradicar a condição de sem</w:t>
      </w:r>
      <w:r w:rsidR="008266F5" w:rsidRPr="00C53EF4">
        <w:noBreakHyphen/>
        <w:t>abrigo até 2030; insta os Estados</w:t>
      </w:r>
      <w:r w:rsidR="008266F5" w:rsidRPr="00C53EF4">
        <w:noBreakHyphen/>
        <w:t>Membros a conjugarem medidas que aumentem a oferta, reduzam os custos de construção e corrijam a escassez de mão de obra no setor da construção e da habitação, garantido apoio do lado da procura que permita às pessoas, notadamente aos agregados familiares em situação vulnerável, aceder a habitação digna, sustentável e a preços comportáveis; salienta que os planos orçamentais</w:t>
      </w:r>
      <w:r w:rsidR="008266F5" w:rsidRPr="00C53EF4">
        <w:noBreakHyphen/>
        <w:t>estruturais nacionais de médio prazo e as estratégias de investimento devem apoiar a habitação social e a preços acessíveis, a prevenção e a redução da situação de sem</w:t>
      </w:r>
      <w:r w:rsidR="008266F5" w:rsidRPr="00C53EF4">
        <w:noBreakHyphen/>
        <w:t>abrigo e a renovação de edifícios, a fim de reduzir a pobreza energética e melhorar as condições de habitação, particularmente para os agregados familiares vulneráveis; recorda que o Fundo Social em matéria de Clima disponibilizará financiamento aos Estados</w:t>
      </w:r>
      <w:r w:rsidR="008266F5" w:rsidRPr="00C53EF4">
        <w:noBreakHyphen/>
        <w:t>Membros a partir de 2026 para apoiar os agregados familiares vulneráveis e as microempresas;</w:t>
      </w:r>
    </w:p>
    <w:p w14:paraId="4D582DEC" w14:textId="0BC0B784" w:rsidR="008266F5" w:rsidRPr="00C53EF4" w:rsidRDefault="00FD57FE" w:rsidP="008266F5">
      <w:pPr>
        <w:pStyle w:val="NormalHanging12a"/>
      </w:pPr>
      <w:r w:rsidRPr="00C53EF4">
        <w:t>19</w:t>
      </w:r>
      <w:r w:rsidR="008266F5" w:rsidRPr="00C53EF4">
        <w:t>.</w:t>
      </w:r>
      <w:r w:rsidR="008266F5" w:rsidRPr="00C53EF4">
        <w:tab/>
        <w:t>Enfatiza que o investimento numa educação e numa aprendizagem ao longo da vida acessíveis e de elevada qualidade é um investimento social estratégico que é essencial para a coesão, a inclusão e a preparação da mão de obra para as transições ecológica e digital e para as necessidades da UE relacionadas com a defesa, nomeadamente através do ensino e formação profissionais e dos programas de aprendizagem; congratula</w:t>
      </w:r>
      <w:r w:rsidR="008266F5" w:rsidRPr="00C53EF4">
        <w:noBreakHyphen/>
        <w:t xml:space="preserve">se com a proposta de recomendação do Conselho sobre o capital humano na UE e com a sua ênfase na resposta à escassez de competências, na utilização de informações sobre competências para a conceção de estratégias em matéria de competências e no desenvolvimento de um vasto conjunto de competências básicas, incluindo a literacia digital, de cidadania e em inteligência artificial, com vista a preparar as pessoas para a vida moderna; reconhece que um investimento insuficiente no capital humano entrava a inovação, a competitividade e a possibilidade de as pessoas realizarem todo o seu potencial; </w:t>
      </w:r>
    </w:p>
    <w:p w14:paraId="4AE698AA" w14:textId="7B4D039D" w:rsidR="008266F5" w:rsidRPr="00C53EF4" w:rsidRDefault="00FD57FE" w:rsidP="008266F5">
      <w:pPr>
        <w:pStyle w:val="NormalHanging12a"/>
      </w:pPr>
      <w:r w:rsidRPr="00C53EF4">
        <w:t>20</w:t>
      </w:r>
      <w:r w:rsidR="008266F5" w:rsidRPr="00C53EF4">
        <w:t>.</w:t>
      </w:r>
      <w:r w:rsidR="008266F5" w:rsidRPr="00C53EF4">
        <w:tab/>
        <w:t xml:space="preserve">Salienta a necessidade de as iniciativas da UE em matéria de escassez de competências prestarem um maior apoio a sistemas de educação e formação abrangentes e inclusivos, nomeadamente através de políticas ativas do mercado de trabalho, de contas individuais de aprendizagem e de </w:t>
      </w:r>
      <w:proofErr w:type="spellStart"/>
      <w:r w:rsidR="008266F5" w:rsidRPr="00C53EF4">
        <w:t>microcredenciais</w:t>
      </w:r>
      <w:proofErr w:type="spellEnd"/>
      <w:r w:rsidR="008266F5" w:rsidRPr="00C53EF4">
        <w:t>, bem como do reforço dos procedimentos de validação da aprendizagem não formal e informal; salienta ainda a importância de melhorar e facilitar a mobilidade laboral justa na UE e o papel da migração legal e do reconhecimento das qualificações estrangeiras para combater a escassez de competências; manifesta preocupação com o facto de a participação de adultos em ações de formação continuar muito abaixo da meta de 60 % na maioria dos Estados</w:t>
      </w:r>
      <w:r w:rsidR="008266F5" w:rsidRPr="00C53EF4">
        <w:noBreakHyphen/>
        <w:t>Membros, em particular entre os trabalhadores pouco qualificados, os trabalhadores mais velhos, os nacionais de países terceiros e as pessoas com deficiência; insta a Comissão a apresentar soluções concretas para a escassez de competências e a dar resposta aos desafios persistentes no futuro pacote de medidas relativas à mobilidade laboral justa, assegurando que a futura Iniciativa sobre a Portabilidade de Competências aborde os atuais obstáculos ao reconhecimento das competências;</w:t>
      </w:r>
    </w:p>
    <w:p w14:paraId="0B7B9B1C" w14:textId="685ADF2D" w:rsidR="008266F5" w:rsidRPr="00C53EF4" w:rsidRDefault="00FD57FE" w:rsidP="008266F5">
      <w:pPr>
        <w:pStyle w:val="NormalHanging12a"/>
      </w:pPr>
      <w:r w:rsidRPr="00C53EF4">
        <w:lastRenderedPageBreak/>
        <w:t>21</w:t>
      </w:r>
      <w:r w:rsidR="008266F5" w:rsidRPr="00C53EF4">
        <w:t>.</w:t>
      </w:r>
      <w:r w:rsidR="008266F5" w:rsidRPr="00C53EF4">
        <w:tab/>
        <w:t xml:space="preserve">Está firmemente convicto de que a concessão, aos trabalhadores, de um direito individual à formação durante o horário de trabalho </w:t>
      </w:r>
      <w:r w:rsidR="001D6C3C" w:rsidRPr="00C53EF4">
        <w:t xml:space="preserve">– </w:t>
      </w:r>
      <w:r w:rsidR="008266F5" w:rsidRPr="00C53EF4">
        <w:t xml:space="preserve">que permitiria superar os principais obstáculos à sua participação em ações de formação </w:t>
      </w:r>
      <w:r w:rsidR="001D6C3C" w:rsidRPr="00C53EF4">
        <w:t xml:space="preserve">– </w:t>
      </w:r>
      <w:r w:rsidR="008266F5" w:rsidRPr="00C53EF4">
        <w:t>poderá assegurar a qualidade do aperfeiçoamento e da requalificação profissionais, a formação dos trabalhadores e o apoio à progressão na carreira, a fim de garantir aos empregadores uma oferta previsível e estável de mão de obra qualificada; sublinha a necessidade de eliminar a barreira dos custos, assegurando formação gratuita para os trabalhadores, sustentada em financiamento, incentivos fiscais e parcerias; frisa que as instituições nacionais e os parceiros sociais são responsáveis pela formação dos trabalhadores e destaca o seu papel essencial na aplicação do direito à formação; insta, a este respeito, os Estados</w:t>
      </w:r>
      <w:r w:rsidR="008266F5" w:rsidRPr="00C53EF4">
        <w:noBreakHyphen/>
        <w:t>Membros a promoverem e a darem prioridade a regimes de formação desenvolvidos conjuntamente pelos trabalhadores e pelos respetivos empregadores, garantindo que a melhoria de competências e a requalificação correspondam à procura real do mercado e contribuam para a progressão na carreira; insta a Comissão a explorar e a emitir orientações sobre a forma como as parcerias público</w:t>
      </w:r>
      <w:r w:rsidR="008266F5" w:rsidRPr="00C53EF4">
        <w:noBreakHyphen/>
        <w:t>privadas entre os Estados</w:t>
      </w:r>
      <w:r w:rsidR="008266F5" w:rsidRPr="00C53EF4">
        <w:noBreakHyphen/>
        <w:t>Membros e as empresas podem financiar a formação, a requalificação e a melhoria de competências dos trabalhadores, em particular o direito à formação de cada trabalhador;</w:t>
      </w:r>
    </w:p>
    <w:p w14:paraId="1FFA437C" w14:textId="0130A53B" w:rsidR="008266F5" w:rsidRPr="00C53EF4" w:rsidRDefault="00FD57FE" w:rsidP="008266F5">
      <w:pPr>
        <w:pStyle w:val="NormalHanging12a"/>
      </w:pPr>
      <w:r w:rsidRPr="00C53EF4">
        <w:t>22</w:t>
      </w:r>
      <w:r w:rsidR="008266F5" w:rsidRPr="00C53EF4">
        <w:t>.</w:t>
      </w:r>
      <w:r w:rsidR="008266F5" w:rsidRPr="00C53EF4">
        <w:tab/>
        <w:t xml:space="preserve">Enfatiza que a equidade </w:t>
      </w:r>
      <w:proofErr w:type="spellStart"/>
      <w:r w:rsidR="008266F5" w:rsidRPr="00C53EF4">
        <w:t>intergeracional</w:t>
      </w:r>
      <w:proofErr w:type="spellEnd"/>
      <w:r w:rsidR="008266F5" w:rsidRPr="00C53EF4">
        <w:t xml:space="preserve"> deve passar a ser uma componente estrutural do Semestre Europeu; insta a Comissão, no âmbito da sua estratégia para a equidade </w:t>
      </w:r>
      <w:proofErr w:type="spellStart"/>
      <w:r w:rsidR="008266F5" w:rsidRPr="00C53EF4">
        <w:t>intergeracional</w:t>
      </w:r>
      <w:proofErr w:type="spellEnd"/>
      <w:r w:rsidR="008266F5" w:rsidRPr="00C53EF4">
        <w:t>, a integrar indicadores sobre o bem</w:t>
      </w:r>
      <w:r w:rsidR="008266F5" w:rsidRPr="00C53EF4">
        <w:noBreakHyphen/>
        <w:t xml:space="preserve">estar dos jovens e dos idosos, o acesso a empregos de qualidade, a acessibilidade dos preços e a disponibilidade de habitação, a acessibilidade física, a adequação do rendimento mínimo e das pensões, o acesso a serviços de saúde mental de qualidade e a educação e competências de elevada qualidade no quadro de avaliação do Semestre Europeu, bem como a avaliar os impactos distributivos e a longo prazo das recomendações orçamentais e de reforma; convida a Comissão a avaliar os efeitos económicos, ambientais e sociais a longo prazo das recomendações estratégicas, incluindo sobre o </w:t>
      </w:r>
      <w:proofErr w:type="spellStart"/>
      <w:r w:rsidR="008266F5" w:rsidRPr="00C53EF4">
        <w:t>subinvestimento</w:t>
      </w:r>
      <w:proofErr w:type="spellEnd"/>
      <w:r w:rsidR="008266F5" w:rsidRPr="00C53EF4">
        <w:t>, para as gerações futuras; salienta a necessidade de integrar melhor os efeitos da transformação demográfica e do aumento da longevidade no Semestre Europeu; sublinha que a evolução demográfica dita a necessidade de políticas destinadas a aumentar a participação da população ativa; destaca que são necessárias medidas que apoiem o envelhecimento ativo e assegurem a sustentabilidade a longo prazo dos sistemas de pensões e de prestação de cuidados; considera que as recomendações específicas por país devem incentivar pensões que garantam a todos uma vida com dignidade e bem</w:t>
      </w:r>
      <w:r w:rsidR="008266F5" w:rsidRPr="00C53EF4">
        <w:noBreakHyphen/>
        <w:t>estar e o acesso a serviços de cuidados de saúde e preventivos de qualidade a preços comportáveis;</w:t>
      </w:r>
    </w:p>
    <w:p w14:paraId="5EFBBC5E" w14:textId="423F80C8" w:rsidR="008266F5" w:rsidRPr="00C53EF4" w:rsidRDefault="00FD57FE" w:rsidP="008266F5">
      <w:pPr>
        <w:pStyle w:val="NormalHanging12a"/>
      </w:pPr>
      <w:r w:rsidRPr="00C53EF4">
        <w:t>23</w:t>
      </w:r>
      <w:r w:rsidR="008266F5" w:rsidRPr="00C53EF4">
        <w:t>.</w:t>
      </w:r>
      <w:r w:rsidR="008266F5" w:rsidRPr="00C53EF4">
        <w:tab/>
        <w:t>Realça que, no quadro do Semestre Europeu, as despesas com a defesa devem ser planeadas de forma coordenada, eficiente, transparente e europeia, a fim de maximizar os benefícios para a sociedade; sublinha que os investimentos relacionados com a segurança devem contemplar a resiliência da sociedade, incluindo as infraestruturas com elevados benefícios civis, a proteção social, a educação cívica, a resiliência democrática e a proteção contra a desinformação, reconhecendo que a estabilidade social e a confiança democrática são componentes importantes da arquitetura de segurança da Europa, com integração obrigatória na análise das necessidades de reforma e de investimento a longo prazo realizada no âmbito do Semestre Europeu;</w:t>
      </w:r>
    </w:p>
    <w:p w14:paraId="7A76578F" w14:textId="193C42EA" w:rsidR="008266F5" w:rsidRPr="00C53EF4" w:rsidRDefault="00FD57FE" w:rsidP="008266F5">
      <w:pPr>
        <w:pStyle w:val="NormalHanging12a"/>
      </w:pPr>
      <w:r w:rsidRPr="00C53EF4">
        <w:t>24</w:t>
      </w:r>
      <w:r w:rsidR="008266F5" w:rsidRPr="00C53EF4">
        <w:t>.</w:t>
      </w:r>
      <w:r w:rsidR="008266F5" w:rsidRPr="00C53EF4">
        <w:tab/>
        <w:t xml:space="preserve">Sublinha que as recomendações do Semestre Europeu em 2026 serão cruciais para a definição do próximo quadro financeiro plurianual; considera que as reformas e os investimentos devem ser selecionados com base na eficiência e na eficácia com que </w:t>
      </w:r>
      <w:r w:rsidR="008266F5" w:rsidRPr="00C53EF4">
        <w:lastRenderedPageBreak/>
        <w:t>respondem às recomendações específicas por país pertinentes; adverte que, para que o financiamento da UE esteja vinculado às orientações do Semestre Europeu, essas orientações devem ser socialmente equilibradas, em plena consonância com o Pilar Europeu dos Direitos Sociais, e os intervenientes regionais e locais devem desempenhar um papel importante no desembolso dos fundos; regista com preocupação, a este respeito, a proposta da Comissão relativa às despesas sociais, que comporta o risco de diluir a ênfase nos objetivos sociais e de emprego, e solicita um FSE+ autónomo e reforçado com concentrações temáticas;</w:t>
      </w:r>
    </w:p>
    <w:p w14:paraId="2909FAFE" w14:textId="37DFCA2C" w:rsidR="008266F5" w:rsidRPr="00C53EF4" w:rsidRDefault="00FD57FE" w:rsidP="008266F5">
      <w:pPr>
        <w:pStyle w:val="NormalHanging12a"/>
      </w:pPr>
      <w:r w:rsidRPr="00C53EF4">
        <w:t>25</w:t>
      </w:r>
      <w:r w:rsidR="008266F5" w:rsidRPr="00C53EF4">
        <w:t>.</w:t>
      </w:r>
      <w:r w:rsidR="008266F5" w:rsidRPr="00C53EF4">
        <w:tab/>
        <w:t>Considera que o modelo social da UE é parte integrante da sua competitividade e que os esforços de simplificação dos encargos administrativos para as empresas devem preservar e garantir os direitos sociais; enfatiza que a qualidade do emprego e a competitividade não baseada nos custos, como a qualidade dos produtos e dos serviços, também podem contribuir para a produtividade e o aumento dos salários; destaca a importância de proporcionar maior clareza, proporcionalidade e segurança jurídica, em particular às pequenas e médias empresas e aos profissionais independentes, e enfatiza que essas abordagens devem respeitar a diversidade dos modelos do mercado de trabalho em todos os Estados</w:t>
      </w:r>
      <w:r w:rsidR="008266F5" w:rsidRPr="00C53EF4">
        <w:noBreakHyphen/>
        <w:t>Membros, apoiando simultaneamente a atividade económica sustentável e a criação de emprego de qualidade;</w:t>
      </w:r>
    </w:p>
    <w:p w14:paraId="7EEEA76E" w14:textId="1F5BD88C" w:rsidR="008266F5" w:rsidRPr="00C53EF4" w:rsidRDefault="00FD57FE" w:rsidP="008266F5">
      <w:pPr>
        <w:pStyle w:val="NormalHanging12a"/>
      </w:pPr>
      <w:r w:rsidRPr="00C53EF4">
        <w:t>26</w:t>
      </w:r>
      <w:r w:rsidR="008266F5" w:rsidRPr="00C53EF4">
        <w:t>.</w:t>
      </w:r>
      <w:r w:rsidR="008266F5" w:rsidRPr="00C53EF4">
        <w:tab/>
        <w:t>Preconiza um processo do Semestre Europeu mais democrático, com um forte envolvimento do Parlamento na definição das prioridades de política económica e social e na tomada de decisões de governação económica; insiste em que a formulação, o acompanhamento e o seguimento das reformas nacionais devem envolver sistematicamente os parceiros sociais, as organizações da sociedade civil e os intervenientes regionais e locais, com tempo e transparência adequados; insta a Comissão e os Estados</w:t>
      </w:r>
      <w:r w:rsidR="008266F5" w:rsidRPr="00C53EF4">
        <w:noBreakHyphen/>
        <w:t xml:space="preserve">Membros a assegurarem a sua participação adequada em todas as fases da análise, nomeadamente no âmbito do Quadro de Convergência Social, a fim de reforçar a apropriação e assegurar que os direitos sociais da UE sejam efetivamente aplicados; enfatiza que o respeito do princípio da subsidiariedade e das competências nacionais continua a ser um aspeto central do Semestre Europeu; recorda a necessidade de a Comissão assegurar que o Semestre Europeu e o quadro de governação económica da UE avaliem o impacto das reformas recomendadas sobre a igualdade de género e a integração das mulheres no mercado de trabalho, bem como de promover o investimento em serviços públicos e em infraestruturas de prestação de cuidados de qualidade; </w:t>
      </w:r>
    </w:p>
    <w:p w14:paraId="249A19E7" w14:textId="218F2F2E" w:rsidR="008266F5" w:rsidRPr="00C53EF4" w:rsidRDefault="00FD57FE" w:rsidP="008266F5">
      <w:pPr>
        <w:pStyle w:val="NormalHanging12a"/>
      </w:pPr>
      <w:r w:rsidRPr="00C53EF4">
        <w:t>27</w:t>
      </w:r>
      <w:r w:rsidR="008266F5" w:rsidRPr="00C53EF4">
        <w:t>.</w:t>
      </w:r>
      <w:r w:rsidR="008266F5" w:rsidRPr="00C53EF4">
        <w:tab/>
        <w:t>Chama a atenção para a ausência de uma metodologia transparente para a formulação de recomendações específicas por país e de clareza sobre os critérios utilizados para a sua seleção; adverte que isto compromete a responsabilização e comporta o risco de tratamento desigual dos Estados</w:t>
      </w:r>
      <w:r w:rsidR="008266F5" w:rsidRPr="00C53EF4">
        <w:noBreakHyphen/>
        <w:t>Membros; solicita à Comissão que assegure a plena transparência dos procedimentos e do processo decisório interno, incluindo as direções</w:t>
      </w:r>
      <w:r w:rsidR="008266F5" w:rsidRPr="00C53EF4">
        <w:noBreakHyphen/>
        <w:t>gerais envolvidas, e que reforce a prestação de contas e a partilha de informações com o Parlamento; manifesta preocupação com a persistência de um baixo nível de cumprimento das recomendações específicas por país; apela aos Estados</w:t>
      </w:r>
      <w:r w:rsidR="008266F5" w:rsidRPr="00C53EF4">
        <w:noBreakHyphen/>
        <w:t>Membros para que deem melhor execução às recomendações nos domínios do emprego e das políticas sociais; insta a Comissão a reforçar o seu diálogo com os Estados</w:t>
      </w:r>
      <w:r w:rsidR="008266F5" w:rsidRPr="00C53EF4">
        <w:noBreakHyphen/>
        <w:t>Membros sobre a execução das recomendações formuladas e das Orientações para o Emprego, incluindo o seguimento dado às medidas estratégicas atuais e previstas;</w:t>
      </w:r>
    </w:p>
    <w:p w14:paraId="46E07EF8" w14:textId="0D11B3A8" w:rsidR="000118E3" w:rsidRPr="00C53EF4" w:rsidRDefault="00FD57FE" w:rsidP="000118E3">
      <w:pPr>
        <w:pStyle w:val="NormalHanging12a"/>
      </w:pPr>
      <w:r w:rsidRPr="00C53EF4">
        <w:t>28</w:t>
      </w:r>
      <w:r w:rsidR="008266F5" w:rsidRPr="00C53EF4">
        <w:t>.</w:t>
      </w:r>
      <w:r w:rsidR="008266F5" w:rsidRPr="00C53EF4">
        <w:tab/>
        <w:t>Encarrega a sua Presidente de transmitir a presente resolução ao Conselho e à Comissão.</w:t>
      </w:r>
    </w:p>
    <w:p w14:paraId="4B40749D" w14:textId="76AE10B4" w:rsidR="00E365E1" w:rsidRPr="00C53EF4" w:rsidRDefault="00E365E1" w:rsidP="00A158D5"/>
    <w:sectPr w:rsidR="00E365E1" w:rsidRPr="00C53EF4" w:rsidSect="000118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398AB" w14:textId="77777777" w:rsidR="00A158D5" w:rsidRPr="000118E3" w:rsidRDefault="00A158D5">
      <w:r w:rsidRPr="000118E3">
        <w:separator/>
      </w:r>
    </w:p>
  </w:endnote>
  <w:endnote w:type="continuationSeparator" w:id="0">
    <w:p w14:paraId="40432BAE" w14:textId="77777777" w:rsidR="00A158D5" w:rsidRPr="000118E3" w:rsidRDefault="00A158D5">
      <w:r w:rsidRPr="000118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2DFB3" w14:textId="77777777" w:rsidR="00A158D5" w:rsidRPr="000118E3" w:rsidRDefault="00A158D5">
      <w:r w:rsidRPr="000118E3">
        <w:separator/>
      </w:r>
    </w:p>
  </w:footnote>
  <w:footnote w:type="continuationSeparator" w:id="0">
    <w:p w14:paraId="0D6347E7" w14:textId="77777777" w:rsidR="00A158D5" w:rsidRPr="000118E3" w:rsidRDefault="00A158D5">
      <w:r w:rsidRPr="000118E3">
        <w:continuationSeparator/>
      </w:r>
    </w:p>
  </w:footnote>
  <w:footnote w:id="1">
    <w:p w14:paraId="6393E614" w14:textId="4B3A2B2E" w:rsidR="008266F5" w:rsidRPr="001065CF" w:rsidRDefault="008266F5" w:rsidP="000118E3">
      <w:pPr>
        <w:pStyle w:val="FootnoteText"/>
        <w:ind w:left="567" w:hanging="567"/>
        <w:rPr>
          <w:sz w:val="24"/>
          <w:lang w:val="fi-FI"/>
        </w:rPr>
      </w:pPr>
      <w:r w:rsidRPr="000118E3">
        <w:rPr>
          <w:rStyle w:val="FootnoteReference"/>
          <w:sz w:val="24"/>
          <w:lang w:val="pt-PT"/>
        </w:rPr>
        <w:footnoteRef/>
      </w:r>
      <w:r w:rsidR="000118E3" w:rsidRPr="001065CF">
        <w:rPr>
          <w:sz w:val="24"/>
          <w:lang w:val="fi-FI"/>
        </w:rPr>
        <w:t xml:space="preserve"> </w:t>
      </w:r>
      <w:r w:rsidR="000118E3" w:rsidRPr="001065CF">
        <w:rPr>
          <w:sz w:val="24"/>
          <w:lang w:val="fi-FI"/>
        </w:rPr>
        <w:tab/>
      </w:r>
      <w:r w:rsidRPr="001065CF">
        <w:rPr>
          <w:sz w:val="24"/>
          <w:lang w:val="fi-FI"/>
        </w:rPr>
        <w:t xml:space="preserve">JO L, 2024/1263, 30.4.2024, ELI: </w:t>
      </w:r>
      <w:hyperlink r:id="rId1" w:history="1">
        <w:r w:rsidRPr="001065CF">
          <w:rPr>
            <w:rStyle w:val="Hyperlink"/>
            <w:sz w:val="24"/>
            <w:lang w:val="fi-FI"/>
          </w:rPr>
          <w:t>http://data.europa.eu/eli/reg/2024/1263/oj</w:t>
        </w:r>
      </w:hyperlink>
      <w:r w:rsidRPr="001065CF">
        <w:rPr>
          <w:sz w:val="24"/>
          <w:lang w:val="fi-FI"/>
        </w:rPr>
        <w:t>.</w:t>
      </w:r>
    </w:p>
  </w:footnote>
  <w:footnote w:id="2">
    <w:p w14:paraId="3BEE7B30" w14:textId="76CD1D50" w:rsidR="008266F5" w:rsidRPr="000118E3" w:rsidRDefault="008266F5" w:rsidP="000118E3">
      <w:pPr>
        <w:pStyle w:val="FootnoteText"/>
        <w:ind w:left="567" w:hanging="567"/>
        <w:rPr>
          <w:sz w:val="24"/>
          <w:lang w:val="pt-PT"/>
        </w:rPr>
      </w:pPr>
      <w:r w:rsidRPr="000118E3">
        <w:rPr>
          <w:rStyle w:val="FootnoteReference"/>
          <w:sz w:val="24"/>
          <w:lang w:val="pt-PT"/>
        </w:rPr>
        <w:footnoteRef/>
      </w:r>
      <w:r w:rsidR="000118E3" w:rsidRPr="000118E3">
        <w:rPr>
          <w:sz w:val="24"/>
          <w:lang w:val="pt-PT"/>
        </w:rPr>
        <w:t xml:space="preserve"> </w:t>
      </w:r>
      <w:r w:rsidR="000118E3" w:rsidRPr="000118E3">
        <w:rPr>
          <w:sz w:val="24"/>
          <w:lang w:val="pt-PT"/>
        </w:rPr>
        <w:tab/>
      </w:r>
      <w:r w:rsidRPr="000118E3">
        <w:rPr>
          <w:sz w:val="24"/>
          <w:lang w:val="pt-PT"/>
        </w:rPr>
        <w:t>Comissão Europeia, «</w:t>
      </w:r>
      <w:proofErr w:type="spellStart"/>
      <w:r w:rsidRPr="000118E3">
        <w:rPr>
          <w:sz w:val="24"/>
          <w:lang w:val="pt-PT"/>
        </w:rPr>
        <w:t>Employment</w:t>
      </w:r>
      <w:proofErr w:type="spellEnd"/>
      <w:r w:rsidRPr="000118E3">
        <w:rPr>
          <w:sz w:val="24"/>
          <w:lang w:val="pt-PT"/>
        </w:rPr>
        <w:t xml:space="preserve"> </w:t>
      </w:r>
      <w:proofErr w:type="spellStart"/>
      <w:r w:rsidRPr="000118E3">
        <w:rPr>
          <w:sz w:val="24"/>
          <w:lang w:val="pt-PT"/>
        </w:rPr>
        <w:t>and</w:t>
      </w:r>
      <w:proofErr w:type="spellEnd"/>
      <w:r w:rsidRPr="000118E3">
        <w:rPr>
          <w:sz w:val="24"/>
          <w:lang w:val="pt-PT"/>
        </w:rPr>
        <w:t xml:space="preserve"> Social </w:t>
      </w:r>
      <w:proofErr w:type="spellStart"/>
      <w:r w:rsidRPr="000118E3">
        <w:rPr>
          <w:sz w:val="24"/>
          <w:lang w:val="pt-PT"/>
        </w:rPr>
        <w:t>Developments</w:t>
      </w:r>
      <w:proofErr w:type="spellEnd"/>
      <w:r w:rsidRPr="000118E3">
        <w:rPr>
          <w:sz w:val="24"/>
          <w:lang w:val="pt-PT"/>
        </w:rPr>
        <w:t xml:space="preserve"> in </w:t>
      </w:r>
      <w:proofErr w:type="spellStart"/>
      <w:r w:rsidRPr="000118E3">
        <w:rPr>
          <w:sz w:val="24"/>
          <w:lang w:val="pt-PT"/>
        </w:rPr>
        <w:t>Europe</w:t>
      </w:r>
      <w:proofErr w:type="spellEnd"/>
      <w:r w:rsidRPr="000118E3">
        <w:rPr>
          <w:sz w:val="24"/>
          <w:lang w:val="pt-PT"/>
        </w:rPr>
        <w:t xml:space="preserve"> (ESDE) 2024» [Evolução do emprego e da situação social na Europa em 2024], setembro de 2024.</w:t>
      </w:r>
    </w:p>
  </w:footnote>
  <w:footnote w:id="3">
    <w:p w14:paraId="46F8A5D2" w14:textId="0227C547" w:rsidR="008266F5" w:rsidRPr="000118E3" w:rsidRDefault="008266F5" w:rsidP="000118E3">
      <w:pPr>
        <w:pStyle w:val="FootnoteText"/>
        <w:ind w:left="567" w:hanging="567"/>
        <w:rPr>
          <w:sz w:val="24"/>
          <w:lang w:val="pt-PT"/>
        </w:rPr>
      </w:pPr>
      <w:r w:rsidRPr="000118E3">
        <w:rPr>
          <w:rStyle w:val="FootnoteReference"/>
          <w:sz w:val="24"/>
          <w:lang w:val="pt-PT"/>
        </w:rPr>
        <w:footnoteRef/>
      </w:r>
      <w:r w:rsidR="000118E3" w:rsidRPr="000118E3">
        <w:rPr>
          <w:sz w:val="24"/>
          <w:lang w:val="pt-PT"/>
        </w:rPr>
        <w:t xml:space="preserve"> </w:t>
      </w:r>
      <w:r w:rsidR="000118E3" w:rsidRPr="000118E3">
        <w:rPr>
          <w:sz w:val="24"/>
          <w:lang w:val="pt-PT"/>
        </w:rPr>
        <w:tab/>
      </w:r>
      <w:r w:rsidRPr="000118E3">
        <w:rPr>
          <w:sz w:val="24"/>
          <w:lang w:val="pt-PT"/>
        </w:rPr>
        <w:t>Documento de trabalho dos serviços da Comissão, de 27 de maio de 2020, intitulado «</w:t>
      </w:r>
      <w:proofErr w:type="spellStart"/>
      <w:r w:rsidRPr="000118E3">
        <w:rPr>
          <w:sz w:val="24"/>
          <w:lang w:val="pt-PT"/>
        </w:rPr>
        <w:t>Identifying</w:t>
      </w:r>
      <w:proofErr w:type="spellEnd"/>
      <w:r w:rsidRPr="000118E3">
        <w:rPr>
          <w:sz w:val="24"/>
          <w:lang w:val="pt-PT"/>
        </w:rPr>
        <w:t xml:space="preserve"> </w:t>
      </w:r>
      <w:proofErr w:type="spellStart"/>
      <w:r w:rsidRPr="000118E3">
        <w:rPr>
          <w:sz w:val="24"/>
          <w:lang w:val="pt-PT"/>
        </w:rPr>
        <w:t>Europe's</w:t>
      </w:r>
      <w:proofErr w:type="spellEnd"/>
      <w:r w:rsidRPr="000118E3">
        <w:rPr>
          <w:sz w:val="24"/>
          <w:lang w:val="pt-PT"/>
        </w:rPr>
        <w:t xml:space="preserve"> </w:t>
      </w:r>
      <w:proofErr w:type="spellStart"/>
      <w:r w:rsidRPr="000118E3">
        <w:rPr>
          <w:sz w:val="24"/>
          <w:lang w:val="pt-PT"/>
        </w:rPr>
        <w:t>recovery</w:t>
      </w:r>
      <w:proofErr w:type="spellEnd"/>
      <w:r w:rsidRPr="000118E3">
        <w:rPr>
          <w:sz w:val="24"/>
          <w:lang w:val="pt-PT"/>
        </w:rPr>
        <w:t xml:space="preserve"> </w:t>
      </w:r>
      <w:proofErr w:type="spellStart"/>
      <w:r w:rsidRPr="000118E3">
        <w:rPr>
          <w:sz w:val="24"/>
          <w:lang w:val="pt-PT"/>
        </w:rPr>
        <w:t>needs</w:t>
      </w:r>
      <w:proofErr w:type="spellEnd"/>
      <w:r w:rsidRPr="000118E3">
        <w:rPr>
          <w:sz w:val="24"/>
          <w:lang w:val="pt-PT"/>
        </w:rPr>
        <w:t>» [Identificar as necessidades de recuperação da Europa] (SWD(2020)0098), que acompanha a Comunicação da Comissão intitulada «A Hora da Europa: Reparar os Danos e Preparar o Futuro para a Próxima Geração» (COM(2020)0456).</w:t>
      </w:r>
    </w:p>
  </w:footnote>
  <w:footnote w:id="4">
    <w:p w14:paraId="4BFE4AC5" w14:textId="722F105A" w:rsidR="008266F5" w:rsidRPr="000118E3" w:rsidRDefault="008266F5" w:rsidP="000118E3">
      <w:pPr>
        <w:pStyle w:val="FootnoteText"/>
        <w:ind w:left="567" w:hanging="567"/>
        <w:rPr>
          <w:sz w:val="24"/>
          <w:lang w:val="pt-PT"/>
        </w:rPr>
      </w:pPr>
      <w:r w:rsidRPr="000118E3">
        <w:rPr>
          <w:rStyle w:val="FootnoteReference"/>
          <w:sz w:val="24"/>
          <w:lang w:val="pt-PT"/>
        </w:rPr>
        <w:footnoteRef/>
      </w:r>
      <w:r w:rsidR="000118E3" w:rsidRPr="000118E3">
        <w:rPr>
          <w:sz w:val="24"/>
          <w:lang w:val="pt-PT"/>
        </w:rPr>
        <w:t xml:space="preserve"> </w:t>
      </w:r>
      <w:r w:rsidR="000118E3" w:rsidRPr="000118E3">
        <w:rPr>
          <w:sz w:val="24"/>
          <w:lang w:val="pt-PT"/>
        </w:rPr>
        <w:tab/>
      </w:r>
      <w:r w:rsidRPr="000118E3">
        <w:rPr>
          <w:sz w:val="24"/>
          <w:lang w:val="pt-PT"/>
        </w:rPr>
        <w:t xml:space="preserve">Instituto Europeu para a Igualdade de Género, «Gender </w:t>
      </w:r>
      <w:proofErr w:type="spellStart"/>
      <w:r w:rsidRPr="000118E3">
        <w:rPr>
          <w:sz w:val="24"/>
          <w:lang w:val="pt-PT"/>
        </w:rPr>
        <w:t>Equality</w:t>
      </w:r>
      <w:proofErr w:type="spellEnd"/>
      <w:r w:rsidRPr="000118E3">
        <w:rPr>
          <w:sz w:val="24"/>
          <w:lang w:val="pt-PT"/>
        </w:rPr>
        <w:t xml:space="preserve"> Index» (Índice de Igualdade de Género), </w:t>
      </w:r>
      <w:hyperlink r:id="rId2" w:history="1">
        <w:r w:rsidRPr="000118E3">
          <w:rPr>
            <w:rStyle w:val="Hyperlink"/>
            <w:sz w:val="24"/>
            <w:lang w:val="pt-PT"/>
          </w:rPr>
          <w:t>https://eige.europa.eu/gender</w:t>
        </w:r>
        <w:r w:rsidRPr="000118E3">
          <w:rPr>
            <w:rStyle w:val="Hyperlink"/>
            <w:sz w:val="24"/>
            <w:lang w:val="pt-PT"/>
          </w:rPr>
          <w:noBreakHyphen/>
          <w:t>equality</w:t>
        </w:r>
        <w:r w:rsidRPr="000118E3">
          <w:rPr>
            <w:rStyle w:val="Hyperlink"/>
            <w:sz w:val="24"/>
            <w:lang w:val="pt-PT"/>
          </w:rPr>
          <w:noBreakHyphen/>
          <w:t>index/2025/country</w:t>
        </w:r>
      </w:hyperlink>
      <w:r w:rsidRPr="000118E3">
        <w:rPr>
          <w:sz w:val="24"/>
          <w:lang w:val="pt-PT"/>
        </w:rPr>
        <w:t>.</w:t>
      </w:r>
    </w:p>
  </w:footnote>
  <w:footnote w:id="5">
    <w:p w14:paraId="7C97425C" w14:textId="2ADF1B1D" w:rsidR="00FD57FE" w:rsidRPr="00FD57FE" w:rsidRDefault="00FD57FE" w:rsidP="00FD57FE">
      <w:pPr>
        <w:pStyle w:val="FootnoteText"/>
        <w:ind w:left="567" w:hanging="567"/>
        <w:rPr>
          <w:sz w:val="24"/>
          <w:szCs w:val="24"/>
          <w:lang w:val="da-DK"/>
        </w:rPr>
      </w:pPr>
      <w:r w:rsidRPr="00FD57FE">
        <w:rPr>
          <w:rStyle w:val="FootnoteReference"/>
          <w:sz w:val="24"/>
          <w:szCs w:val="24"/>
        </w:rPr>
        <w:footnoteRef/>
      </w:r>
      <w:r w:rsidRPr="00FD57FE">
        <w:rPr>
          <w:sz w:val="24"/>
          <w:szCs w:val="24"/>
          <w:lang w:val="da-DK"/>
        </w:rPr>
        <w:t xml:space="preserve"> </w:t>
      </w:r>
      <w:r w:rsidRPr="00FD57FE">
        <w:rPr>
          <w:sz w:val="24"/>
          <w:szCs w:val="24"/>
          <w:lang w:val="da-DK"/>
        </w:rPr>
        <w:tab/>
      </w:r>
      <w:r w:rsidRPr="00C53EF4">
        <w:rPr>
          <w:sz w:val="24"/>
          <w:szCs w:val="24"/>
          <w:lang w:val="da-DK" w:eastAsia="en-US"/>
        </w:rPr>
        <w:t>JO L 223 de 22.6.2021, p. 14, ELI: </w:t>
      </w:r>
      <w:hyperlink r:id="rId3" w:tooltip="Permite aceder ao documento através do seu identificador ELI." w:history="1">
        <w:r w:rsidRPr="00C53EF4">
          <w:rPr>
            <w:sz w:val="24"/>
            <w:szCs w:val="24"/>
            <w:u w:val="single"/>
            <w:lang w:val="da-DK" w:eastAsia="en-US"/>
          </w:rPr>
          <w:t>http://data.europa.eu/eli/reco/2021/1004/oj</w:t>
        </w:r>
      </w:hyperlink>
      <w:r w:rsidRPr="00C53EF4">
        <w:rPr>
          <w:sz w:val="24"/>
          <w:szCs w:val="24"/>
          <w:u w:val="single"/>
          <w:lang w:val="da-DK" w:eastAsia="en-US"/>
        </w:rPr>
        <w:t>.</w:t>
      </w:r>
    </w:p>
  </w:footnote>
  <w:footnote w:id="6">
    <w:p w14:paraId="75874D77" w14:textId="51D9C81E" w:rsidR="008266F5" w:rsidRPr="000118E3" w:rsidRDefault="008266F5" w:rsidP="000118E3">
      <w:pPr>
        <w:pStyle w:val="FootnoteText"/>
        <w:ind w:left="567" w:hanging="567"/>
        <w:rPr>
          <w:sz w:val="24"/>
          <w:lang w:val="pt-PT"/>
        </w:rPr>
      </w:pPr>
      <w:r w:rsidRPr="000118E3">
        <w:rPr>
          <w:rStyle w:val="FootnoteReference"/>
          <w:sz w:val="24"/>
          <w:lang w:val="pt-PT"/>
        </w:rPr>
        <w:footnoteRef/>
      </w:r>
      <w:r w:rsidR="000118E3" w:rsidRPr="000118E3">
        <w:rPr>
          <w:sz w:val="24"/>
          <w:lang w:val="pt-PT"/>
        </w:rPr>
        <w:t xml:space="preserve"> </w:t>
      </w:r>
      <w:r w:rsidR="000118E3" w:rsidRPr="000118E3">
        <w:rPr>
          <w:sz w:val="24"/>
          <w:lang w:val="pt-PT"/>
        </w:rPr>
        <w:tab/>
      </w:r>
      <w:r w:rsidRPr="000118E3">
        <w:rPr>
          <w:sz w:val="24"/>
          <w:lang w:val="pt-PT"/>
        </w:rPr>
        <w:t xml:space="preserve">Regulamento (UE) 2021/1057 do Parlamento Europeu e do Conselho, de 24 de junho </w:t>
      </w:r>
      <w:r w:rsidR="00302C95" w:rsidRPr="000118E3">
        <w:rPr>
          <w:sz w:val="24"/>
          <w:lang w:val="pt-PT"/>
        </w:rPr>
        <w:t>de</w:t>
      </w:r>
      <w:r w:rsidR="00302C95">
        <w:rPr>
          <w:sz w:val="24"/>
          <w:lang w:val="pt-PT"/>
        </w:rPr>
        <w:t> </w:t>
      </w:r>
      <w:r w:rsidRPr="000118E3">
        <w:rPr>
          <w:sz w:val="24"/>
          <w:lang w:val="pt-PT"/>
        </w:rPr>
        <w:t>2021, que cria o Fundo Social Europeu Mais (FSE+) e que revoga o Regulamento (UE) n.º 1296/2013 (JO L 231 de 30.6.2021, p. 21, ELI: </w:t>
      </w:r>
      <w:hyperlink r:id="rId4" w:tooltip="Permite aceder ao documento através do seu identificador ELI." w:history="1">
        <w:r w:rsidRPr="000118E3">
          <w:rPr>
            <w:rStyle w:val="Hyperlink"/>
            <w:sz w:val="24"/>
            <w:lang w:val="pt-PT"/>
          </w:rPr>
          <w:t>http://data.europa.eu/eli/reg/2021/1057/oj</w:t>
        </w:r>
      </w:hyperlink>
      <w:r w:rsidRPr="000118E3">
        <w:rPr>
          <w:sz w:val="24"/>
          <w:lang w:val="pt-PT"/>
        </w:rPr>
        <w:t>).</w:t>
      </w:r>
    </w:p>
  </w:footnote>
  <w:footnote w:id="7">
    <w:p w14:paraId="763EB443" w14:textId="62811F97" w:rsidR="00073A60" w:rsidRPr="00073A60" w:rsidRDefault="00073A60" w:rsidP="00073A60">
      <w:pPr>
        <w:pStyle w:val="FootnoteText"/>
        <w:ind w:left="567" w:hanging="567"/>
        <w:rPr>
          <w:sz w:val="24"/>
          <w:szCs w:val="24"/>
          <w:lang w:val="pt-PT"/>
        </w:rPr>
      </w:pPr>
      <w:r w:rsidRPr="00073A60">
        <w:rPr>
          <w:rStyle w:val="FootnoteReference"/>
          <w:sz w:val="24"/>
          <w:szCs w:val="24"/>
        </w:rPr>
        <w:footnoteRef/>
      </w:r>
      <w:r w:rsidRPr="00073A60">
        <w:rPr>
          <w:sz w:val="24"/>
          <w:szCs w:val="24"/>
          <w:lang w:val="pt-PT"/>
        </w:rPr>
        <w:t xml:space="preserve"> </w:t>
      </w:r>
      <w:r w:rsidRPr="00073A60">
        <w:rPr>
          <w:sz w:val="24"/>
          <w:szCs w:val="24"/>
          <w:lang w:val="pt-PT"/>
        </w:rPr>
        <w:tab/>
        <w:t>Proposta da Comissão, de 20 de março de 2024, de diretiva do Parlamento Europeu e do Conselho relativa à melhoria e à imposição do cumprimento das condições de trabalho dos estagiários e à inviabilização de relações de trabalho regulares disfarçadas de estágios («Diretiva Estágios»)</w:t>
      </w:r>
      <w:r w:rsidR="00B63040">
        <w:rPr>
          <w:sz w:val="24"/>
          <w:szCs w:val="24"/>
          <w:lang w:val="pt-PT"/>
        </w:rPr>
        <w:t xml:space="preserve"> (</w:t>
      </w:r>
      <w:r w:rsidR="00B63040" w:rsidRPr="00B63040">
        <w:rPr>
          <w:sz w:val="24"/>
          <w:szCs w:val="24"/>
          <w:lang w:val="pt-PT"/>
        </w:rPr>
        <w:t>COM(2024)0132</w:t>
      </w:r>
      <w:r w:rsidR="00B63040">
        <w:rPr>
          <w:sz w:val="24"/>
          <w:szCs w:val="24"/>
          <w:lang w:val="pt-PT"/>
        </w:rPr>
        <w:t>)</w:t>
      </w:r>
      <w:r w:rsidRPr="00073A60">
        <w:rPr>
          <w:sz w:val="24"/>
          <w:szCs w:val="24"/>
          <w:lang w:val="pt-PT"/>
        </w:rPr>
        <w:t>.</w:t>
      </w:r>
    </w:p>
  </w:footnote>
  <w:footnote w:id="8">
    <w:p w14:paraId="62B3CFA1" w14:textId="00FE61F8" w:rsidR="008266F5" w:rsidRPr="000118E3" w:rsidRDefault="008266F5" w:rsidP="000118E3">
      <w:pPr>
        <w:pStyle w:val="FootnoteText"/>
        <w:ind w:left="567" w:hanging="567"/>
        <w:rPr>
          <w:sz w:val="24"/>
          <w:lang w:val="pt-PT"/>
        </w:rPr>
      </w:pPr>
      <w:r w:rsidRPr="000118E3">
        <w:rPr>
          <w:rStyle w:val="FootnoteReference"/>
          <w:sz w:val="24"/>
          <w:lang w:val="pt-PT"/>
        </w:rPr>
        <w:footnoteRef/>
      </w:r>
      <w:r w:rsidR="000118E3" w:rsidRPr="000118E3">
        <w:rPr>
          <w:sz w:val="24"/>
          <w:lang w:val="pt-PT"/>
        </w:rPr>
        <w:t xml:space="preserve"> </w:t>
      </w:r>
      <w:r w:rsidR="000118E3" w:rsidRPr="000118E3">
        <w:rPr>
          <w:sz w:val="24"/>
          <w:lang w:val="pt-PT"/>
        </w:rPr>
        <w:tab/>
      </w:r>
      <w:r w:rsidRPr="000118E3">
        <w:rPr>
          <w:sz w:val="24"/>
          <w:lang w:val="pt-PT"/>
        </w:rPr>
        <w:t>Diretiva (UE) 2022/2041 do Parlamento Europeu e do Conselho, de 19 de outubro de</w:t>
      </w:r>
      <w:r w:rsidR="005B408B">
        <w:rPr>
          <w:sz w:val="24"/>
          <w:lang w:val="pt-PT"/>
        </w:rPr>
        <w:t> </w:t>
      </w:r>
      <w:r w:rsidRPr="000118E3">
        <w:rPr>
          <w:sz w:val="24"/>
          <w:lang w:val="pt-PT"/>
        </w:rPr>
        <w:t>2022, relativa a salários mínimos adequados na União Europeia (JO L 275 de 25.10.2022, p. 33, ELI: </w:t>
      </w:r>
      <w:hyperlink r:id="rId5" w:tooltip="Permite aceder ao documento através do seu identificador ELI." w:history="1">
        <w:r w:rsidRPr="000118E3">
          <w:rPr>
            <w:rStyle w:val="Hyperlink"/>
            <w:sz w:val="24"/>
            <w:lang w:val="pt-PT"/>
          </w:rPr>
          <w:t>http://data.europa.eu/eli/dir/2022/2041/oj</w:t>
        </w:r>
      </w:hyperlink>
      <w:r w:rsidRPr="000118E3">
        <w:rPr>
          <w:sz w:val="24"/>
          <w:lang w:val="pt-PT"/>
        </w:rPr>
        <w:t xml:space="preserve">). </w:t>
      </w:r>
    </w:p>
  </w:footnote>
  <w:footnote w:id="9">
    <w:p w14:paraId="27314801" w14:textId="27FB8EC9" w:rsidR="008266F5" w:rsidRPr="000118E3" w:rsidRDefault="008266F5" w:rsidP="000118E3">
      <w:pPr>
        <w:pStyle w:val="FootnoteText"/>
        <w:ind w:left="567" w:hanging="567"/>
        <w:rPr>
          <w:sz w:val="24"/>
          <w:lang w:val="pt-PT"/>
        </w:rPr>
      </w:pPr>
      <w:r w:rsidRPr="000118E3">
        <w:rPr>
          <w:rStyle w:val="FootnoteReference"/>
          <w:sz w:val="24"/>
          <w:lang w:val="pt-PT"/>
        </w:rPr>
        <w:footnoteRef/>
      </w:r>
      <w:r w:rsidR="000118E3" w:rsidRPr="000118E3">
        <w:rPr>
          <w:sz w:val="24"/>
          <w:lang w:val="pt-PT"/>
        </w:rPr>
        <w:t xml:space="preserve"> </w:t>
      </w:r>
      <w:r w:rsidR="000118E3" w:rsidRPr="000118E3">
        <w:rPr>
          <w:sz w:val="24"/>
          <w:lang w:val="pt-PT"/>
        </w:rPr>
        <w:tab/>
      </w:r>
      <w:r w:rsidRPr="000118E3">
        <w:rPr>
          <w:sz w:val="24"/>
          <w:lang w:val="pt-PT"/>
        </w:rPr>
        <w:t>Recomendação do Conselho, de 30 de janeiro de 2023, relativa a um rendimento mínimo adequado que garanta a inclusão ativa (2023/C 41/01) (JO C 41 de 3.2.2023, p</w:t>
      </w:r>
      <w:r w:rsidR="00302C95" w:rsidRPr="000118E3">
        <w:rPr>
          <w:sz w:val="24"/>
          <w:lang w:val="pt-PT"/>
        </w:rPr>
        <w:t>.</w:t>
      </w:r>
      <w:r w:rsidR="00302C95">
        <w:rPr>
          <w:sz w:val="24"/>
          <w:lang w:val="pt-PT"/>
        </w:rPr>
        <w:t> </w:t>
      </w:r>
      <w:r w:rsidRPr="000118E3">
        <w:rPr>
          <w:sz w:val="24"/>
          <w:lang w:val="pt-PT"/>
        </w:rPr>
        <w:t>1).</w:t>
      </w:r>
    </w:p>
  </w:footnote>
  <w:footnote w:id="10">
    <w:p w14:paraId="28A41326" w14:textId="59D21B36" w:rsidR="008266F5" w:rsidRPr="000118E3" w:rsidRDefault="008266F5" w:rsidP="000118E3">
      <w:pPr>
        <w:pStyle w:val="FootnoteText"/>
        <w:ind w:left="567" w:hanging="567"/>
        <w:rPr>
          <w:sz w:val="24"/>
          <w:lang w:val="pt-PT"/>
        </w:rPr>
      </w:pPr>
      <w:r w:rsidRPr="000118E3">
        <w:rPr>
          <w:rStyle w:val="FootnoteReference"/>
          <w:sz w:val="24"/>
          <w:lang w:val="pt-PT"/>
        </w:rPr>
        <w:footnoteRef/>
      </w:r>
      <w:r w:rsidR="000118E3" w:rsidRPr="000118E3">
        <w:rPr>
          <w:sz w:val="24"/>
          <w:lang w:val="pt-PT"/>
        </w:rPr>
        <w:t xml:space="preserve"> </w:t>
      </w:r>
      <w:r w:rsidR="000118E3" w:rsidRPr="000118E3">
        <w:rPr>
          <w:sz w:val="24"/>
          <w:lang w:val="pt-PT"/>
        </w:rPr>
        <w:tab/>
      </w:r>
      <w:r w:rsidRPr="000118E3">
        <w:rPr>
          <w:sz w:val="24"/>
          <w:lang w:val="pt-PT"/>
        </w:rPr>
        <w:t>Recomendação do Conselho, de 8 de novembro de 2019, relativa ao acesso à proteção social dos trabalhadores por conta de outrem e por conta própria (JO C 387 de 15.11.2019, p.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0002363">
    <w:abstractNumId w:val="9"/>
  </w:num>
  <w:num w:numId="2" w16cid:durableId="1870337911">
    <w:abstractNumId w:val="9"/>
  </w:num>
  <w:num w:numId="3" w16cid:durableId="526143357">
    <w:abstractNumId w:val="7"/>
  </w:num>
  <w:num w:numId="4" w16cid:durableId="116922476">
    <w:abstractNumId w:val="7"/>
  </w:num>
  <w:num w:numId="5" w16cid:durableId="1592355699">
    <w:abstractNumId w:val="6"/>
  </w:num>
  <w:num w:numId="6" w16cid:durableId="1218855425">
    <w:abstractNumId w:val="6"/>
  </w:num>
  <w:num w:numId="7" w16cid:durableId="1429933018">
    <w:abstractNumId w:val="5"/>
  </w:num>
  <w:num w:numId="8" w16cid:durableId="944071446">
    <w:abstractNumId w:val="5"/>
  </w:num>
  <w:num w:numId="9" w16cid:durableId="1076366684">
    <w:abstractNumId w:val="4"/>
  </w:num>
  <w:num w:numId="10" w16cid:durableId="1338920318">
    <w:abstractNumId w:val="4"/>
  </w:num>
  <w:num w:numId="11" w16cid:durableId="444813547">
    <w:abstractNumId w:val="8"/>
  </w:num>
  <w:num w:numId="12" w16cid:durableId="492766397">
    <w:abstractNumId w:val="8"/>
  </w:num>
  <w:num w:numId="13" w16cid:durableId="544368165">
    <w:abstractNumId w:val="3"/>
  </w:num>
  <w:num w:numId="14" w16cid:durableId="1384056821">
    <w:abstractNumId w:val="3"/>
  </w:num>
  <w:num w:numId="15" w16cid:durableId="131604134">
    <w:abstractNumId w:val="2"/>
  </w:num>
  <w:num w:numId="16" w16cid:durableId="1625964430">
    <w:abstractNumId w:val="2"/>
  </w:num>
  <w:num w:numId="17" w16cid:durableId="1237283255">
    <w:abstractNumId w:val="1"/>
  </w:num>
  <w:num w:numId="18" w16cid:durableId="1861554055">
    <w:abstractNumId w:val="1"/>
  </w:num>
  <w:num w:numId="19" w16cid:durableId="1815562067">
    <w:abstractNumId w:val="0"/>
  </w:num>
  <w:num w:numId="20" w16cid:durableId="28065647">
    <w:abstractNumId w:val="0"/>
  </w:num>
  <w:num w:numId="21" w16cid:durableId="1028720223">
    <w:abstractNumId w:val="9"/>
  </w:num>
  <w:num w:numId="22" w16cid:durableId="2083943250">
    <w:abstractNumId w:val="7"/>
  </w:num>
  <w:num w:numId="23" w16cid:durableId="1394154368">
    <w:abstractNumId w:val="6"/>
  </w:num>
  <w:num w:numId="24" w16cid:durableId="896628520">
    <w:abstractNumId w:val="5"/>
  </w:num>
  <w:num w:numId="25" w16cid:durableId="1756321010">
    <w:abstractNumId w:val="4"/>
  </w:num>
  <w:num w:numId="26" w16cid:durableId="1763914449">
    <w:abstractNumId w:val="8"/>
  </w:num>
  <w:num w:numId="27" w16cid:durableId="1527718817">
    <w:abstractNumId w:val="3"/>
  </w:num>
  <w:num w:numId="28" w16cid:durableId="1895264678">
    <w:abstractNumId w:val="2"/>
  </w:num>
  <w:num w:numId="29" w16cid:durableId="918828344">
    <w:abstractNumId w:val="1"/>
  </w:num>
  <w:num w:numId="30" w16cid:durableId="1751610144">
    <w:abstractNumId w:val="0"/>
  </w:num>
  <w:num w:numId="31" w16cid:durableId="1480265226">
    <w:abstractNumId w:val="9"/>
  </w:num>
  <w:num w:numId="32" w16cid:durableId="273486098">
    <w:abstractNumId w:val="7"/>
  </w:num>
  <w:num w:numId="33" w16cid:durableId="58291339">
    <w:abstractNumId w:val="6"/>
  </w:num>
  <w:num w:numId="34" w16cid:durableId="1497115862">
    <w:abstractNumId w:val="5"/>
  </w:num>
  <w:num w:numId="35" w16cid:durableId="615139456">
    <w:abstractNumId w:val="4"/>
  </w:num>
  <w:num w:numId="36" w16cid:durableId="16739075">
    <w:abstractNumId w:val="8"/>
  </w:num>
  <w:num w:numId="37" w16cid:durableId="1740594363">
    <w:abstractNumId w:val="3"/>
  </w:num>
  <w:num w:numId="38" w16cid:durableId="2105302933">
    <w:abstractNumId w:val="2"/>
  </w:num>
  <w:num w:numId="39" w16cid:durableId="1926920045">
    <w:abstractNumId w:val="1"/>
  </w:num>
  <w:num w:numId="40" w16cid:durableId="2146969319">
    <w:abstractNumId w:val="0"/>
  </w:num>
  <w:num w:numId="41" w16cid:durableId="324555589">
    <w:abstractNumId w:val="10"/>
  </w:num>
  <w:num w:numId="42" w16cid:durableId="1101336979">
    <w:abstractNumId w:val="10"/>
  </w:num>
  <w:num w:numId="43" w16cid:durableId="21517849">
    <w:abstractNumId w:val="10"/>
  </w:num>
  <w:num w:numId="44" w16cid:durableId="1643388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6"/>
    <w:docVar w:name="dvlangue" w:val="PT"/>
    <w:docVar w:name="dvnumam" w:val="0"/>
    <w:docVar w:name="dvpe" w:val="779.558"/>
    <w:docVar w:name="dvrapporteur" w:val="Relatora: "/>
    <w:docVar w:name="dvtitre" w:val="Resolução do Parlamento Europeu, de ... de ... de 2026,_x000d__x000a_ sobre o Semestre Europeu para a coordenação das políticas económicas: emprego e prioridades sociais - Relatório anual 2026(2025/2183(INI))"/>
  </w:docVars>
  <w:rsids>
    <w:rsidRoot w:val="00A158D5"/>
    <w:rsid w:val="00002272"/>
    <w:rsid w:val="000118E3"/>
    <w:rsid w:val="00064002"/>
    <w:rsid w:val="000677B9"/>
    <w:rsid w:val="00073A60"/>
    <w:rsid w:val="000831BA"/>
    <w:rsid w:val="000A42CC"/>
    <w:rsid w:val="000E7DD9"/>
    <w:rsid w:val="0010095E"/>
    <w:rsid w:val="001065CF"/>
    <w:rsid w:val="00125B37"/>
    <w:rsid w:val="00187494"/>
    <w:rsid w:val="001D6C3C"/>
    <w:rsid w:val="001F32AE"/>
    <w:rsid w:val="00214196"/>
    <w:rsid w:val="002767FF"/>
    <w:rsid w:val="002B18FE"/>
    <w:rsid w:val="002B5493"/>
    <w:rsid w:val="00302C9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66B"/>
    <w:rsid w:val="00545827"/>
    <w:rsid w:val="00560270"/>
    <w:rsid w:val="005B408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6F5"/>
    <w:rsid w:val="00842779"/>
    <w:rsid w:val="00865F67"/>
    <w:rsid w:val="00881A7B"/>
    <w:rsid w:val="008840E5"/>
    <w:rsid w:val="00887B3E"/>
    <w:rsid w:val="008C1E12"/>
    <w:rsid w:val="008C2AC6"/>
    <w:rsid w:val="00930C23"/>
    <w:rsid w:val="0093193B"/>
    <w:rsid w:val="009509D8"/>
    <w:rsid w:val="00950B64"/>
    <w:rsid w:val="00981893"/>
    <w:rsid w:val="00A158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E5D"/>
    <w:rsid w:val="00B22876"/>
    <w:rsid w:val="00B558F0"/>
    <w:rsid w:val="00B63040"/>
    <w:rsid w:val="00BD48FE"/>
    <w:rsid w:val="00BD7BD8"/>
    <w:rsid w:val="00BE0C11"/>
    <w:rsid w:val="00BE1F56"/>
    <w:rsid w:val="00BE6ADC"/>
    <w:rsid w:val="00C05BFE"/>
    <w:rsid w:val="00C23CD4"/>
    <w:rsid w:val="00C53EF4"/>
    <w:rsid w:val="00C61C0C"/>
    <w:rsid w:val="00C941CB"/>
    <w:rsid w:val="00CA320B"/>
    <w:rsid w:val="00CC2357"/>
    <w:rsid w:val="00CF071A"/>
    <w:rsid w:val="00D058B8"/>
    <w:rsid w:val="00D56C11"/>
    <w:rsid w:val="00D6584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A44"/>
    <w:rsid w:val="00F74202"/>
    <w:rsid w:val="00F87713"/>
    <w:rsid w:val="00FB4360"/>
    <w:rsid w:val="00FD0C70"/>
    <w:rsid w:val="00FD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2504D"/>
  <w15:chartTrackingRefBased/>
  <w15:docId w15:val="{86C29945-ABDE-4676-8593-4157F56F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266F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266F5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266F5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unhideWhenUsed/>
    <w:rsid w:val="008266F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02C95"/>
    <w:rPr>
      <w:sz w:val="24"/>
      <w:lang w:val="pt-PT"/>
    </w:rPr>
  </w:style>
  <w:style w:type="character" w:styleId="CommentReference">
    <w:name w:val="annotation reference"/>
    <w:basedOn w:val="DefaultParagraphFont"/>
    <w:rsid w:val="00B16E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6E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6E5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16E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6E5D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B16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1004/oj" TargetMode="External"/><Relationship Id="rId2" Type="http://schemas.openxmlformats.org/officeDocument/2006/relationships/hyperlink" Target="https://eige.europa.eu/gender-equality-index/2025/country" TargetMode="External"/><Relationship Id="rId1" Type="http://schemas.openxmlformats.org/officeDocument/2006/relationships/hyperlink" Target="http://data.europa.eu/eli/reg/2024/1263/oj" TargetMode="External"/><Relationship Id="rId5" Type="http://schemas.openxmlformats.org/officeDocument/2006/relationships/hyperlink" Target="http://data.europa.eu/eli/dir/2022/2041/oj" TargetMode="External"/><Relationship Id="rId4" Type="http://schemas.openxmlformats.org/officeDocument/2006/relationships/hyperlink" Target="http://data.europa.eu/eli/reg/2021/1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7071</Words>
  <Characters>38424</Characters>
  <Application>Microsoft Office Word</Application>
  <DocSecurity>0</DocSecurity>
  <Lines>320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CORISCO Vasco</cp:lastModifiedBy>
  <cp:revision>2</cp:revision>
  <cp:lastPrinted>2004-11-19T15:42:00Z</cp:lastPrinted>
  <dcterms:created xsi:type="dcterms:W3CDTF">2026-04-21T09:36:00Z</dcterms:created>
  <dcterms:modified xsi:type="dcterms:W3CDTF">2026-04-21T09:36:00Z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A10-0033/2026</vt:lpwstr>
  </property>
  <property fmtid="{D5CDD505-2E9C-101B-9397-08002B2CF9AE}" pid="4" name="&lt;Type&gt;">
    <vt:lpwstr>RR</vt:lpwstr>
  </property>
</Properties>
</file>