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2A3E" w14:paraId="35FDF6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0F9D29" w14:textId="77777777" w:rsidR="00751A4A" w:rsidRPr="00DA2A3E" w:rsidRDefault="00B54C2C" w:rsidP="0010095E">
            <w:pPr>
              <w:pStyle w:val="EPName"/>
            </w:pPr>
            <w:r w:rsidRPr="00DA2A3E">
              <w:t>Evropský parlament</w:t>
            </w:r>
          </w:p>
          <w:p w14:paraId="660CEBEF" w14:textId="77777777" w:rsidR="00751A4A" w:rsidRPr="00DA2A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2A3E">
              <w:t>2024</w:t>
            </w:r>
            <w:r w:rsidR="00817416" w:rsidRPr="00DA2A3E">
              <w:t>-202</w:t>
            </w:r>
            <w:r w:rsidRPr="00DA2A3E">
              <w:t>9</w:t>
            </w:r>
          </w:p>
        </w:tc>
        <w:tc>
          <w:tcPr>
            <w:tcW w:w="2268" w:type="dxa"/>
            <w:shd w:val="clear" w:color="auto" w:fill="auto"/>
          </w:tcPr>
          <w:p w14:paraId="18C418F4" w14:textId="77777777" w:rsidR="00751A4A" w:rsidRPr="00DA2A3E" w:rsidRDefault="00187494" w:rsidP="0010095E">
            <w:pPr>
              <w:pStyle w:val="EPLogo"/>
            </w:pPr>
            <w:r w:rsidRPr="00DA2A3E">
              <w:rPr>
                <w:noProof/>
                <w:lang w:eastAsia="ja-JP"/>
              </w:rPr>
              <w:drawing>
                <wp:inline distT="0" distB="0" distL="0" distR="0" wp14:anchorId="70509B8A" wp14:editId="5F6BF0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D5070B" w14:textId="77777777" w:rsidR="00D058B8" w:rsidRPr="00DA2A3E" w:rsidRDefault="00D058B8" w:rsidP="004C5D52">
      <w:pPr>
        <w:pStyle w:val="LineTop"/>
      </w:pPr>
    </w:p>
    <w:p w14:paraId="097C254A" w14:textId="77777777" w:rsidR="00680577" w:rsidRPr="00DA2A3E" w:rsidRDefault="00B54C2C" w:rsidP="00680577">
      <w:pPr>
        <w:pStyle w:val="EPBodyTA1"/>
      </w:pPr>
      <w:r w:rsidRPr="00DA2A3E">
        <w:t>PŘIJATÉ TEXTY</w:t>
      </w:r>
    </w:p>
    <w:p w14:paraId="7AAF37C2" w14:textId="77777777" w:rsidR="00D058B8" w:rsidRPr="00DA2A3E" w:rsidRDefault="00D058B8" w:rsidP="00D058B8">
      <w:pPr>
        <w:pStyle w:val="LineBottom"/>
      </w:pPr>
    </w:p>
    <w:p w14:paraId="2EFB104E" w14:textId="70157EB6" w:rsidR="00B54C2C" w:rsidRPr="00DA2A3E" w:rsidRDefault="00B54C2C" w:rsidP="00B54C2C">
      <w:pPr>
        <w:pStyle w:val="ATHeading1"/>
      </w:pPr>
      <w:bookmarkStart w:id="0" w:name="TANumber"/>
      <w:r w:rsidRPr="00DA2A3E">
        <w:t>P10_TA(2026)00</w:t>
      </w:r>
      <w:r w:rsidR="006065E6">
        <w:t>77</w:t>
      </w:r>
      <w:bookmarkEnd w:id="0"/>
    </w:p>
    <w:p w14:paraId="70AD3981" w14:textId="77777777" w:rsidR="00B54C2C" w:rsidRPr="00DA2A3E" w:rsidRDefault="00B54C2C" w:rsidP="00B54C2C">
      <w:pPr>
        <w:pStyle w:val="ATHeading2"/>
      </w:pPr>
      <w:bookmarkStart w:id="1" w:name="title"/>
      <w:r w:rsidRPr="00DA2A3E">
        <w:t>Strategie rozšíření EU</w:t>
      </w:r>
      <w:bookmarkEnd w:id="1"/>
    </w:p>
    <w:p w14:paraId="4083FA68" w14:textId="77777777" w:rsidR="00B54C2C" w:rsidRPr="00DA2A3E" w:rsidRDefault="00B54C2C" w:rsidP="00B54C2C">
      <w:pPr>
        <w:rPr>
          <w:i/>
          <w:vanish/>
        </w:rPr>
      </w:pPr>
      <w:r w:rsidRPr="00DA2A3E">
        <w:rPr>
          <w:i/>
        </w:rPr>
        <w:fldChar w:fldCharType="begin"/>
      </w:r>
      <w:r w:rsidRPr="00DA2A3E">
        <w:rPr>
          <w:i/>
        </w:rPr>
        <w:instrText xml:space="preserve"> TC"(</w:instrText>
      </w:r>
      <w:bookmarkStart w:id="2" w:name="DocNumber"/>
      <w:r w:rsidRPr="00DA2A3E">
        <w:rPr>
          <w:i/>
        </w:rPr>
        <w:instrText>A10-0016/2026</w:instrText>
      </w:r>
      <w:bookmarkEnd w:id="2"/>
      <w:r w:rsidRPr="00DA2A3E">
        <w:rPr>
          <w:i/>
        </w:rPr>
        <w:instrText xml:space="preserve"> - Zpravodaj: Petras Auštrevičius)"\l3 \n&gt; \* MERGEFORMAT </w:instrText>
      </w:r>
      <w:r w:rsidRPr="00DA2A3E">
        <w:rPr>
          <w:i/>
        </w:rPr>
        <w:fldChar w:fldCharType="end"/>
      </w:r>
    </w:p>
    <w:p w14:paraId="222A3B07" w14:textId="77777777" w:rsidR="00B54C2C" w:rsidRPr="00DA2A3E" w:rsidRDefault="00B54C2C" w:rsidP="00B54C2C">
      <w:pPr>
        <w:rPr>
          <w:vanish/>
        </w:rPr>
      </w:pPr>
      <w:bookmarkStart w:id="3" w:name="Commission"/>
      <w:r w:rsidRPr="00DA2A3E">
        <w:rPr>
          <w:vanish/>
        </w:rPr>
        <w:t>Výbor pro zahraniční věci</w:t>
      </w:r>
      <w:bookmarkEnd w:id="3"/>
    </w:p>
    <w:p w14:paraId="49274DD0" w14:textId="77777777" w:rsidR="00B54C2C" w:rsidRPr="00DA2A3E" w:rsidRDefault="00B54C2C" w:rsidP="00B54C2C">
      <w:pPr>
        <w:rPr>
          <w:vanish/>
        </w:rPr>
      </w:pPr>
      <w:bookmarkStart w:id="4" w:name="PE"/>
      <w:r w:rsidRPr="00DA2A3E">
        <w:rPr>
          <w:vanish/>
        </w:rPr>
        <w:t>PE778.144</w:t>
      </w:r>
      <w:bookmarkEnd w:id="4"/>
    </w:p>
    <w:p w14:paraId="03E10F57" w14:textId="44DE92C7" w:rsidR="00B54C2C" w:rsidRPr="00DA2A3E" w:rsidRDefault="00B54C2C" w:rsidP="00B54C2C">
      <w:pPr>
        <w:pStyle w:val="ATHeading3"/>
      </w:pPr>
      <w:bookmarkStart w:id="5" w:name="Sujet"/>
      <w:r w:rsidRPr="00DA2A3E">
        <w:t>Usnesení Evropského parlamentu ze dne 11. března 2026 o strategii rozšíření EU</w:t>
      </w:r>
      <w:bookmarkEnd w:id="5"/>
      <w:r w:rsidR="00DA2A3E" w:rsidRPr="00DA2A3E">
        <w:t xml:space="preserve"> </w:t>
      </w:r>
      <w:bookmarkStart w:id="6" w:name="References"/>
      <w:r w:rsidRPr="00DA2A3E">
        <w:t>(2025/2110(INI))</w:t>
      </w:r>
      <w:bookmarkEnd w:id="6"/>
    </w:p>
    <w:p w14:paraId="36E3D9E6" w14:textId="77777777" w:rsidR="00D70735" w:rsidRPr="00DA2A3E" w:rsidRDefault="00D70735" w:rsidP="00D70735">
      <w:pPr>
        <w:pStyle w:val="EPComma"/>
      </w:pPr>
      <w:r w:rsidRPr="00DA2A3E">
        <w:rPr>
          <w:i/>
        </w:rPr>
        <w:t>Evropský parlament</w:t>
      </w:r>
      <w:r w:rsidRPr="00DA2A3E">
        <w:t>,</w:t>
      </w:r>
    </w:p>
    <w:p w14:paraId="5E2B2053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t>–</w:t>
      </w:r>
      <w:r w:rsidRPr="00DA2A3E">
        <w:tab/>
        <w:t>s </w:t>
      </w:r>
      <w:r w:rsidRPr="00DA2A3E">
        <w:rPr>
          <w:szCs w:val="24"/>
        </w:rPr>
        <w:t>ohledem na Smlouvu o Evropské unii (SEU), zejména na její článek 49,</w:t>
      </w:r>
    </w:p>
    <w:p w14:paraId="378403D8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Smlouvu o fungování Evropské unie (SFEU),</w:t>
      </w:r>
    </w:p>
    <w:p w14:paraId="5E943A54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závěry Evropské rady z 23.–24. června 2022, 29.–30. června 2023, 26.–27. října 2023, 14.–15. prosince 2023, 27. června 2024 a 17. prosince 2024 a na závěry předsednictví ze zasedání Evropské rady v Kodani 21.–22. června 1993, známé také jako kodaňská kritéria,</w:t>
      </w:r>
    </w:p>
    <w:p w14:paraId="778E7F94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své usnesení ze dne 13. prosince 2023 o 30 letech kodaňských kritérií – novém impulsu pro politiku rozšiřování EU</w:t>
      </w:r>
      <w:r w:rsidRPr="00DA2A3E">
        <w:rPr>
          <w:rStyle w:val="FootnoteReference"/>
          <w:szCs w:val="24"/>
        </w:rPr>
        <w:footnoteReference w:id="1"/>
      </w:r>
      <w:r w:rsidRPr="00DA2A3E">
        <w:rPr>
          <w:szCs w:val="24"/>
        </w:rPr>
        <w:t>,</w:t>
      </w:r>
    </w:p>
    <w:p w14:paraId="30C15384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dohody EU o přidružení s Albánií</w:t>
      </w:r>
      <w:r w:rsidRPr="00DA2A3E">
        <w:rPr>
          <w:rStyle w:val="FootnoteReference"/>
          <w:szCs w:val="24"/>
        </w:rPr>
        <w:footnoteReference w:id="2"/>
      </w:r>
      <w:r w:rsidRPr="00DA2A3E">
        <w:rPr>
          <w:szCs w:val="24"/>
        </w:rPr>
        <w:t>, Bosnou a Hercegovinou</w:t>
      </w:r>
      <w:r w:rsidRPr="00DA2A3E">
        <w:rPr>
          <w:rStyle w:val="FootnoteReference"/>
          <w:szCs w:val="24"/>
        </w:rPr>
        <w:footnoteReference w:id="3"/>
      </w:r>
      <w:r w:rsidRPr="00DA2A3E">
        <w:rPr>
          <w:szCs w:val="24"/>
        </w:rPr>
        <w:t>, Gruzií</w:t>
      </w:r>
      <w:r w:rsidRPr="00DA2A3E">
        <w:rPr>
          <w:rStyle w:val="FootnoteReference"/>
          <w:szCs w:val="24"/>
        </w:rPr>
        <w:footnoteReference w:id="4"/>
      </w:r>
      <w:r w:rsidRPr="00DA2A3E">
        <w:rPr>
          <w:szCs w:val="24"/>
        </w:rPr>
        <w:t>, Kosovem</w:t>
      </w:r>
      <w:r w:rsidRPr="00DA2A3E">
        <w:rPr>
          <w:rStyle w:val="FootnoteReference"/>
          <w:szCs w:val="24"/>
        </w:rPr>
        <w:footnoteReference w:id="5"/>
      </w:r>
      <w:r w:rsidRPr="00DA2A3E">
        <w:rPr>
          <w:szCs w:val="24"/>
        </w:rPr>
        <w:t>, Moldavskou republikou</w:t>
      </w:r>
      <w:r w:rsidRPr="00DA2A3E">
        <w:rPr>
          <w:rStyle w:val="FootnoteReference"/>
          <w:szCs w:val="24"/>
        </w:rPr>
        <w:footnoteReference w:id="6"/>
      </w:r>
      <w:r w:rsidRPr="00DA2A3E">
        <w:rPr>
          <w:szCs w:val="24"/>
        </w:rPr>
        <w:t xml:space="preserve"> (dále jen „Moldavsko“), Černou Horou</w:t>
      </w:r>
      <w:r w:rsidRPr="00DA2A3E">
        <w:rPr>
          <w:rStyle w:val="FootnoteReference"/>
          <w:szCs w:val="24"/>
        </w:rPr>
        <w:footnoteReference w:id="7"/>
      </w:r>
      <w:r w:rsidRPr="00DA2A3E">
        <w:rPr>
          <w:szCs w:val="24"/>
        </w:rPr>
        <w:t xml:space="preserve">, Severní </w:t>
      </w:r>
      <w:r w:rsidRPr="00DA2A3E">
        <w:rPr>
          <w:szCs w:val="24"/>
        </w:rPr>
        <w:lastRenderedPageBreak/>
        <w:t>Makedonií</w:t>
      </w:r>
      <w:r w:rsidRPr="00DA2A3E">
        <w:rPr>
          <w:rStyle w:val="FootnoteReference"/>
          <w:szCs w:val="24"/>
        </w:rPr>
        <w:footnoteReference w:id="8"/>
      </w:r>
      <w:r w:rsidRPr="00DA2A3E">
        <w:rPr>
          <w:szCs w:val="24"/>
        </w:rPr>
        <w:t>, Srbskem</w:t>
      </w:r>
      <w:r w:rsidRPr="00DA2A3E">
        <w:rPr>
          <w:rStyle w:val="FootnoteReference"/>
          <w:szCs w:val="24"/>
        </w:rPr>
        <w:footnoteReference w:id="9"/>
      </w:r>
      <w:r w:rsidRPr="00DA2A3E">
        <w:rPr>
          <w:szCs w:val="24"/>
        </w:rPr>
        <w:t>, Tureckem</w:t>
      </w:r>
      <w:r w:rsidRPr="00DA2A3E">
        <w:rPr>
          <w:rStyle w:val="FootnoteReference"/>
          <w:szCs w:val="24"/>
        </w:rPr>
        <w:footnoteReference w:id="10"/>
      </w:r>
      <w:r w:rsidRPr="00DA2A3E">
        <w:rPr>
          <w:szCs w:val="24"/>
        </w:rPr>
        <w:t xml:space="preserve"> a Ukrajinou</w:t>
      </w:r>
      <w:r w:rsidRPr="00DA2A3E">
        <w:rPr>
          <w:rStyle w:val="FootnoteReference"/>
          <w:szCs w:val="24"/>
        </w:rPr>
        <w:footnoteReference w:id="11"/>
      </w:r>
      <w:r w:rsidRPr="00DA2A3E">
        <w:rPr>
          <w:szCs w:val="24"/>
        </w:rPr>
        <w:t>,</w:t>
      </w:r>
    </w:p>
    <w:p w14:paraId="03ADC773" w14:textId="74424B32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sdělení Komise ze dne 4. listopadu 2025 nazvané „Sdělení o politice rozšíření EU pro rok 2025“ (COM(2025)0690) a na sdělení o tomto tématu z předchozích let;</w:t>
      </w:r>
    </w:p>
    <w:p w14:paraId="3CC927BF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svá usnesení o zprávách Komise o Kosovu</w:t>
      </w:r>
      <w:r w:rsidRPr="00DA2A3E">
        <w:rPr>
          <w:rStyle w:val="FootnoteReference"/>
          <w:bCs/>
          <w:iCs/>
          <w:szCs w:val="24"/>
        </w:rPr>
        <w:footnoteReference w:id="12"/>
      </w:r>
      <w:r w:rsidRPr="00DA2A3E">
        <w:rPr>
          <w:szCs w:val="24"/>
        </w:rPr>
        <w:t>, Srbsku</w:t>
      </w:r>
      <w:r w:rsidRPr="00DA2A3E">
        <w:rPr>
          <w:rStyle w:val="FootnoteReference"/>
          <w:bCs/>
          <w:iCs/>
          <w:szCs w:val="24"/>
        </w:rPr>
        <w:footnoteReference w:id="13"/>
      </w:r>
      <w:r w:rsidRPr="00DA2A3E">
        <w:rPr>
          <w:szCs w:val="24"/>
        </w:rPr>
        <w:t>, Albánii</w:t>
      </w:r>
      <w:r w:rsidRPr="00DA2A3E">
        <w:rPr>
          <w:rStyle w:val="FootnoteReference"/>
          <w:bCs/>
          <w:iCs/>
          <w:szCs w:val="24"/>
        </w:rPr>
        <w:footnoteReference w:id="14"/>
      </w:r>
      <w:r w:rsidRPr="00DA2A3E">
        <w:rPr>
          <w:szCs w:val="24"/>
        </w:rPr>
        <w:t>, Bosně a Hercegovině</w:t>
      </w:r>
      <w:r w:rsidRPr="00DA2A3E">
        <w:rPr>
          <w:rStyle w:val="FootnoteReference"/>
          <w:szCs w:val="24"/>
        </w:rPr>
        <w:footnoteReference w:id="15"/>
      </w:r>
      <w:r w:rsidRPr="00DA2A3E">
        <w:rPr>
          <w:szCs w:val="24"/>
        </w:rPr>
        <w:t>, Severní Makedonii</w:t>
      </w:r>
      <w:r w:rsidRPr="00DA2A3E">
        <w:rPr>
          <w:rStyle w:val="FootnoteReference"/>
          <w:bCs/>
          <w:iCs/>
          <w:szCs w:val="24"/>
        </w:rPr>
        <w:footnoteReference w:id="16"/>
      </w:r>
      <w:r w:rsidRPr="00DA2A3E">
        <w:rPr>
          <w:szCs w:val="24"/>
        </w:rPr>
        <w:t>, Černé Hoře</w:t>
      </w:r>
      <w:r w:rsidRPr="00DA2A3E">
        <w:rPr>
          <w:rStyle w:val="FootnoteReference"/>
          <w:bCs/>
          <w:iCs/>
          <w:szCs w:val="24"/>
        </w:rPr>
        <w:footnoteReference w:id="17"/>
      </w:r>
      <w:r w:rsidRPr="00DA2A3E">
        <w:rPr>
          <w:szCs w:val="24"/>
        </w:rPr>
        <w:t>, Ukrajině</w:t>
      </w:r>
      <w:r w:rsidRPr="00DA2A3E">
        <w:rPr>
          <w:rStyle w:val="FootnoteReference"/>
          <w:bCs/>
          <w:iCs/>
          <w:szCs w:val="24"/>
        </w:rPr>
        <w:footnoteReference w:id="18"/>
      </w:r>
      <w:r w:rsidRPr="00DA2A3E">
        <w:rPr>
          <w:szCs w:val="24"/>
        </w:rPr>
        <w:t>, Moldavsku</w:t>
      </w:r>
      <w:r w:rsidRPr="00DA2A3E">
        <w:rPr>
          <w:rStyle w:val="FootnoteReference"/>
          <w:bCs/>
          <w:iCs/>
          <w:szCs w:val="24"/>
        </w:rPr>
        <w:footnoteReference w:id="19"/>
      </w:r>
      <w:r w:rsidRPr="00DA2A3E">
        <w:rPr>
          <w:szCs w:val="24"/>
        </w:rPr>
        <w:t>, Gruzii</w:t>
      </w:r>
      <w:r w:rsidRPr="00DA2A3E">
        <w:rPr>
          <w:rStyle w:val="FootnoteReference"/>
          <w:bCs/>
          <w:iCs/>
          <w:szCs w:val="24"/>
        </w:rPr>
        <w:footnoteReference w:id="20"/>
      </w:r>
      <w:r w:rsidRPr="00DA2A3E">
        <w:rPr>
          <w:szCs w:val="24"/>
        </w:rPr>
        <w:t xml:space="preserve"> a Turecku</w:t>
      </w:r>
      <w:r w:rsidRPr="00DA2A3E">
        <w:rPr>
          <w:rStyle w:val="FootnoteReference"/>
          <w:bCs/>
          <w:iCs/>
          <w:szCs w:val="24"/>
        </w:rPr>
        <w:footnoteReference w:id="21"/>
      </w:r>
      <w:r w:rsidRPr="00DA2A3E">
        <w:rPr>
          <w:szCs w:val="24"/>
        </w:rPr>
        <w:t xml:space="preserve"> z let 2023 a 2024,</w:t>
      </w:r>
    </w:p>
    <w:p w14:paraId="0C06A13B" w14:textId="77777777" w:rsidR="00D70735" w:rsidRPr="00DA2A3E" w:rsidRDefault="00D70735" w:rsidP="00DA2A3E">
      <w:pPr>
        <w:pStyle w:val="NormalHanging12a"/>
        <w:rPr>
          <w:bCs/>
          <w:iCs/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své usnesení ze dne 13. března 2024 užších vazbách mezi EU a Arménií a o nutnosti mírové dohody mezi Ázerbájdžánem a Arménií</w:t>
      </w:r>
      <w:r w:rsidRPr="00DA2A3E">
        <w:rPr>
          <w:rStyle w:val="FootnoteReference"/>
          <w:bCs/>
          <w:iCs/>
          <w:szCs w:val="24"/>
        </w:rPr>
        <w:footnoteReference w:id="22"/>
      </w:r>
      <w:r w:rsidRPr="00DA2A3E">
        <w:rPr>
          <w:szCs w:val="24"/>
        </w:rPr>
        <w:t>,</w:t>
      </w:r>
    </w:p>
    <w:p w14:paraId="75641BEA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své usnesení ze dne 29. února 2024 o prohloubení integrace EU s ohledem na budoucí rozšíření</w:t>
      </w:r>
      <w:r w:rsidRPr="00DA2A3E">
        <w:rPr>
          <w:rStyle w:val="FootnoteReference"/>
          <w:szCs w:val="24"/>
        </w:rPr>
        <w:footnoteReference w:id="23"/>
      </w:r>
      <w:r w:rsidRPr="00DA2A3E">
        <w:rPr>
          <w:szCs w:val="24"/>
        </w:rPr>
        <w:t>,</w:t>
      </w:r>
    </w:p>
    <w:p w14:paraId="1C8FC4CA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sdělení Komise ze dne 20. března 2024 o předvstupních reformách a přezkumech předvstupní politiky (COM(2024)0146),</w:t>
      </w:r>
    </w:p>
    <w:p w14:paraId="527D38B2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své doporučení ze dne 23. listopadu 2022 Radě, Komisi a místopředsedovi Komise, vysokému představiteli Unie pro zahraniční věci a bezpečnostní politiku týkající se nové strategie EU v oblasti rozšíření</w:t>
      </w:r>
      <w:r w:rsidRPr="00DA2A3E">
        <w:rPr>
          <w:szCs w:val="24"/>
          <w:vertAlign w:val="superscript"/>
        </w:rPr>
        <w:footnoteReference w:id="24"/>
      </w:r>
      <w:r w:rsidRPr="00DA2A3E">
        <w:rPr>
          <w:szCs w:val="24"/>
        </w:rPr>
        <w:t>,</w:t>
      </w:r>
    </w:p>
    <w:p w14:paraId="28F4F129" w14:textId="77777777" w:rsidR="00D70735" w:rsidRPr="00DA2A3E" w:rsidRDefault="00D70735" w:rsidP="00DA2A3E">
      <w:pPr>
        <w:pStyle w:val="NormalHanging12a"/>
        <w:rPr>
          <w:iCs/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nařízení Evropského parlamentu a Rady (EU) 2021/1529 ze dne 15. září 2021, kterým se zřizuje Nástroj předvstupní pomoci (NPP III)</w:t>
      </w:r>
      <w:r w:rsidRPr="00DA2A3E">
        <w:rPr>
          <w:rStyle w:val="FootnoteReference"/>
          <w:iCs/>
          <w:szCs w:val="24"/>
        </w:rPr>
        <w:footnoteReference w:id="25"/>
      </w:r>
      <w:r w:rsidRPr="00DA2A3E">
        <w:rPr>
          <w:szCs w:val="24"/>
        </w:rPr>
        <w:t>,</w:t>
      </w:r>
    </w:p>
    <w:p w14:paraId="57D48C55" w14:textId="77777777" w:rsidR="00D70735" w:rsidRPr="00DA2A3E" w:rsidRDefault="00D70735" w:rsidP="00DA2A3E">
      <w:pPr>
        <w:pStyle w:val="NormalHanging12a"/>
        <w:rPr>
          <w:iCs/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nařízení Evropského parlamentu a Rady (EU) 2024/1449 ze dne 14. května 2024 o zřízení nástroje pro reformy a růst pro země západního Balkánu</w:t>
      </w:r>
      <w:r w:rsidRPr="00DA2A3E">
        <w:rPr>
          <w:rStyle w:val="FootnoteReference"/>
          <w:iCs/>
          <w:szCs w:val="24"/>
        </w:rPr>
        <w:footnoteReference w:id="26"/>
      </w:r>
      <w:r w:rsidRPr="00DA2A3E">
        <w:rPr>
          <w:szCs w:val="24"/>
        </w:rPr>
        <w:t>,</w:t>
      </w:r>
    </w:p>
    <w:p w14:paraId="10187BF0" w14:textId="77777777" w:rsidR="00D70735" w:rsidRPr="00DA2A3E" w:rsidRDefault="00D70735" w:rsidP="00DA2A3E">
      <w:pPr>
        <w:pStyle w:val="NormalHanging12a"/>
        <w:rPr>
          <w:iCs/>
          <w:szCs w:val="24"/>
        </w:rPr>
      </w:pPr>
      <w:r w:rsidRPr="00DA2A3E">
        <w:rPr>
          <w:szCs w:val="24"/>
        </w:rPr>
        <w:lastRenderedPageBreak/>
        <w:t>–</w:t>
      </w:r>
      <w:r w:rsidRPr="00DA2A3E">
        <w:rPr>
          <w:szCs w:val="24"/>
        </w:rPr>
        <w:tab/>
        <w:t>s ohledem na nařízení Evropského parlamentu a Rady (EU) 2024/792 ze dne 29. února 2024 o zřízení Nástroje pro Ukrajinu</w:t>
      </w:r>
      <w:r w:rsidRPr="00DA2A3E">
        <w:rPr>
          <w:rStyle w:val="FootnoteReference"/>
          <w:szCs w:val="24"/>
        </w:rPr>
        <w:footnoteReference w:id="27"/>
      </w:r>
      <w:r w:rsidRPr="00DA2A3E">
        <w:rPr>
          <w:szCs w:val="24"/>
        </w:rPr>
        <w:t>,</w:t>
      </w:r>
    </w:p>
    <w:p w14:paraId="16575E9D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nařízení Evropského parlamentu a Rady (EU) 2025/535 ze dne 18. března 2025 o zřízení Nástroje pro reformy a růst pro Moldavskou republiku</w:t>
      </w:r>
      <w:r w:rsidRPr="00DA2A3E">
        <w:rPr>
          <w:rStyle w:val="FootnoteReference"/>
          <w:szCs w:val="24"/>
        </w:rPr>
        <w:footnoteReference w:id="28"/>
      </w:r>
      <w:r w:rsidRPr="00DA2A3E">
        <w:rPr>
          <w:szCs w:val="24"/>
        </w:rPr>
        <w:t>,</w:t>
      </w:r>
    </w:p>
    <w:p w14:paraId="30D557E5" w14:textId="77777777" w:rsidR="00D70735" w:rsidRPr="00DA2A3E" w:rsidRDefault="00D70735" w:rsidP="00DA2A3E">
      <w:pPr>
        <w:pStyle w:val="NormalHanging12a"/>
        <w:rPr>
          <w:iCs/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 závěry předsednictví ze zasedání Evropské rady v Soluni ve dnech 19. a 20. června 2003,</w:t>
      </w:r>
    </w:p>
    <w:p w14:paraId="0399C223" w14:textId="77777777" w:rsidR="00D70735" w:rsidRPr="00DA2A3E" w:rsidRDefault="00D70735" w:rsidP="00DA2A3E">
      <w:pPr>
        <w:pStyle w:val="NormalHanging12a"/>
        <w:rPr>
          <w:iCs/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 xml:space="preserve">s ohledem na prohlášení ze summitů EU a zemí západního Balkánu, které se konaly 17. května 2018 v Sofii, 6. května 2020 v Záhřebu, 6. října 2021 v Brdu </w:t>
      </w:r>
      <w:proofErr w:type="spellStart"/>
      <w:r w:rsidRPr="00DA2A3E">
        <w:rPr>
          <w:szCs w:val="24"/>
        </w:rPr>
        <w:t>pri</w:t>
      </w:r>
      <w:proofErr w:type="spellEnd"/>
      <w:r w:rsidRPr="00DA2A3E">
        <w:rPr>
          <w:szCs w:val="24"/>
        </w:rPr>
        <w:t xml:space="preserve"> </w:t>
      </w:r>
      <w:proofErr w:type="spellStart"/>
      <w:r w:rsidRPr="00DA2A3E">
        <w:rPr>
          <w:szCs w:val="24"/>
        </w:rPr>
        <w:t>Kranju</w:t>
      </w:r>
      <w:proofErr w:type="spellEnd"/>
      <w:r w:rsidRPr="00DA2A3E">
        <w:rPr>
          <w:szCs w:val="24"/>
        </w:rPr>
        <w:t>, 6. prosince 2022 v Tiraně, 13. prosince 2023 v Bruselu a 18. prosince 2024 v Bruselu,</w:t>
      </w:r>
    </w:p>
    <w:p w14:paraId="3CB9794E" w14:textId="77777777" w:rsidR="00D70735" w:rsidRPr="00DA2A3E" w:rsidRDefault="00D70735" w:rsidP="00DA2A3E">
      <w:pPr>
        <w:pStyle w:val="NormalHanging12a"/>
        <w:rPr>
          <w:iCs/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berlínský proces zahájený dne 28. srpna 2014,</w:t>
      </w:r>
    </w:p>
    <w:p w14:paraId="326F6ED7" w14:textId="77777777" w:rsidR="00D70735" w:rsidRPr="00DA2A3E" w:rsidRDefault="00D70735" w:rsidP="00DA2A3E">
      <w:pPr>
        <w:pStyle w:val="NormalHanging12a"/>
        <w:rPr>
          <w:iCs/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společná prohlášení ze summitů Východního partnerství, které se konaly 7. května 2009 v Praze, 29.–30. září 2011 ve Varšavě, 28.–29. listopadu 2013 ve Vilniusu, 21–22. května 2015 v Rize, 24. listopadu 2017 v Bruselu a 15. prosince 2021 v Bruselu,</w:t>
      </w:r>
    </w:p>
    <w:p w14:paraId="77FC0F36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své doporučení ze dne 19. června 2020 Radě, Komisi a místopředsedovi Komise, vysokému představiteli Unie pro zahraniční věci a bezpečnostní politiku k Východnímu partnerství před summitem konaným v červnu 2020</w:t>
      </w:r>
      <w:r w:rsidRPr="00DA2A3E">
        <w:rPr>
          <w:rStyle w:val="FootnoteReference"/>
          <w:szCs w:val="24"/>
        </w:rPr>
        <w:footnoteReference w:id="29"/>
      </w:r>
      <w:r w:rsidRPr="00DA2A3E">
        <w:rPr>
          <w:szCs w:val="24"/>
        </w:rPr>
        <w:t>,</w:t>
      </w:r>
    </w:p>
    <w:p w14:paraId="1BE0740B" w14:textId="77777777" w:rsidR="00D70735" w:rsidRPr="00DA2A3E" w:rsidRDefault="00D70735" w:rsidP="00DA2A3E">
      <w:pPr>
        <w:pStyle w:val="NormalHanging12a"/>
        <w:rPr>
          <w:bCs/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své usnesení ze dne 22. října 2025 o polarizaci a zvýšené represi v Srbsku – rok po tragédii v Novém Sadu</w:t>
      </w:r>
      <w:r w:rsidRPr="00DA2A3E">
        <w:rPr>
          <w:rStyle w:val="FootnoteReference"/>
          <w:bCs/>
          <w:szCs w:val="24"/>
        </w:rPr>
        <w:footnoteReference w:id="30"/>
      </w:r>
      <w:r w:rsidRPr="00DA2A3E">
        <w:rPr>
          <w:szCs w:val="24"/>
        </w:rPr>
        <w:t>,</w:t>
      </w:r>
    </w:p>
    <w:p w14:paraId="0CD0935B" w14:textId="77777777" w:rsidR="00D70735" w:rsidRPr="00DA2A3E" w:rsidRDefault="00D70735" w:rsidP="00DA2A3E">
      <w:pPr>
        <w:pStyle w:val="NormalHanging12a"/>
        <w:rPr>
          <w:bCs/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své usnesení Evropského parlamentu ze dne 13. února 2025 o dalším zhoršení politické situace v Gruzii</w:t>
      </w:r>
      <w:r w:rsidRPr="00DA2A3E">
        <w:rPr>
          <w:rStyle w:val="FootnoteReference"/>
          <w:szCs w:val="24"/>
        </w:rPr>
        <w:footnoteReference w:id="31"/>
      </w:r>
      <w:r w:rsidRPr="00DA2A3E">
        <w:rPr>
          <w:szCs w:val="24"/>
        </w:rPr>
        <w:t>,</w:t>
      </w:r>
    </w:p>
    <w:p w14:paraId="38B1B6DE" w14:textId="77777777" w:rsidR="00D70735" w:rsidRPr="00DA2A3E" w:rsidRDefault="00D70735" w:rsidP="00DA2A3E">
      <w:pPr>
        <w:pStyle w:val="NormalHanging12a"/>
        <w:rPr>
          <w:iCs/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společné sdělení Komise a vysokého představitele Unie pro zahraniční věci a bezpečnostní politiku ze dne 29. listopadu 2023 o aktuálním stavu politických, hospodářských a obchodních vztahů mezi EU a Tureckem (JOIN(2023)0050),</w:t>
      </w:r>
    </w:p>
    <w:p w14:paraId="14C12DF4" w14:textId="77777777" w:rsidR="00D70735" w:rsidRPr="00DA2A3E" w:rsidRDefault="00D70735" w:rsidP="00DA2A3E">
      <w:pPr>
        <w:pStyle w:val="NormalHanging12a"/>
        <w:rPr>
          <w:iCs/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stanovisko Evropského výboru regionů ze dne 2. dubna 2025 k balíčku Komise týkajícímu se rozšíření 2024 – západní Balkán a Turecko,</w:t>
      </w:r>
    </w:p>
    <w:p w14:paraId="520CB22C" w14:textId="675B67AD" w:rsidR="00D70735" w:rsidRPr="00DA2A3E" w:rsidRDefault="00D70735" w:rsidP="00DA2A3E">
      <w:pPr>
        <w:pStyle w:val="NormalHanging12a"/>
        <w:rPr>
          <w:bCs/>
          <w:iCs/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 xml:space="preserve">s ohledem na zvláštní zprávu Evropského účetního dvora č. </w:t>
      </w:r>
      <w:r w:rsidR="009D4109">
        <w:rPr>
          <w:szCs w:val="24"/>
        </w:rPr>
        <w:t>0</w:t>
      </w:r>
      <w:r w:rsidRPr="00DA2A3E">
        <w:rPr>
          <w:szCs w:val="24"/>
        </w:rPr>
        <w:t>1/2022 ze dne 10. ledna 2022 nazvanou „Podpora EU určená na posilování právního státu na západním Balkáně: navzdory úsilí přetrvávají zásadní problémy“,</w:t>
      </w:r>
    </w:p>
    <w:p w14:paraId="4C1C153B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zprávu Komise o stavu právního státu za roky 2024 a 2025,</w:t>
      </w:r>
    </w:p>
    <w:p w14:paraId="6C674AB4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</w:r>
      <w:bookmarkStart w:id="7" w:name="_Hlk209882928"/>
      <w:r w:rsidRPr="00DA2A3E">
        <w:rPr>
          <w:szCs w:val="24"/>
        </w:rPr>
        <w:t>s ohledem na článek 55 jednacího řádu,</w:t>
      </w:r>
    </w:p>
    <w:p w14:paraId="51A9C62A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–</w:t>
      </w:r>
      <w:r w:rsidRPr="00DA2A3E">
        <w:rPr>
          <w:szCs w:val="24"/>
        </w:rPr>
        <w:tab/>
        <w:t>s ohledem na zprávu Výboru pro zahraniční věci (A10-0016/2026),</w:t>
      </w:r>
      <w:bookmarkEnd w:id="7"/>
    </w:p>
    <w:p w14:paraId="79240CF3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lastRenderedPageBreak/>
        <w:t>A.</w:t>
      </w:r>
      <w:r w:rsidRPr="00DA2A3E">
        <w:rPr>
          <w:szCs w:val="24"/>
        </w:rPr>
        <w:tab/>
        <w:t>vzhledem k tomu, že v některých kandidátských zemích proces rozšíření EU v posledních letech značně pokročil; vzhledem k tomu, že devět z deseti zemí, které v současné době aspirují na členství v EU, má status kandidátské země, některé z nich již řadu let; vzhledem k tomu, že zahájení přístupových jednání s Ukrajinou a Moldavskem pomohlo znovu nastartovat dynamiku politiky rozšíření;</w:t>
      </w:r>
    </w:p>
    <w:p w14:paraId="7711C25B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B.</w:t>
      </w:r>
      <w:r w:rsidRPr="00DA2A3E">
        <w:rPr>
          <w:szCs w:val="24"/>
        </w:rPr>
        <w:tab/>
        <w:t>vzhledem k tomu, že rozšiřování EU je jedním z jejích nejsilnějších zahraničněpolitických a geopolitických nástrojů a je i nadále důležitým faktorem přispívajícím k dlouhodobé bezpečnosti, míru, stabilitě a prosperitě v Evropě na základě sdílených demokratických hodnot; vzhledem k tomu, že rozšíření je jedinečnou historickou příležitostí, která může mít značné sociálně-ekonomické, politické a bezpečnostní výhody pro EU i pro země procesu rozšíření;</w:t>
      </w:r>
    </w:p>
    <w:p w14:paraId="7F5A1577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C.</w:t>
      </w:r>
      <w:r w:rsidRPr="00DA2A3E">
        <w:rPr>
          <w:szCs w:val="24"/>
        </w:rPr>
        <w:tab/>
        <w:t>vzhledem k tomu, že podle poslední zprávy Eurobarometru o rozšíření podporuje 56 procent občanů EU další rozšiřování Evropské unie, přičemž nejpreferovanějším kandidátem na vstup je Ukrajina, jakmile budou splněna všechna kritéria členství v EU;</w:t>
      </w:r>
    </w:p>
    <w:p w14:paraId="3DF67289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D.</w:t>
      </w:r>
      <w:r w:rsidRPr="00DA2A3E">
        <w:rPr>
          <w:szCs w:val="24"/>
        </w:rPr>
        <w:tab/>
        <w:t>vzhledem k tomu, že podle zprávy Eurobarometru jsou předchozí kola rozšíření vnímána jako nejpřínosnější v oblasti hospodářského růstu a konkurenceschopnosti, dále pak v oblasti zvýšení globálního vlivu EU a posílení bezpečnosti a obrany;</w:t>
      </w:r>
    </w:p>
    <w:p w14:paraId="3294D8CC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E.</w:t>
      </w:r>
      <w:r w:rsidRPr="00DA2A3E">
        <w:rPr>
          <w:szCs w:val="24"/>
        </w:rPr>
        <w:tab/>
        <w:t>vzhledem k tomu, že samotný proces přistoupení k EU přináší hmatatelné výsledky s tím, že EU je i nadále hlavním politickým, hospodářským a obchodním partnerem zemí zapojených do procesu rozšíření; vzhledem k tomu, že celkový objem obchodní výměny západního Balkánu s EU se po vstupu dohod o stabilizaci a přidružení v platnost zvýšil o 62 %; vzhledem k tomu, že prohloubené a komplexní dohody o volném obchodu měly transformační dopad na obchod a hospodářský rozvoj Moldavska a Ukrajiny, jelikož objem obchodu Moldavska vzrostl o 65,4 % a Ukrajiny o 64,7 %;</w:t>
      </w:r>
    </w:p>
    <w:p w14:paraId="134DDA96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F.</w:t>
      </w:r>
      <w:r w:rsidRPr="00DA2A3E">
        <w:rPr>
          <w:szCs w:val="24"/>
        </w:rPr>
        <w:tab/>
        <w:t>vzhledem k tomu, že plošná útočná válka Ruska proti Ukrajině představuje vážnou hrozbu pro bezpečnost na evropském kontinentu i mimo něj, což dokazuje, že nerozšiřování má značné strategické náklady a ohrožuje bezpečnost a stabilitu na celém našem kontinentu; vzhledem k tomu, že stagnace procesu rozšíření v posledních letech vytvořila vakuum, čímž se otevřel prostor pro Rusko a Čínu a další škodlivé subjekty mimo EU; vzhledem k tomu, že Rusko záměrně zasahuje do zemí Východního partnerství a západního Balkánu prostřednictvím hybridních operací, včetně zasahování do voleb a zahraničních manipulací s informacemi a vměšování, čímž se snaží v těchto zemích zastavit proces přistoupení k EU a ohrožuje bezpečnost jak těchto regionů, a to nezákonnou okupací částí území tří kandidátských zemí, tak celého kontinentu;</w:t>
      </w:r>
    </w:p>
    <w:p w14:paraId="2CC7631E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G.</w:t>
      </w:r>
      <w:r w:rsidRPr="00DA2A3E">
        <w:rPr>
          <w:szCs w:val="24"/>
        </w:rPr>
        <w:tab/>
        <w:t>vzhledem k tomu, že vliv Číny se nebezpečně rozšiřuje z projektů hospodářské závislosti na bezpečnostní spolupráci, zejména na západním Balkáně a v Gruzii, neboť Čína i nadále zneužívá politickou nestabilitu a institucionální slabiny několika zemí procesu rozšíření, aby podkopala jejich cestu k integraci do EU a jejich demokratickou správu věcí veřejných;</w:t>
      </w:r>
    </w:p>
    <w:p w14:paraId="78323955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H.</w:t>
      </w:r>
      <w:r w:rsidRPr="00DA2A3E">
        <w:rPr>
          <w:szCs w:val="24"/>
        </w:rPr>
        <w:tab/>
        <w:t xml:space="preserve">vzhledem k tomu, že rozšíření je proces založený na výsledcích, v němž hraje hlavní roli nezvratný pokrok v oblasti právního státu, demokracie a základních hodnot; vzhledem k tomu, že přistoupení každé země k EU je podmíněno trvalými, důkladnými a nezvratnými reformami v základních oblastech, počínaje právním státem </w:t>
      </w:r>
      <w:r w:rsidRPr="00DA2A3E">
        <w:rPr>
          <w:szCs w:val="24"/>
        </w:rPr>
        <w:lastRenderedPageBreak/>
        <w:t>a fungováním demokratických institucí; vzhledem k tomu, že o harmonogramu přistoupení rozhoduje kvalita nezbytných reforem, které daná země provádí;</w:t>
      </w:r>
    </w:p>
    <w:p w14:paraId="39CE5E00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I.</w:t>
      </w:r>
      <w:r w:rsidRPr="00DA2A3E">
        <w:rPr>
          <w:szCs w:val="24"/>
        </w:rPr>
        <w:tab/>
        <w:t xml:space="preserve">vzhledem k tomu, že EU je i nadále největším poskytovatelem investiční a finanční pomoci, a to prostřednictvím nástroje předvstupní pomoci NPP III, hospodářského a investičního plánu pro západní Balkán, nástroje pro západní Balkán, Nástroje pro Ukrajinu, Nástroje pro Moldavsko, Nástroje pro sousedství a rozvojovou a mezinárodní spolupráci (NDICI) – Globální Evropa, a poskytovatelem </w:t>
      </w:r>
      <w:proofErr w:type="spellStart"/>
      <w:r w:rsidRPr="00DA2A3E">
        <w:rPr>
          <w:szCs w:val="24"/>
        </w:rPr>
        <w:t>makrofinanční</w:t>
      </w:r>
      <w:proofErr w:type="spellEnd"/>
      <w:r w:rsidRPr="00DA2A3E">
        <w:rPr>
          <w:szCs w:val="24"/>
        </w:rPr>
        <w:t xml:space="preserve"> pomoci;</w:t>
      </w:r>
    </w:p>
    <w:p w14:paraId="3CF90409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J.</w:t>
      </w:r>
      <w:r w:rsidRPr="00DA2A3E">
        <w:rPr>
          <w:szCs w:val="24"/>
        </w:rPr>
        <w:tab/>
        <w:t>vzhledem k tomu, že sladění politiky kandidátských zemí se společnou zahraniční a bezpečnostní politikou EU (SZBP) je stále jedním z klíčových předpokladů pro vstup do EU;</w:t>
      </w:r>
    </w:p>
    <w:p w14:paraId="381CA589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K.</w:t>
      </w:r>
      <w:r w:rsidRPr="00DA2A3E">
        <w:rPr>
          <w:szCs w:val="24"/>
        </w:rPr>
        <w:tab/>
        <w:t>vzhledem k tomu, že rozhodovací proces týkající se rozšíření je stanoven v článku 49 SEU a v rámcích pro jednání vypracovaných pro každou kandidátskou zemi;</w:t>
      </w:r>
    </w:p>
    <w:p w14:paraId="3E07518F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L.</w:t>
      </w:r>
      <w:r w:rsidRPr="00DA2A3E">
        <w:rPr>
          <w:szCs w:val="24"/>
        </w:rPr>
        <w:tab/>
        <w:t>vzhledem k tomu, že Parlament je i nadále spolehlivým partnerem přistupujících zemí a zastáncem procesu rozšíření, který napomáhá k institucionálním a sociálně-ekonomickým reformám ve prospěch občanů;</w:t>
      </w:r>
    </w:p>
    <w:p w14:paraId="39D0BE28" w14:textId="77777777" w:rsidR="00D70735" w:rsidRPr="00DA2A3E" w:rsidRDefault="00D70735" w:rsidP="00DA2A3E">
      <w:pPr>
        <w:pStyle w:val="NormalHanging12a"/>
        <w:rPr>
          <w:b/>
          <w:i/>
          <w:iCs/>
          <w:szCs w:val="24"/>
        </w:rPr>
      </w:pPr>
      <w:r w:rsidRPr="00DA2A3E">
        <w:rPr>
          <w:b/>
          <w:i/>
          <w:szCs w:val="24"/>
        </w:rPr>
        <w:t>Geostrategický rozměr rozšíření</w:t>
      </w:r>
    </w:p>
    <w:p w14:paraId="181BCAE4" w14:textId="77777777" w:rsidR="00D70735" w:rsidRPr="00DA2A3E" w:rsidRDefault="00D70735" w:rsidP="00DA2A3E">
      <w:pPr>
        <w:pStyle w:val="Normal12Hanging"/>
        <w:rPr>
          <w:szCs w:val="24"/>
          <w:lang w:val="cs-CZ"/>
        </w:rPr>
      </w:pPr>
      <w:r w:rsidRPr="00DA2A3E">
        <w:rPr>
          <w:rStyle w:val="NormalHanging12aChar"/>
          <w:szCs w:val="24"/>
        </w:rPr>
        <w:t>1.</w:t>
      </w:r>
      <w:r w:rsidRPr="00DA2A3E">
        <w:rPr>
          <w:rStyle w:val="NormalHanging12aChar"/>
          <w:szCs w:val="24"/>
        </w:rPr>
        <w:tab/>
        <w:t>opakuje, že rozšíření je strategickou reakcí na novou geopolitickou realitu a nejpodstatnější investicí do bezpečnosti a stability EU vzhledem k plošné útočné válce Ruska proti Ukrajině, opakovaným narušováním hranic, hybridním útokům a dalším nepřátelským akcím namířeným proti sousedům a vzhledem k dalším společným geopolitickým výzvám, které vyžadují dlouhodobou politickou demokratickou vizi a odvážné činy a kroky směřující k dokončení evropského projektu</w:t>
      </w:r>
      <w:r w:rsidRPr="00DA2A3E">
        <w:rPr>
          <w:szCs w:val="24"/>
          <w:lang w:val="cs-CZ"/>
        </w:rPr>
        <w:t>;</w:t>
      </w:r>
    </w:p>
    <w:p w14:paraId="7D4355CE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2.</w:t>
      </w:r>
      <w:r w:rsidRPr="00DA2A3E">
        <w:rPr>
          <w:szCs w:val="24"/>
        </w:rPr>
        <w:tab/>
        <w:t>opakuje, že rozšíření je proces, z něhož těží současné i budoucí členské státy; poukazuje na to, že je z politického hlediska naléhavé, aby EU prokázala, že je odhodlána v procesu rozšiřování pokračovat, a to i s ohledem na zachování důvěryhodnosti EU v očích přistupujících zemí a jejich společností; trvá na tom, že rozšíření EU posílí bezpečnost a hospodářství Evropy; zdůrazňuje, jako již mnohokrát předtím, že budoucnost západního Balkánu, Ukrajiny a Moldavska je v EU, v souladu s přáními jejich obyvatel; zdůrazňuje, že náklady na nerozšíření by převýšily náklady na dokončení procesu a hrozilo by riziko vzniku šedých geopolitických zón, které by se mohly snadno stát obětí škodlivých kroků zemí mimo EU usilujících o rozšíření svého politického, hospodářského a strategického vlivu;</w:t>
      </w:r>
    </w:p>
    <w:p w14:paraId="1B3FBCE5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3.</w:t>
      </w:r>
      <w:r w:rsidRPr="00DA2A3E">
        <w:rPr>
          <w:szCs w:val="24"/>
        </w:rPr>
        <w:tab/>
        <w:t>zdůrazňuje, že přistoupení je klíčovým nástrojem pro podporu trvalého míru, demokracie, právního státu a dodržování základních práv, prosazování regionálního usmíření a stability, ochrany kandidátských zemí a zemí v sousedství EU před nepřátelským zahraničním vměšováním, především ze strany Ruska; domnívá se, že politika rozšíření je nezbytná, jestliže chce mít EU vliv v době zvýšené geopolitické nestability; zdůrazňuje, že prosperita a bezpečnost EU závisí na její schopnosti hájit demokracii, právní stát, lidská práva a mnohostranný pořádek založený na pravidlech; připomíná společné kulturní, historické a lidské vazby mezi zeměmi procesu rozšíření a členskými státy;</w:t>
      </w:r>
    </w:p>
    <w:p w14:paraId="773E56CF" w14:textId="77777777" w:rsidR="00D70735" w:rsidRPr="00DA2A3E" w:rsidRDefault="00D70735" w:rsidP="00DA2A3E">
      <w:pPr>
        <w:pStyle w:val="NormalHanging12a"/>
        <w:rPr>
          <w:b/>
          <w:bCs/>
          <w:i/>
          <w:szCs w:val="24"/>
        </w:rPr>
      </w:pPr>
      <w:r w:rsidRPr="00DA2A3E">
        <w:rPr>
          <w:b/>
          <w:i/>
          <w:szCs w:val="24"/>
        </w:rPr>
        <w:t>Strategické priority rozšíření: proces založený na výsledcích a podmínky</w:t>
      </w:r>
    </w:p>
    <w:p w14:paraId="2D953731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lastRenderedPageBreak/>
        <w:t>4.</w:t>
      </w:r>
      <w:r w:rsidRPr="00DA2A3E">
        <w:rPr>
          <w:szCs w:val="24"/>
        </w:rPr>
        <w:tab/>
        <w:t>vítá pokrok, jehož bylo v posledních letech dosaženo a díky němuž bude rozšíření EU v blízké budoucnosti možné; chválí Černou Horu a Albánii za jejich značný pokrok a bere na vědomí jejich ambice uzavřít jednání do konce roku 2026 (v případě Černé Hory) a do konce roku 2027 (v případě Albánie); naléhavě vyzývá orgány EU, zejména Radu, aby na tyto ambice odpověděly stejným způsobem, odstranily překážky na straně EU, a zvýšily tak důvěryhodnost a předvídatelnost procesu a aby současně plně dodržely zásadu založení procesu přistoupení „zásadně na výsledcích“; vítá skutečnost, že Bosna a Hercegovina má status kandidátské země, a vybízí ji, aby podnikla další kroky v zájmu realizace reforem;</w:t>
      </w:r>
    </w:p>
    <w:p w14:paraId="50730D2B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5.</w:t>
      </w:r>
      <w:r w:rsidRPr="00DA2A3E">
        <w:rPr>
          <w:szCs w:val="24"/>
        </w:rPr>
        <w:tab/>
        <w:t>oceňuje mimořádnou odolnost Ukrajiny a její odhodlání vytrvat na její cestě do Evropy navzdory ruské útočné válce; vyzývá EU a její členské státy, aby i nadále podporovaly Ukrajinu, a vyjadřuje politování nad tím, že se Rada nedohodla na použití zmrazených ruských aktiv; chválí Moldavsko za výrazný pokrok na cestě k přistoupení k EU, neboť navzdory neustálým hybridním hrozbám úspěšně dokončilo proces prověřování; vyzývá k urychlenému otevření tematických okruhů kapitol jednání s Ukrajinou a Moldavskem a naléhavě vyzývá maďarskou vládu, aby přestala blokovat jednání;</w:t>
      </w:r>
    </w:p>
    <w:p w14:paraId="68CD1791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6.</w:t>
      </w:r>
      <w:r w:rsidRPr="00DA2A3E">
        <w:rPr>
          <w:szCs w:val="24"/>
        </w:rPr>
        <w:tab/>
        <w:t>opakuje, že v souladu s článkem 49 SEU může o členství v EU požádat každý evropský stát, pokud respektuje hodnoty stanovené v článku 2 SEU, včetně lidské důstojnosti, svobody, demokracie, rovnosti, právního státu a lidských práv, včetně práv menšin; bere na vědomí zvýšenou podporu členství v EU v několika zemích, které se dříve připravovaly na vstup do EU, včetně Islandu, který hodlá uspořádat do roku 2027 referendum o obnovení přístupových rozhovorů, a vyzývá vedení EU, aby pokračovalo v budování užších vztahů s těmito zeměmi; konstatuje, že dne 26. března 2025 přijal arménský parlament zákon, kterým oficiálně podpořil členství v EU a vyzval vládu, aby zahájila proces přistoupení k EU, a domnívá se, že trvalé reformy upevňující arménskou demokracii by mohly být východiskem pro transformaci vztahů mezi EU a Arménií; vítá možné iniciativy Grónska směřující k posílení jeho politických, institucionálních a hospodářských vazeb s EU na pozadí rostoucí podpory přistoupení k EU;</w:t>
      </w:r>
    </w:p>
    <w:p w14:paraId="1F0DF390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7.</w:t>
      </w:r>
      <w:r w:rsidRPr="00DA2A3E">
        <w:rPr>
          <w:szCs w:val="24"/>
        </w:rPr>
        <w:tab/>
        <w:t xml:space="preserve">připomíná, že předchozí kola rozšíření podnítila značný hospodářský růst v nových i starých členských státech; zdůrazňuje, že volný pohyb zlepšil pracovní vyhlídky a mzdy a v důsledku </w:t>
      </w:r>
      <w:proofErr w:type="spellStart"/>
      <w:r w:rsidRPr="00DA2A3E">
        <w:rPr>
          <w:szCs w:val="24"/>
        </w:rPr>
        <w:t>remitencí</w:t>
      </w:r>
      <w:proofErr w:type="spellEnd"/>
      <w:r w:rsidRPr="00DA2A3E">
        <w:rPr>
          <w:szCs w:val="24"/>
        </w:rPr>
        <w:t xml:space="preserve"> vedl ke snížení chudoby; zdůrazňuje, že rozšíření mělo pozitivní dopad na životní úroveň, neboť zlepšilo pracovní právo, zdraví a bezpečnost, rovnost žen a mužů, digitální služby a vzdělávání a posílilo odstraňování diskriminace;</w:t>
      </w:r>
    </w:p>
    <w:p w14:paraId="7545A5A3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8.</w:t>
      </w:r>
      <w:r w:rsidRPr="00DA2A3E">
        <w:rPr>
          <w:szCs w:val="24"/>
        </w:rPr>
        <w:tab/>
        <w:t>opakuje, že přistoupení musí být i nadále zvratným procesem založeným na výsledcích a že každý žadatelský stát musí být posuzován na základě kodaňských kritérií, souladu s </w:t>
      </w:r>
      <w:proofErr w:type="spellStart"/>
      <w:r w:rsidRPr="004B2AC0">
        <w:rPr>
          <w:i/>
          <w:iCs/>
          <w:szCs w:val="24"/>
        </w:rPr>
        <w:t>acquis</w:t>
      </w:r>
      <w:proofErr w:type="spellEnd"/>
      <w:r w:rsidRPr="00DA2A3E">
        <w:rPr>
          <w:szCs w:val="24"/>
        </w:rPr>
        <w:t xml:space="preserve"> EU a všech dalších podmínek stanovených v rámci rozšíření; zdůrazňuje, že cesta každé země k integraci do EU musí být posuzována samostatně a že žádná země by neměla být spojována s jinou nebo považována za součást balíčku; podtrhuje, že v oblasti hodnot EU a základních zásad nelze činit ústupky;</w:t>
      </w:r>
    </w:p>
    <w:p w14:paraId="0BF0659D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9.</w:t>
      </w:r>
      <w:r w:rsidRPr="00DA2A3E">
        <w:rPr>
          <w:szCs w:val="24"/>
        </w:rPr>
        <w:tab/>
        <w:t>zdůrazňuje, že ačkoli by se tento proces měl stát postupnějším a dynamičtějším a měl by mít jasné reformní cíle, plány a průběžné harmonogramy, nesmí existovat žádná zrychlená možnost přistoupení, neboť to by mohlo narušit integritu celého procesu; konstatuje, že některé kandidátské země si již stanovily ambiciózní cíle pro uzavření jednání, které by měly být podporovány, pokud budou doprovázeny hmatatelnými reformami;</w:t>
      </w:r>
    </w:p>
    <w:p w14:paraId="2076F434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lastRenderedPageBreak/>
        <w:t>10.</w:t>
      </w:r>
      <w:r w:rsidRPr="00DA2A3E">
        <w:rPr>
          <w:szCs w:val="24"/>
        </w:rPr>
        <w:tab/>
        <w:t>zdůrazňuje, že hlavní důraz se v procesu rozšíření musí vždy klást na právní stát, demokratické reformy, svobodu sdělovacích prostředků a základní práva, včetně práv menšin; zdůrazňuje význam nezávislosti soudnictví, boje proti korupci, začlenění a podpory občanské společnosti a také příznivého prostředí bez zastrašování jakožto klíčových předpokladů pro udržitelný pokrok na cestě k členství v EU, zejména v době sílících autoritářských tendencí; zdůrazňuje, že pokrok v základních otázkách musí být vodítkem pro všechny kapitoly jednání;</w:t>
      </w:r>
    </w:p>
    <w:p w14:paraId="0E834343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11.</w:t>
      </w:r>
      <w:r w:rsidRPr="00DA2A3E">
        <w:rPr>
          <w:szCs w:val="24"/>
        </w:rPr>
        <w:tab/>
        <w:t>zdůrazňuje, že je třeba dosáhnout genderové rovnosti a začlenit ji do všech politik, mimo jiné odstraněním genderově podmíněného a domácího násilí, dále je třeba chránit práva dětí a jejich přístup ke kvalitnímu vzdělání a v průběhu celého procesu přistoupení plně uplatňovat zásadu nediskriminace, a to i vůči komunitě LGBTIQ+ a osobám se zdravotním postižením; zdůrazňuje, že lidská práva musí být chráněna nejen v právních předpisech, ale také důsledným uplatňováním této ochrany v praxi; zdůrazňuje, že je třeba, aby všechny země procesu rozšíření zajistily skutečné zastoupení menšin na všech úrovních státní správy, chránily kulturní a jazykovou identitu menšin, zajistily přístup ke kvalitnímu vzdělávání v menšinových jazycích a účinně bojovaly proti nenávistným verbálním projevům a trestným činům motivovaným nenávistí;</w:t>
      </w:r>
    </w:p>
    <w:p w14:paraId="5CB8290B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12.</w:t>
      </w:r>
      <w:r w:rsidRPr="00DA2A3E">
        <w:rPr>
          <w:szCs w:val="24"/>
        </w:rPr>
        <w:tab/>
        <w:t>vyzývá Komisi, aby do své výroční zprávy o právním státu zahrnula všechny země procesu rozšíření, na které se tato zpráva nyní nevztahuje; je obzvláště znepokojen přetrvávajícími nedostatky a stagnací procesů soudních reforem, pokusy zvrátit pokrok v boji proti korupci, omezeným pokrokem v reformách veřejné správy, nedostatečným sladěním volební legislativy s evropskými standardy, jakož i polarizací společnosti, zmenšováním prostoru pro občanskou společnost a potlačováním práva na pokojné shromažďování, k čemuž dochází v některých zemích procesu rozšíření;</w:t>
      </w:r>
    </w:p>
    <w:p w14:paraId="200B84AF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13.</w:t>
      </w:r>
      <w:r w:rsidRPr="00DA2A3E">
        <w:rPr>
          <w:szCs w:val="24"/>
        </w:rPr>
        <w:tab/>
        <w:t>zdůrazňuje, že v EU ani v zemích, které se chtějí stát členskými státy EU, není místo pro štvavou rétoriku, popírání genocidy nebo oslavování válečných zločinců z jakékoli strany; podtrhuje, že konfrontace s minulostí je nezbytná pro skutečné usmíření, které má zásadní význam pro prosperující společnosti a úspěšnou integraci;</w:t>
      </w:r>
    </w:p>
    <w:p w14:paraId="74EDE073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14.</w:t>
      </w:r>
      <w:r w:rsidRPr="00DA2A3E">
        <w:rPr>
          <w:szCs w:val="24"/>
        </w:rPr>
        <w:tab/>
        <w:t>vybízí země zapojené do procesu rozšíření, aby se vší rozhodností pokračovaly ve včasném provádění nezbytných reforem a dosáhly hmatatelného a nezvratného pokroku, počínajíce základní prvky; trvá na tom, že ve všech kandidátských zemích je třeba soustavně podporovat pluralitu médií, chránit práva novinářů, zachovat prostředí příznivé pro investigativní žurnalistiku a zajistit svobodu projevu, při čemž je nutné uplatňovat účinné mechanismy pro řešení nenávistných projevů, pomlouvačných kampaní, obtěžování, výhrůžek a útoků na novináře; trvá na nutnosti vyšetřovat a stíhat tyto trestné činy a zároveň řešit otázku koncentrace sdělovacích prostředků, politického a hospodářského nátlaku a nedostatečné transparentnosti, pokud jde o financování a vlastnictví sdělovacích prostředků;</w:t>
      </w:r>
    </w:p>
    <w:p w14:paraId="64C8826D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15.</w:t>
      </w:r>
      <w:r w:rsidRPr="00DA2A3E">
        <w:rPr>
          <w:szCs w:val="24"/>
        </w:rPr>
        <w:tab/>
        <w:t xml:space="preserve">zdůrazňuje, že je třeba posílit účast občanů a zapojení občanské společnosti v procesu rozšíření; zdůrazňuje, že při prověřování, vyjednávání, provádění a monitorování reforem, zajišťování transparentnosti, odpovědnosti a důvěry veřejnosti v proces přistoupení hrají důležitou úlohu organizace občanské společnosti s prokázanými výsledky a odbornými znalostmi v určitých odvětvích; poukazuje na to, že je důležité trvale podporovat jejich práce a bezpečné prostředí, v němž pracují; vyzývá k posílení povědomí jednotlivých států o významu podpory občanské společnosti a zvýšení státní </w:t>
      </w:r>
      <w:r w:rsidRPr="00DA2A3E">
        <w:rPr>
          <w:szCs w:val="24"/>
        </w:rPr>
        <w:lastRenderedPageBreak/>
        <w:t>podpory pro její činnost, včetně přípravy na změny ve financování po vstupu do EU;</w:t>
      </w:r>
    </w:p>
    <w:p w14:paraId="7B408A1A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16.</w:t>
      </w:r>
      <w:r w:rsidRPr="00DA2A3E">
        <w:rPr>
          <w:szCs w:val="24"/>
        </w:rPr>
        <w:tab/>
        <w:t>opakuje svůj postoj, že zásadním ukazatelem toho, zda má kandidátská země jasné geostrategické směřování, zda se hlásí k základním hodnotám a zásadám EU a zda je připravena na budoucí členství v EU, je její soulad se SZBP EU;</w:t>
      </w:r>
    </w:p>
    <w:p w14:paraId="75FF06F8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17.</w:t>
      </w:r>
      <w:r w:rsidRPr="00DA2A3E">
        <w:rPr>
          <w:szCs w:val="24"/>
        </w:rPr>
        <w:tab/>
        <w:t>konstatuje, že některé kandidátské země, zejména Ukrajina, již přispívají k evropské bezpečnosti a obraně; vyjadřuje hlubokou úctu a vděčnost obyvatelům Ukrajiny, kteří denně platí nejvyšší cenu za zachování evropského způsobu života;</w:t>
      </w:r>
    </w:p>
    <w:p w14:paraId="53BB5E4A" w14:textId="3D2F46A8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18.</w:t>
      </w:r>
      <w:r w:rsidRPr="00DA2A3E">
        <w:rPr>
          <w:szCs w:val="24"/>
        </w:rPr>
        <w:tab/>
        <w:t xml:space="preserve">vítá úspěšné obnovení dialogu o SZBP s partnery na západním Balkáně a zdůrazňuje význam těchto partnerství pro mír a bezpečnost; naléhavě vyzývá všechny kandidátské země, stejně jako země, které by se kandidátskými zeměmi mohly v budoucnu stát, aby za svou prioritu považovaly rychlé dosažení plného souladu se SZBP, a opakuje, že k přistoupení dané země může dojít až poté, co svou politiku plně sladí se SZBP, a to i přijetím a uplatňováním restriktivních opatření a dosažením souladu s vízovou politikou EU; </w:t>
      </w:r>
      <w:bookmarkStart w:id="8" w:name="_Hlk217046534"/>
      <w:r w:rsidRPr="00DA2A3E">
        <w:rPr>
          <w:szCs w:val="24"/>
        </w:rPr>
        <w:t xml:space="preserve">konstatuje, že k nejvíce znepokojivému vývoji a ústupu od demokracie dochází v zemích procesu rozšíření, které se nejméně přizpůsobují SZBP, a v zemích, jejichž proces přistoupení k EU se fakticky zastavil, zejména v Srbsku, Gruzii a Turecku; vyzývá EU a členské státy, aby učinily maximum pro to, aby zabránily dalším zemím procesu rozšíření v následování uvedených zemí; </w:t>
      </w:r>
      <w:bookmarkEnd w:id="8"/>
      <w:r w:rsidRPr="00DA2A3E">
        <w:rPr>
          <w:szCs w:val="24"/>
        </w:rPr>
        <w:t>zdůrazňuje, že soustavný odklon od harmonizace se SZBP představuje zásadní překážku pro přistoupení k EU; očekává, že kandidátské země a země, které by se kandidátskými zeměmi mohly v budoucnu stát, uvedou svou politiku plně do souladu také se společnou bezpečnostní a obrannou politikou, včetně zásad, cílů a misí této politiky, a považuje to za jeden z klíčových prvků procesu přistoupení; vybízí Radu pro zahraniční věci, aby přizvala ministry zahraničních věcí zemí zapojených do procesu rozšíření, které jsou zcela sladěny se SZBP, aby se účastnili jejích summitů jako hosté;</w:t>
      </w:r>
    </w:p>
    <w:p w14:paraId="561D2302" w14:textId="59B663A3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19.</w:t>
      </w:r>
      <w:r w:rsidRPr="00DA2A3E">
        <w:rPr>
          <w:szCs w:val="24"/>
        </w:rPr>
        <w:tab/>
        <w:t xml:space="preserve">konstatuje, že je důležité posílit úlohu kandidátských zemí v evropské bezpečnosti a obraně, a podporuje jejich zapojení – založené na výsledcích – do některých nástrojů, programů a projektů EU v oblasti obrany, jakož i udělení statusu pozorovatele těmto zemím v Evropské obranné agentuře; vyzývá k jejich zapojení do jednání a přijetí závazků, pokud jde o poskytnutí bezpečnostních záruk Ukrajině; uznává přínos několika kandidátských zemí k misím </w:t>
      </w:r>
      <w:r w:rsidR="00ED1792" w:rsidRPr="00DA2A3E">
        <w:rPr>
          <w:szCs w:val="24"/>
        </w:rPr>
        <w:t>společn</w:t>
      </w:r>
      <w:r w:rsidR="00ED1792">
        <w:rPr>
          <w:szCs w:val="24"/>
        </w:rPr>
        <w:t>é</w:t>
      </w:r>
      <w:r w:rsidR="00ED1792" w:rsidRPr="00DA2A3E">
        <w:rPr>
          <w:szCs w:val="24"/>
        </w:rPr>
        <w:t xml:space="preserve"> bezpečnostní a obrann</w:t>
      </w:r>
      <w:r w:rsidR="00ED1792">
        <w:rPr>
          <w:szCs w:val="24"/>
        </w:rPr>
        <w:t>é</w:t>
      </w:r>
      <w:r w:rsidR="00ED1792" w:rsidRPr="00DA2A3E">
        <w:rPr>
          <w:szCs w:val="24"/>
        </w:rPr>
        <w:t xml:space="preserve"> politik</w:t>
      </w:r>
      <w:r w:rsidR="00ED1792">
        <w:rPr>
          <w:szCs w:val="24"/>
        </w:rPr>
        <w:t>y</w:t>
      </w:r>
      <w:r w:rsidRPr="00DA2A3E">
        <w:rPr>
          <w:szCs w:val="24"/>
        </w:rPr>
        <w:t xml:space="preserve"> EU a jejich boj proti zahraniční manipulaci s informacemi a vměšování a hybridním hrozbám namířeným proti EU a zdůrazňuje, že užší integrace posiluje kolektivní bezpečnost a odolnost vůči hybridním hrozbám;</w:t>
      </w:r>
    </w:p>
    <w:p w14:paraId="36D4F3AC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20.</w:t>
      </w:r>
      <w:r w:rsidRPr="00DA2A3E">
        <w:rPr>
          <w:szCs w:val="24"/>
        </w:rPr>
        <w:tab/>
        <w:t>zdůrazňuje, že nezajištění souladu se SZBP představuje pro EU bezpečnostní riziko, které tkví například v tom, že občané třetích zemí získají právo na bezvízové cesty do EU, jelikož jim bylo uděleno občanství kandidátské země, nebo že se dále zvýší závislost na Číně; trvá na tom, aby byly stanoveny jasné podmínky pro kontakty s geopolitickými soupeři, kteří usilují o podkopání mezinárodního řádu založeného na pravidlech a o oslabení Evropy;</w:t>
      </w:r>
    </w:p>
    <w:p w14:paraId="2294CF33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21.</w:t>
      </w:r>
      <w:r w:rsidRPr="00DA2A3E">
        <w:rPr>
          <w:szCs w:val="24"/>
        </w:rPr>
        <w:tab/>
        <w:t xml:space="preserve">zdůrazňuje, že základním předpokladem pro přistoupení k EU je regionální spolupráce, zejména na západním Balkáně; zdůrazňuje, že usmíření vedoucí k dobrým sousedským vztahům je klíčem k úspěšnému přistoupení k EU; dále zdůrazňuje, že nevyřešené otázky v dvoustranných vztazích mezi EU a třetími zeměmi by měly být řešeny bilaterálně v souladu s mezinárodním právem a neměly by být zneužívány k blokování </w:t>
      </w:r>
      <w:r w:rsidRPr="00DA2A3E">
        <w:rPr>
          <w:szCs w:val="24"/>
        </w:rPr>
        <w:lastRenderedPageBreak/>
        <w:t>rozšíření;  varuje před tím, že příliš velká zpoždění mohou mít nepříznivý dopad na veřejné mínění i politickou angažovanost v kandidátských zemích;</w:t>
      </w:r>
    </w:p>
    <w:p w14:paraId="41DD9678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22.</w:t>
      </w:r>
      <w:r w:rsidRPr="00DA2A3E">
        <w:rPr>
          <w:szCs w:val="24"/>
        </w:rPr>
        <w:tab/>
        <w:t>připomíná, že proces přistoupení k EU závisí na splnění podmínek stanovených v rámcích pro jednání s EU, na podpoře dobrých sousedských vztahů a na dodržování dvoustranných a mezinárodních dohod v souladu s kodaňskými kritérii a je založen na vlastních výsledcích dané země; vyzývá Radu, aby zabránila tomu, že by bilaterální otázky nesouvisející s kodaňskými kritérii bránily pokroku;</w:t>
      </w:r>
    </w:p>
    <w:p w14:paraId="6CE2433F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23.</w:t>
      </w:r>
      <w:r w:rsidRPr="00DA2A3E">
        <w:rPr>
          <w:szCs w:val="24"/>
        </w:rPr>
        <w:tab/>
        <w:t>zdůrazňuje význam dialogu mezi Bělehradem a </w:t>
      </w:r>
      <w:proofErr w:type="spellStart"/>
      <w:r w:rsidRPr="00DA2A3E">
        <w:rPr>
          <w:szCs w:val="24"/>
        </w:rPr>
        <w:t>Prištinou</w:t>
      </w:r>
      <w:proofErr w:type="spellEnd"/>
      <w:r w:rsidRPr="00DA2A3E">
        <w:rPr>
          <w:szCs w:val="24"/>
        </w:rPr>
        <w:t xml:space="preserve">, který je klíčový pro to, aby Srbsko a Kosovo pokročily na své cestě do Evropy a přispěje k regionální stabilitě a prosperitě, a současně podtrhuje, že je důležité, že v souladu s rámcem EU pro jednání je i nadále v dobré víře uplatňována </w:t>
      </w:r>
      <w:proofErr w:type="spellStart"/>
      <w:r w:rsidRPr="00DA2A3E">
        <w:rPr>
          <w:szCs w:val="24"/>
        </w:rPr>
        <w:t>Prespanská</w:t>
      </w:r>
      <w:proofErr w:type="spellEnd"/>
      <w:r w:rsidRPr="00DA2A3E">
        <w:rPr>
          <w:szCs w:val="24"/>
        </w:rPr>
        <w:t xml:space="preserve"> dohoda mezi Severní Makedonií a Řeckem a Smlouva o přátelství, dobrých sousedských vztazích a spolupráci mezi Severní Makedonií a Bulharskem;</w:t>
      </w:r>
    </w:p>
    <w:p w14:paraId="3F3AB6EE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24.</w:t>
      </w:r>
      <w:r w:rsidRPr="00DA2A3E">
        <w:rPr>
          <w:szCs w:val="24"/>
        </w:rPr>
        <w:tab/>
        <w:t>opakuje svůj názor, že je důležité otevřít a zveřejnit válečné a komunistické historické archivy, neboť by to umožnilo další hledání pravdy a usmíření a posílilo demokratickou správu věcí veřejných; zdůrazňuje, že je důležité beze zbytku vykonat vnitrostátní a mezinárodní soudní rozhodnutí a dodržovat mezinárodní závazky týkající se válečných zločinů a pohřešovaných osob a řešit otázku glorifikace válečných zločinců a historického revizionismu;</w:t>
      </w:r>
    </w:p>
    <w:p w14:paraId="4A88A9CB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25.</w:t>
      </w:r>
      <w:r w:rsidRPr="00DA2A3E">
        <w:rPr>
          <w:szCs w:val="24"/>
        </w:rPr>
        <w:tab/>
        <w:t>zdůrazňuje, že přístup založený na výsledcích může vést ke zmrazení nebo zvrácení jednání o přistoupení v případě zhoršení situace v oblasti základních hodnot, přičemž jednání budou obnovena až po dosažení dostatečného pokroku v reformách; zdůrazňuje, že země, které nedosahují dobrých výsledků v oblasti demokratické správy věcí veřejných, musí nést následky, aby se zajistilo, že proces přistoupení bude i nadále skutečně založen na výsledcích; opakuje, že EU musí aktivně podporovat demokratické pilíře v kandidátských zemích, aby posílila stabilitu a dynamiku reforem;</w:t>
      </w:r>
    </w:p>
    <w:p w14:paraId="77E6A8B5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26.</w:t>
      </w:r>
      <w:r w:rsidRPr="00DA2A3E">
        <w:rPr>
          <w:szCs w:val="24"/>
        </w:rPr>
        <w:tab/>
        <w:t>vyzývá k důkladnému zhodnocení politiky rozšíření, jak po stránce obsahové, tak po stránce věcné, aby bylo možné posoudit, proč některé země procesu rozšíření dosáhly tak omezeného pokroku, zejména v oblasti právního státu, lidských práv a demokracie; vyzývá k vyhodnocení pokroku dosaženého nejen na legislativní úrovni, ale také na úrovni provádění;</w:t>
      </w:r>
    </w:p>
    <w:p w14:paraId="66E33165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27.</w:t>
      </w:r>
      <w:r w:rsidRPr="00DA2A3E">
        <w:rPr>
          <w:szCs w:val="24"/>
        </w:rPr>
        <w:tab/>
        <w:t>vyzývá Komisi, aby zřídila skupinu pro sledování provádění reforem v rámci tematického okruhu základních zásad, kde je rychlý pokrok nebo úpadek často nejviditelnější a může významně ovlivnit důvěryhodnost a udržitelnost procesu přistoupení;</w:t>
      </w:r>
    </w:p>
    <w:p w14:paraId="34EAE375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28.</w:t>
      </w:r>
      <w:r w:rsidRPr="00DA2A3E">
        <w:rPr>
          <w:szCs w:val="24"/>
        </w:rPr>
        <w:tab/>
        <w:t>uznává, že v důsledku velkých nedostatků v dříve dokončených procesech rozšíření mohlo dojít ke zhoršení stavu demokracie po přistoupení k EU, což oslabilo důvěryhodnost politiky rozšíření EU; konstatuje, že v kandidátských zemích, které nedosáhly dostatečného pokroku na cestě k členství v EU, by EU měla více pomáhat proevropským demokratickým aktérům občanské společnosti, kteří se zasazují o reformy a evropské hodnoty;</w:t>
      </w:r>
    </w:p>
    <w:p w14:paraId="3224CB55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29.</w:t>
      </w:r>
      <w:r w:rsidRPr="00DA2A3E">
        <w:rPr>
          <w:szCs w:val="24"/>
        </w:rPr>
        <w:tab/>
        <w:t xml:space="preserve">vyzývá delegace EU v dotčených zemích, aby soustavně uplatňovaly důvěryhodný přístup založený na výsledcích, dodržování zásad právního státu a ochraně lidských </w:t>
      </w:r>
      <w:r w:rsidRPr="00DA2A3E">
        <w:rPr>
          <w:szCs w:val="24"/>
        </w:rPr>
        <w:lastRenderedPageBreak/>
        <w:t>práv;</w:t>
      </w:r>
    </w:p>
    <w:p w14:paraId="48994ED3" w14:textId="77777777" w:rsidR="00D70735" w:rsidRPr="00DA2A3E" w:rsidRDefault="00D70735" w:rsidP="00DA2A3E">
      <w:pPr>
        <w:pStyle w:val="NormalHanging12a"/>
        <w:rPr>
          <w:b/>
          <w:i/>
          <w:szCs w:val="24"/>
        </w:rPr>
      </w:pPr>
      <w:r w:rsidRPr="00DA2A3E">
        <w:rPr>
          <w:b/>
          <w:i/>
          <w:szCs w:val="24"/>
        </w:rPr>
        <w:t>Zajištění účinného fungování rozšířené Unie</w:t>
      </w:r>
    </w:p>
    <w:p w14:paraId="3C71D16A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30.</w:t>
      </w:r>
      <w:r w:rsidRPr="00DA2A3E">
        <w:rPr>
          <w:szCs w:val="24"/>
        </w:rPr>
        <w:tab/>
        <w:t>domnívá se, že proces přípravy na rozšíření by měl probíhat souběžně v EU i v zemích procesu rozšíření, aby bylo zajištěno účinné fungování rozšířené Unie;</w:t>
      </w:r>
    </w:p>
    <w:p w14:paraId="757BA466" w14:textId="7777777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31.</w:t>
      </w:r>
      <w:r w:rsidRPr="00DA2A3E">
        <w:rPr>
          <w:szCs w:val="24"/>
        </w:rPr>
        <w:tab/>
        <w:t>znovu vyzývá orgány EU a členské státy, aby provedly nezbytné reformy k posílení EU a strategické autonomie Evropy, aby absence těchto reforem nezpozdila přistoupení nových členských států;</w:t>
      </w:r>
    </w:p>
    <w:p w14:paraId="235ED58B" w14:textId="77777777" w:rsidR="00D70735" w:rsidRPr="00DA2A3E" w:rsidRDefault="00D70735" w:rsidP="00DA2A3E">
      <w:pPr>
        <w:pStyle w:val="Normal12Hanging"/>
        <w:rPr>
          <w:szCs w:val="24"/>
          <w:lang w:val="cs-CZ"/>
        </w:rPr>
      </w:pPr>
      <w:r w:rsidRPr="00DA2A3E">
        <w:rPr>
          <w:szCs w:val="24"/>
          <w:lang w:val="cs-CZ"/>
        </w:rPr>
        <w:t>32.</w:t>
      </w:r>
      <w:r w:rsidRPr="00DA2A3E">
        <w:rPr>
          <w:szCs w:val="24"/>
          <w:lang w:val="cs-CZ"/>
        </w:rPr>
        <w:tab/>
        <w:t>opakuje svou výzvu k posílení akceschopnosti EU zavedením hlasování kvalifikovanou většinou v oblastech relevantních pro proces přistoupení, a to zejména zrušením požadavku jednomyslnosti v dílčích krocích procesu rozšíření, pokud jde o rozhodování o otevírání a uzavírání jednotlivých tematických okruhů a kapitol jednání; vyjadřuje politování nad tím, že nadměrné používání jednomyslnosti v dílčích krocích procesu rozšíření opakovaně zpomaluje rozšiřování EU a snižuje veřejnou podporu integrace do EU;</w:t>
      </w:r>
    </w:p>
    <w:p w14:paraId="249364F5" w14:textId="7348AD51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3</w:t>
      </w:r>
      <w:r w:rsidR="006065E6">
        <w:rPr>
          <w:szCs w:val="24"/>
        </w:rPr>
        <w:t>3</w:t>
      </w:r>
      <w:r w:rsidRPr="00DA2A3E">
        <w:rPr>
          <w:szCs w:val="24"/>
        </w:rPr>
        <w:t>.</w:t>
      </w:r>
      <w:r w:rsidRPr="00DA2A3E">
        <w:rPr>
          <w:szCs w:val="24"/>
        </w:rPr>
        <w:tab/>
        <w:t>považuje za nezbytné provést přezkum odvětvových politik EU, aby se posoudilo, jak lze integrovat nové členské státy a zajistit efektivní fungování rozšířené Unie; vítá nadcházející přezkumy politik před rozšířením jako zásadní krok v přípravě Unie na nové členy;</w:t>
      </w:r>
    </w:p>
    <w:p w14:paraId="4594D901" w14:textId="462DF30A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3</w:t>
      </w:r>
      <w:r w:rsidR="006065E6">
        <w:rPr>
          <w:szCs w:val="24"/>
        </w:rPr>
        <w:t>4</w:t>
      </w:r>
      <w:r w:rsidRPr="00DA2A3E">
        <w:rPr>
          <w:szCs w:val="24"/>
        </w:rPr>
        <w:t>.</w:t>
      </w:r>
      <w:r w:rsidRPr="00DA2A3E">
        <w:rPr>
          <w:szCs w:val="24"/>
        </w:rPr>
        <w:tab/>
        <w:t>zdůrazňuje, že proces rozšíření nabízí značný potenciál pro sbližování v několika klíčových oblastech, jako je hospodářství, ochrana životního prostředí a bezpečnost, jak ukázala předchozí kola rozšíření; vítá první účinky konvergence vyvolané evropskou perspektivou; zdůrazňuje, že politika soudržnosti a společná zemědělská politika hrají ústřední roli v podpoře konvergence mezi členskými státy EU a měly by být zachovány i v rozšířené Unii;</w:t>
      </w:r>
    </w:p>
    <w:p w14:paraId="7A55D892" w14:textId="6BD18EC9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3</w:t>
      </w:r>
      <w:r w:rsidR="006065E6">
        <w:rPr>
          <w:szCs w:val="24"/>
        </w:rPr>
        <w:t>5</w:t>
      </w:r>
      <w:r w:rsidRPr="00DA2A3E">
        <w:rPr>
          <w:szCs w:val="24"/>
        </w:rPr>
        <w:t>.</w:t>
      </w:r>
      <w:r w:rsidRPr="00DA2A3E">
        <w:rPr>
          <w:szCs w:val="24"/>
        </w:rPr>
        <w:tab/>
        <w:t xml:space="preserve">uznává důležitost širokého uplatňování postupné integrace, založené na zásluhách a reverzibilní, do společných politik EU, jako je jednotný trh, včetně jednotného digitálního trhu, v případě kandidátských zemí, které dosahují významného pokroku v reformách souvisejících s EU, a zároveň zachování integrity vnitřního trhu EU a rovných podmínek; zdůrazňuje, že ačkoli postupná integrace může kandidátským zemím pomoci při provádění </w:t>
      </w:r>
      <w:proofErr w:type="spellStart"/>
      <w:r w:rsidRPr="004B2AC0">
        <w:rPr>
          <w:i/>
          <w:iCs/>
          <w:szCs w:val="24"/>
        </w:rPr>
        <w:t>acquis</w:t>
      </w:r>
      <w:proofErr w:type="spellEnd"/>
      <w:r w:rsidRPr="00DA2A3E">
        <w:rPr>
          <w:szCs w:val="24"/>
        </w:rPr>
        <w:t xml:space="preserve"> EU, a tím usnadnit přechod k členství v EU, nemůže nahradit plné členství v EU; zdůrazňuje, že budoucí členské státy by měly mít stejná práva a povinnosti jako stávající členské státy, a důrazně odmítá vytváření různých tříd členství;</w:t>
      </w:r>
    </w:p>
    <w:p w14:paraId="4A6257BE" w14:textId="615FB226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3</w:t>
      </w:r>
      <w:r w:rsidR="006065E6">
        <w:rPr>
          <w:szCs w:val="24"/>
        </w:rPr>
        <w:t>6</w:t>
      </w:r>
      <w:r w:rsidRPr="00DA2A3E">
        <w:rPr>
          <w:szCs w:val="24"/>
        </w:rPr>
        <w:t>.</w:t>
      </w:r>
      <w:r w:rsidRPr="00DA2A3E">
        <w:rPr>
          <w:szCs w:val="24"/>
        </w:rPr>
        <w:tab/>
        <w:t>zdůrazňuje skutečnost, že nejpřínosnějším a nejlépe přijímaným výsledkem postupné integrace je liberalizace vízového režimu; podporuje nová pravidla, která by umožnila pozastavit liberalizaci vízového režimu pro státní příslušníky zemí procesu rozšíření odpovědných za ústup od demokracie a závažné porušování lidských práv, včetně pronásledování pokojných demonstrantů, občanské společnosti, pracovníků médií a opozičních politiků a používání násilí proti nim;</w:t>
      </w:r>
    </w:p>
    <w:p w14:paraId="39CCF3DC" w14:textId="2F4242D5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3</w:t>
      </w:r>
      <w:r w:rsidR="006065E6">
        <w:rPr>
          <w:szCs w:val="24"/>
        </w:rPr>
        <w:t>7</w:t>
      </w:r>
      <w:r w:rsidRPr="00DA2A3E">
        <w:rPr>
          <w:szCs w:val="24"/>
        </w:rPr>
        <w:t>.</w:t>
      </w:r>
      <w:r w:rsidRPr="00DA2A3E">
        <w:rPr>
          <w:szCs w:val="24"/>
        </w:rPr>
        <w:tab/>
        <w:t>zdůrazňuje, že kandidátské země by měly mít možnost postupné integrace v souladu s přístupem založeným na zásluhách a podmíněnosti; zdůrazňuje, že je nezbytné zajistit reverzibilitu postupné integrace v případech, kdy kandidátská země neplní své závazky;</w:t>
      </w:r>
    </w:p>
    <w:p w14:paraId="06B3FE9D" w14:textId="1C0AB5DB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lastRenderedPageBreak/>
        <w:t>3</w:t>
      </w:r>
      <w:r w:rsidR="006065E6">
        <w:rPr>
          <w:szCs w:val="24"/>
        </w:rPr>
        <w:t>8</w:t>
      </w:r>
      <w:r w:rsidRPr="00DA2A3E">
        <w:rPr>
          <w:szCs w:val="24"/>
        </w:rPr>
        <w:t>.</w:t>
      </w:r>
      <w:r w:rsidRPr="00DA2A3E">
        <w:rPr>
          <w:szCs w:val="24"/>
        </w:rPr>
        <w:tab/>
        <w:t>opakuje, že by proces rozšíření měl být podpořen zapojením kandidátských zemí do fungování orgánů EU, mimo jiné prostřednictvím statusu pozorovatele v příslušných orgánech a institucích, včetně Parlamentu a Agentury EU pro základní práva;</w:t>
      </w:r>
    </w:p>
    <w:p w14:paraId="423B8FA6" w14:textId="61EF492E" w:rsidR="00D70735" w:rsidRPr="00DA2A3E" w:rsidRDefault="006065E6" w:rsidP="00DA2A3E">
      <w:pPr>
        <w:pStyle w:val="NormalHanging12a"/>
        <w:rPr>
          <w:szCs w:val="24"/>
        </w:rPr>
      </w:pPr>
      <w:r>
        <w:rPr>
          <w:szCs w:val="24"/>
        </w:rPr>
        <w:t>39</w:t>
      </w:r>
      <w:r w:rsidR="00D70735" w:rsidRPr="00DA2A3E">
        <w:rPr>
          <w:szCs w:val="24"/>
        </w:rPr>
        <w:t>.</w:t>
      </w:r>
      <w:r w:rsidR="00D70735" w:rsidRPr="00DA2A3E">
        <w:rPr>
          <w:szCs w:val="24"/>
        </w:rPr>
        <w:tab/>
        <w:t>zdůrazňuje, že je důležité podporovat informovanost veřejnosti v evropských společnostech o rozšiřování EU a jeho úloze při zajišťování budoucnosti evropské integrace; zdůrazňuje skutečnost, že úspěšný proces rozšíření bude do značné míry záviset na jasné a transparentní komunikační strategii;</w:t>
      </w:r>
    </w:p>
    <w:p w14:paraId="02029924" w14:textId="77777777" w:rsidR="00D70735" w:rsidRPr="00DA2A3E" w:rsidRDefault="00D70735" w:rsidP="00DA2A3E">
      <w:pPr>
        <w:pStyle w:val="Normal12Hanging"/>
        <w:rPr>
          <w:b/>
          <w:bCs/>
          <w:i/>
          <w:iCs/>
          <w:szCs w:val="24"/>
          <w:lang w:val="cs-CZ"/>
        </w:rPr>
      </w:pPr>
      <w:r w:rsidRPr="00DA2A3E">
        <w:rPr>
          <w:b/>
          <w:i/>
          <w:szCs w:val="24"/>
          <w:lang w:val="cs-CZ"/>
        </w:rPr>
        <w:t>Podpora zemí procesu rozšíření na jejich cestě k členství v EU</w:t>
      </w:r>
    </w:p>
    <w:p w14:paraId="38B9B8A5" w14:textId="33D75383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4</w:t>
      </w:r>
      <w:r w:rsidR="006065E6">
        <w:rPr>
          <w:szCs w:val="24"/>
        </w:rPr>
        <w:t>0</w:t>
      </w:r>
      <w:r w:rsidRPr="00DA2A3E">
        <w:rPr>
          <w:szCs w:val="24"/>
        </w:rPr>
        <w:t>.</w:t>
      </w:r>
      <w:r w:rsidRPr="00DA2A3E">
        <w:rPr>
          <w:szCs w:val="24"/>
        </w:rPr>
        <w:tab/>
        <w:t>zdůrazňuje, že kromě stanovení individuálních reformních cílů, plánů a průběžných harmonogramů pro každou přistupující zemi by EU měla posílit transparentnost procesu a stanovit jasné a předvídatelné harmonogramy pro přistoupení kandidátských zemí, které na své cestě k přistoupení nejvíce pokročily, aby se zabránilo ztrátě dynamiky a důvěryhodnosti; domnívá se, že k rozšíření EU by mělo dojít ihned poté, co budou v dotčených kandidátských zemích splněny všechny podmínky přistoupení;</w:t>
      </w:r>
    </w:p>
    <w:p w14:paraId="47ED5F1F" w14:textId="66AB8E59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4</w:t>
      </w:r>
      <w:r w:rsidR="006065E6">
        <w:rPr>
          <w:szCs w:val="24"/>
        </w:rPr>
        <w:t>1</w:t>
      </w:r>
      <w:r w:rsidRPr="00DA2A3E">
        <w:rPr>
          <w:szCs w:val="24"/>
        </w:rPr>
        <w:t>.</w:t>
      </w:r>
      <w:r w:rsidRPr="00DA2A3E">
        <w:rPr>
          <w:szCs w:val="24"/>
        </w:rPr>
        <w:tab/>
        <w:t>zdůrazňuje, že klíčové reformy ovlivňující fungování a nezávislost institucí nesmí být uspěchané ani politicky zneužívány, zejména v kandidátských zemích se složitým ústavním uspořádáním; zdůrazňuje, že zrychlené postupy nebo tlak na dodržení politických lhůt nesmí být na úkor právní kvality a institucionální integrity reforem;</w:t>
      </w:r>
    </w:p>
    <w:p w14:paraId="7866F62F" w14:textId="5E80CA4A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4</w:t>
      </w:r>
      <w:r w:rsidR="006065E6">
        <w:rPr>
          <w:szCs w:val="24"/>
        </w:rPr>
        <w:t>2</w:t>
      </w:r>
      <w:r w:rsidRPr="00DA2A3E">
        <w:rPr>
          <w:szCs w:val="24"/>
        </w:rPr>
        <w:t>.</w:t>
      </w:r>
      <w:r w:rsidRPr="00DA2A3E">
        <w:rPr>
          <w:szCs w:val="24"/>
        </w:rPr>
        <w:tab/>
        <w:t>domnívá se, že předvstupní finanční pomoc, včetně nástrojů pro západní Balkán, Ukrajinu a Moldavsko, je klíčová pro zajištění toho, aby země procesu rozšíření obdržely strukturovanou finanční podporu na institucionální a hospodářskou transformaci; zdůrazňuje, že veškerá finanční pomoc EU musí dodržovat a zachovávat podmínky předvstupní podpory, včetně oblasti právního státu a boje proti korupci, aby byly chráněny finanční zájmy EU a občanů obou stran; konstatuje, že je třeba upravit způsoby provádění NPP tak, aby se usnadnil proces přípravy a učení, který je nezbytný pro využívání strukturálních fondů;</w:t>
      </w:r>
    </w:p>
    <w:p w14:paraId="20FF65AF" w14:textId="0DDD708C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4</w:t>
      </w:r>
      <w:r w:rsidR="006065E6">
        <w:rPr>
          <w:szCs w:val="24"/>
        </w:rPr>
        <w:t>3</w:t>
      </w:r>
      <w:r w:rsidRPr="00DA2A3E">
        <w:rPr>
          <w:szCs w:val="24"/>
        </w:rPr>
        <w:t>.</w:t>
      </w:r>
      <w:r w:rsidRPr="00DA2A3E">
        <w:rPr>
          <w:szCs w:val="24"/>
        </w:rPr>
        <w:tab/>
        <w:t>zdůrazňuje, že rozšíření vyžaduje finanční reformy, které by mimo jiné řešily problémy v oblasti politiky soudržnosti a zemědělské politiky a zajistily, že rozpočet EU bude i nadále schopen plnit stávající programy a politické priority;</w:t>
      </w:r>
    </w:p>
    <w:p w14:paraId="00ECA0C0" w14:textId="03336169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4</w:t>
      </w:r>
      <w:r w:rsidR="006065E6">
        <w:rPr>
          <w:szCs w:val="24"/>
        </w:rPr>
        <w:t>4</w:t>
      </w:r>
      <w:r w:rsidRPr="00DA2A3E">
        <w:rPr>
          <w:szCs w:val="24"/>
        </w:rPr>
        <w:t>.</w:t>
      </w:r>
      <w:r w:rsidRPr="00DA2A3E">
        <w:rPr>
          <w:szCs w:val="24"/>
        </w:rPr>
        <w:tab/>
        <w:t>konstatuje, že návrh VFR na období 2028–2034, který předložila Komise, jasně označuje rozšíření za jednu ze strategických priorit Unie; zdůrazňuje skutečnost, že rozšíření je ústředním pilířem nástroje Globální Evropa a představuje 21 % (neboli 43,1 miliardy EUR) jeho navrhovaného rozpočtu, pokrývá všechny současné i potenciální kandidátské země i partnery ve východním sousedství a poskytuje cílené financování předvstupní pomoci, posilování institucí a vnitřních příprav EU na budoucí přistoupení;</w:t>
      </w:r>
    </w:p>
    <w:p w14:paraId="10DFA5BE" w14:textId="652CB59C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4</w:t>
      </w:r>
      <w:r w:rsidR="006065E6">
        <w:rPr>
          <w:szCs w:val="24"/>
        </w:rPr>
        <w:t>5</w:t>
      </w:r>
      <w:r w:rsidRPr="00DA2A3E">
        <w:rPr>
          <w:szCs w:val="24"/>
        </w:rPr>
        <w:t>.</w:t>
      </w:r>
      <w:r w:rsidRPr="00DA2A3E">
        <w:rPr>
          <w:szCs w:val="24"/>
        </w:rPr>
        <w:tab/>
        <w:t xml:space="preserve">požaduje, aby nový VFR stanovil dostatečné předvstupní financování, které by odpovídalo očekávanému rozšíření EU během jeho platnosti, jelikož některé kandidátské země pravděpodobně vstoupí do EU během tohoto období; vyzývá k jasnému a konzistentnímu přidělování a vyčleňování předvstupních finančních prostředků pro kandidátské a potenciální kandidátské země v rámci pilíře VFR Globální Evropa a zdůrazňuje, že tyto prostředky musí být chráněny před přesměrováním na jiné vnější priority a měly by jasně odrážet priority v základních oblastech a zároveň zlepšovat viditelnost a transparentnost předvstupní pomoci; trvá na tom, že finanční </w:t>
      </w:r>
      <w:r w:rsidRPr="00DA2A3E">
        <w:rPr>
          <w:szCs w:val="24"/>
        </w:rPr>
        <w:lastRenderedPageBreak/>
        <w:t>prostředky musí přímo podporovat právní stát, reformu veřejné správy, sociální a územní soudržnost a posílení postavení a zapojení místních subjektů občanské společnosti a nezávislých médií, aby byla zajištěna transparentnost, předcházeno zneužívání finančních prostředků a zachována veřejná odpovědnost vlád přijímajících zemí; vyzývá Komisi, aby důsledně uplatňovala cílenou podmíněnost založenou na jasných kritériích pokroku, odměňovala reformy a sankcionovala ústup od plnění cílů nebo přetrvávající nedostatek pokroku;</w:t>
      </w:r>
    </w:p>
    <w:p w14:paraId="6EE62225" w14:textId="7F4011EA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4</w:t>
      </w:r>
      <w:r w:rsidR="006065E6">
        <w:rPr>
          <w:szCs w:val="24"/>
        </w:rPr>
        <w:t>6</w:t>
      </w:r>
      <w:r w:rsidRPr="00DA2A3E">
        <w:rPr>
          <w:szCs w:val="24"/>
        </w:rPr>
        <w:t>.</w:t>
      </w:r>
      <w:r w:rsidRPr="00DA2A3E">
        <w:rPr>
          <w:szCs w:val="24"/>
        </w:rPr>
        <w:tab/>
        <w:t>opakuje svou výzvu k vytvoření rámce pro účinnou spolupráci mezi Úřadem evropského veřejného žalobce (EPPO) a přistupujícími zeměmi; vybízí kandidáty a potenciální kandidáty na přistoupení k EU, aby urychleně uzavřeli dvoustranná pracovní ujednání s EPPO s cílem usnadnit úzkou spolupráci a trestní stíhání v případě zneužívání finančních prostředků EU;</w:t>
      </w:r>
    </w:p>
    <w:p w14:paraId="0DB8CCA9" w14:textId="57FC3298" w:rsidR="00D70735" w:rsidRPr="00DA2A3E" w:rsidRDefault="00D70735" w:rsidP="00DA2A3E">
      <w:pPr>
        <w:pStyle w:val="NormalHanging12a"/>
        <w:rPr>
          <w:bCs/>
          <w:iCs/>
          <w:szCs w:val="24"/>
        </w:rPr>
      </w:pPr>
      <w:r w:rsidRPr="00DA2A3E">
        <w:rPr>
          <w:szCs w:val="24"/>
        </w:rPr>
        <w:t>4</w:t>
      </w:r>
      <w:r w:rsidR="006065E6">
        <w:rPr>
          <w:szCs w:val="24"/>
        </w:rPr>
        <w:t>7</w:t>
      </w:r>
      <w:r w:rsidRPr="00DA2A3E">
        <w:rPr>
          <w:szCs w:val="24"/>
        </w:rPr>
        <w:t>.</w:t>
      </w:r>
      <w:r w:rsidRPr="00DA2A3E">
        <w:rPr>
          <w:szCs w:val="24"/>
        </w:rPr>
        <w:tab/>
        <w:t>zdůrazňuje, že je třeba posílit a lépe sladit financování provádění opatření v oblasti životního prostředí, klimatu a dobrých životních podmínek zvířat, jakož i podporu budování kapacit kandidátských zemí; bere na vědomí meziodvětvovou povahu a vysoké náklady těchto opatření a skutečnost, že jsou klíčová pro udržitelný rozvoj, soulad se Zelenou dohodou a právními předpisy EU v oblasti dobrých životních podmínek zvířat a integraci do vnitřního trhu;</w:t>
      </w:r>
    </w:p>
    <w:p w14:paraId="059017C9" w14:textId="012DE35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4</w:t>
      </w:r>
      <w:r w:rsidR="006065E6">
        <w:rPr>
          <w:szCs w:val="24"/>
        </w:rPr>
        <w:t>8</w:t>
      </w:r>
      <w:r w:rsidRPr="00DA2A3E">
        <w:rPr>
          <w:szCs w:val="24"/>
        </w:rPr>
        <w:t>.</w:t>
      </w:r>
      <w:r w:rsidRPr="00DA2A3E">
        <w:rPr>
          <w:szCs w:val="24"/>
        </w:rPr>
        <w:tab/>
        <w:t>zdůrazňuje, že je důležité zapojit kandidátské země do probíhajících a budoucích projektů EU v oblasti konektivity, dopravy, energetické infrastruktury, ekologické transformace, digitální bezpečnosti, odolnosti a vojenské mobility EU s cílem posílit bezpečnost Evropy v náročném geopolitickém prostředí;</w:t>
      </w:r>
    </w:p>
    <w:p w14:paraId="03ED29D4" w14:textId="58772638" w:rsidR="00D70735" w:rsidRPr="00DA2A3E" w:rsidRDefault="006065E6" w:rsidP="00DA2A3E">
      <w:pPr>
        <w:pStyle w:val="NormalHanging12a"/>
        <w:rPr>
          <w:szCs w:val="24"/>
        </w:rPr>
      </w:pPr>
      <w:r>
        <w:rPr>
          <w:szCs w:val="24"/>
        </w:rPr>
        <w:t>49</w:t>
      </w:r>
      <w:r w:rsidR="00D70735" w:rsidRPr="00DA2A3E">
        <w:rPr>
          <w:szCs w:val="24"/>
        </w:rPr>
        <w:t>.</w:t>
      </w:r>
      <w:r w:rsidR="00D70735" w:rsidRPr="00DA2A3E">
        <w:rPr>
          <w:szCs w:val="24"/>
        </w:rPr>
        <w:tab/>
        <w:t>zdůrazňuje strategický význam černomořského regionu pro bezpečnost a prosperitu celého evropského kontinentu; zdůrazňuje, že je třeba zlepšit propojení mezi Ukrajinou, Moldavskem, Rumunskem, Bulharskem a Tureckem v oblasti dopravy, energetiky a digitální infrastruktury, aby se posílila regionální odolnost, diverzifikovaly dodavatelské řetězce a zajistily alternativní obchodní trasy;</w:t>
      </w:r>
    </w:p>
    <w:p w14:paraId="3C6A5925" w14:textId="6E02133A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5</w:t>
      </w:r>
      <w:r w:rsidR="006065E6">
        <w:rPr>
          <w:szCs w:val="24"/>
        </w:rPr>
        <w:t>0</w:t>
      </w:r>
      <w:r w:rsidRPr="00DA2A3E">
        <w:rPr>
          <w:szCs w:val="24"/>
        </w:rPr>
        <w:t>.</w:t>
      </w:r>
      <w:r w:rsidRPr="00DA2A3E">
        <w:rPr>
          <w:szCs w:val="24"/>
        </w:rPr>
        <w:tab/>
        <w:t>zdůrazňuje strategický význam projektů dopravní a energetické infrastruktury ve východním sousedství EU a na západním Balkáně s cílem posílit geostrategickou autonomii EU a vyzývá k jejich rychlému dokončení a plnému uvedení do provozu;</w:t>
      </w:r>
    </w:p>
    <w:p w14:paraId="56EAC3F2" w14:textId="60A8780D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5</w:t>
      </w:r>
      <w:r w:rsidR="006065E6">
        <w:rPr>
          <w:szCs w:val="24"/>
        </w:rPr>
        <w:t>1</w:t>
      </w:r>
      <w:r w:rsidRPr="00DA2A3E">
        <w:rPr>
          <w:szCs w:val="24"/>
        </w:rPr>
        <w:t>.</w:t>
      </w:r>
      <w:r w:rsidRPr="00DA2A3E">
        <w:rPr>
          <w:szCs w:val="24"/>
        </w:rPr>
        <w:tab/>
        <w:t>je znepokojen rostoucím vlivem Číny v zemích procesu rozšíření, hospodářskou a politickou závislostí vyplývající z čínských programů finanční pomoci a značných investic do klíčových odvětví, jako je energetika, telekomunikace, infrastruktura a těžební a surovinový průmysl, a dlouhodobými důsledky pro demokratickou odolnost, hospodářskou bezpečnost a evropské zájmy; vyzývá k většímu a viditelnějšímu zapojení EU, mimo jiné prostřednictvím důvěryhodných investičních alternativ;</w:t>
      </w:r>
    </w:p>
    <w:p w14:paraId="076BFD26" w14:textId="3A127ECA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5</w:t>
      </w:r>
      <w:r w:rsidR="006065E6">
        <w:rPr>
          <w:szCs w:val="24"/>
        </w:rPr>
        <w:t>2</w:t>
      </w:r>
      <w:r w:rsidRPr="00DA2A3E">
        <w:rPr>
          <w:szCs w:val="24"/>
        </w:rPr>
        <w:t>.</w:t>
      </w:r>
      <w:r w:rsidRPr="00DA2A3E">
        <w:rPr>
          <w:szCs w:val="24"/>
        </w:rPr>
        <w:tab/>
        <w:t>vítá hmatatelné výhody pro občany, které vyplývají ze snížení poplatků za roaming mezi EU a západním Balkánem; vyzývá Komisi, aby urychlila úsilí o rozšíření roamingových ujednání na všechny země procesu rozšíření, aby bylo co nejdříve dosaženo „roamingu za domácích podmínek“ a jednotné oblasti pro platby v eurech (SEPA) pro všechny kandidátské a potenciální kandidátské země;</w:t>
      </w:r>
    </w:p>
    <w:p w14:paraId="54DB534D" w14:textId="7296CCB8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5</w:t>
      </w:r>
      <w:r w:rsidR="006065E6">
        <w:rPr>
          <w:szCs w:val="24"/>
        </w:rPr>
        <w:t>3</w:t>
      </w:r>
      <w:r w:rsidRPr="00DA2A3E">
        <w:rPr>
          <w:szCs w:val="24"/>
        </w:rPr>
        <w:t>.</w:t>
      </w:r>
      <w:r w:rsidRPr="00DA2A3E">
        <w:rPr>
          <w:szCs w:val="24"/>
        </w:rPr>
        <w:tab/>
        <w:t xml:space="preserve">požaduje větší zaměření na investice do lidského kapitálu s cílem podpořit konkurenceschopnost a inovace v kandidátských zemích a nalézt praktická řešení </w:t>
      </w:r>
      <w:r w:rsidRPr="00DA2A3E">
        <w:rPr>
          <w:szCs w:val="24"/>
        </w:rPr>
        <w:lastRenderedPageBreak/>
        <w:t>nezaměstnanosti mladých lidí;</w:t>
      </w:r>
    </w:p>
    <w:p w14:paraId="7D178929" w14:textId="1E3897AC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5</w:t>
      </w:r>
      <w:r w:rsidR="006065E6">
        <w:rPr>
          <w:szCs w:val="24"/>
        </w:rPr>
        <w:t>4</w:t>
      </w:r>
      <w:r w:rsidRPr="00DA2A3E">
        <w:rPr>
          <w:szCs w:val="24"/>
        </w:rPr>
        <w:t>.</w:t>
      </w:r>
      <w:r w:rsidRPr="00DA2A3E">
        <w:rPr>
          <w:szCs w:val="24"/>
        </w:rPr>
        <w:tab/>
        <w:t>znovu vyzývá Radu, Komisi a Evropskou službu pro vnější činnost (ESVČ), aby posílily proaktivní a strategickou komunikaci o hmatatelných přínosech členství v EU v zemích procesu rozšíření a v členských státech tím, že budou rozvíjet individuálně uzpůsobené, jasně srozumitelné a na výsledky orientované komunikační strategie založené na faktech, které podpoří cíle EU a budou zahrnovat místní občanskou společnost a média a nebudou spoléhat na obecné komunikační kampaně; v této souvislosti zdůrazňuje klíčovou úlohu mladých lidí, jelikož mládežnická hnutí opakovaně prokázala, že zásadní měrou přispívají k prodemokratickému aktivismu v kandidátských zemích; dále opakuje svou výzvu Komisi, aby zajistila plnou viditelnost podpory a investic EU v kandidátských zemích a informovanost veřejnosti o nich pomocí jasného označení a vlajky EU, a to i v případě, že jsou poskytovány prostřednictvím mezinárodních organizací; zdůrazňuje, že ačkoli Spojené státy přestaly podporovat nezávislá média a aktéry občanské společnosti v kandidátských zemích, EU má velký zájem rychle posílit své zapojení; zdůrazňuje, že v ratifikačním procesu bude rozhodující podpora občanů, a proto musí komunikace působit jak na rozum, tak na emoce; naléhavě vyzývá orgány EU, aby podporovaly inkluzivní veřejné diskuse o rozšíření, zapojily do smysluplné debaty širokou veřejnost a umožnily jí efektivní účast na tomto procesu; zdůrazňuje význam většího zapojení občanů do procesu rozšíření jak v členských státech EU, tak v přistupujících zemích;</w:t>
      </w:r>
    </w:p>
    <w:p w14:paraId="0AF5E215" w14:textId="7C1F5974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5</w:t>
      </w:r>
      <w:r w:rsidR="006065E6">
        <w:rPr>
          <w:szCs w:val="24"/>
        </w:rPr>
        <w:t>5</w:t>
      </w:r>
      <w:r w:rsidRPr="00DA2A3E">
        <w:rPr>
          <w:szCs w:val="24"/>
        </w:rPr>
        <w:t>.</w:t>
      </w:r>
      <w:r w:rsidRPr="00DA2A3E">
        <w:rPr>
          <w:szCs w:val="24"/>
        </w:rPr>
        <w:tab/>
        <w:t>zdůrazňuje klíčovou úlohu orgánů a politických představitelů v zemích procesu rozšíření při budování mezistranické spolupráce na reformách pro vstup do EU, udržování celospolečenského konsensu ohledně členství v EU a efektivním a průběžném informování občanů o výhodách vstupu do EU; zdůrazňuje zásadní úlohu organizací občanské společnosti při podpoře veřejné diskuse o integraci do EU založené na faktech, potírání dezinformací a usnadňování informované veřejné diskuse; vyzývá Komisi a členské státy, aby systematicky zapojovaly aktéry občanské společnosti do strategického komunikačního úsilí v souvislosti s rozšířením a reformami podporovanými EU;</w:t>
      </w:r>
    </w:p>
    <w:p w14:paraId="15EF0098" w14:textId="59B7AB4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5</w:t>
      </w:r>
      <w:r w:rsidR="006065E6">
        <w:rPr>
          <w:szCs w:val="24"/>
        </w:rPr>
        <w:t>6</w:t>
      </w:r>
      <w:r w:rsidRPr="00DA2A3E">
        <w:rPr>
          <w:szCs w:val="24"/>
        </w:rPr>
        <w:t>.</w:t>
      </w:r>
      <w:r w:rsidRPr="00DA2A3E">
        <w:rPr>
          <w:szCs w:val="24"/>
        </w:rPr>
        <w:tab/>
        <w:t>naléhavě vyzývá Komisi, a to i na nejvyšší úrovni, aby ve své veřejné komunikaci používala jasnější a přímočařejší jazyk, a to i v souvislosti s nedostatky, nedostatečným pokrokem a regresí, zejména v oblasti právního státu, s cílem dodržet podmíněnost, hájit hodnoty EU a udržet důvěru proevropských a prodemokratických sil;</w:t>
      </w:r>
    </w:p>
    <w:p w14:paraId="0CF68D35" w14:textId="7632B19C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5</w:t>
      </w:r>
      <w:r w:rsidR="006065E6">
        <w:rPr>
          <w:szCs w:val="24"/>
        </w:rPr>
        <w:t>7</w:t>
      </w:r>
      <w:r w:rsidRPr="00DA2A3E">
        <w:rPr>
          <w:szCs w:val="24"/>
        </w:rPr>
        <w:t>.</w:t>
      </w:r>
      <w:r w:rsidRPr="00DA2A3E">
        <w:rPr>
          <w:szCs w:val="24"/>
        </w:rPr>
        <w:tab/>
        <w:t xml:space="preserve">vyzývá orgány EU a členské státy, aby se plně zapojily do dalšího posilování reformních procesů v kandidátských zemích, zejména zlepšením jejich správních kapacit prostřednictvím cílených programů budování kapacit; vyzývá k akademické a vzdělávací spolupráci mezi členskými státy EU a zeměmi procesu rozšíření podporou vzdělávacích programů zaměřených na evropské hodnoty a právní stát, řádnou správu věcí veřejných, veřejnou správu a vymýcení korupce a vytvořením prostoru pro společné vzdělávání veřejných činitelů ze zemí procesu rozšíření, včetně úředníků místních a regionálních orgánů; zdůrazňuje úspěch partnerských projektů při předávání odvětvových odborných znalostí a zdůrazňuje, že je třeba stavět na těchto pozitivních zkušenostech, v neposlední řadě s cílem zvýšit odpovědnost členských států za proces rozšíření; zdůrazňuje, že programy budování kapacit by měly rovněž upřednostňovat posilování nezávislých organizací občanské společnosti a ochranu prostoru, v němž působí; vyzývá Komisi, aby podporovala programy, které posilují místní komunity, dobrovolníky a občanské iniciativy, jež podporují demokratickou kulturu, evropské </w:t>
      </w:r>
      <w:r w:rsidRPr="00DA2A3E">
        <w:rPr>
          <w:szCs w:val="24"/>
        </w:rPr>
        <w:lastRenderedPageBreak/>
        <w:t>hodnoty a sociální soudržnost;</w:t>
      </w:r>
    </w:p>
    <w:p w14:paraId="6993D064" w14:textId="11D4A051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5</w:t>
      </w:r>
      <w:r w:rsidR="006065E6">
        <w:rPr>
          <w:szCs w:val="24"/>
        </w:rPr>
        <w:t>8</w:t>
      </w:r>
      <w:r w:rsidRPr="00DA2A3E">
        <w:rPr>
          <w:szCs w:val="24"/>
        </w:rPr>
        <w:t>.</w:t>
      </w:r>
      <w:r w:rsidRPr="00DA2A3E">
        <w:rPr>
          <w:szCs w:val="24"/>
        </w:rPr>
        <w:tab/>
        <w:t>zdůrazňuje úlohu parlamentní diplomacie, odpovědnosti a programů EU na podporu demokracie při udržování dynamiky reforem; připomíná svou připravenost posílit pravidelný a transparentní dialog a spolupráci s vnitrostátními parlamenty kandidátských a potenciálních kandidátských zemí, a to tím, že naváže na předchozí pozitivní zkušenosti a úspěšné formáty, plně využije stávající nástroje a iniciativy Parlamentu na podporu demokracie a bude prosazovat zvýšený parlamentní dohled nad procesem přistoupení k EU a souvisejícími reformami;</w:t>
      </w:r>
    </w:p>
    <w:p w14:paraId="66AE77A0" w14:textId="2516F39B" w:rsidR="00D70735" w:rsidRPr="00DA2A3E" w:rsidRDefault="006065E6" w:rsidP="00DA2A3E">
      <w:pPr>
        <w:pStyle w:val="NormalHanging12a"/>
        <w:rPr>
          <w:szCs w:val="24"/>
        </w:rPr>
      </w:pPr>
      <w:r>
        <w:rPr>
          <w:szCs w:val="24"/>
        </w:rPr>
        <w:t>59</w:t>
      </w:r>
      <w:r w:rsidR="00D70735" w:rsidRPr="00DA2A3E">
        <w:rPr>
          <w:szCs w:val="24"/>
        </w:rPr>
        <w:t>.</w:t>
      </w:r>
      <w:r w:rsidR="00D70735" w:rsidRPr="00DA2A3E">
        <w:rPr>
          <w:szCs w:val="24"/>
        </w:rPr>
        <w:tab/>
        <w:t>zdůrazňuje potřebu reforem volebního systému, které zajistí svobodné, spravedlivé a demokratické volby v souladu s mezinárodními normami; zdůrazňuje, že kritéria pluralismu, integrity stran, transparentnosti financování stran a médií a nezávislosti soudnictví a médií jsou předpoklady pro finanční podporu a pokrok; vybízí EU a členské státy, aby využívaly participativní nástroje a zapojily občany, parlamenty, občanskou společnost a mladé lidi do výměny názorů, prohlubování vzájemného porozumění a vštěpování pocitu odpovědnosti před formálním přistoupením;</w:t>
      </w:r>
    </w:p>
    <w:p w14:paraId="4E301329" w14:textId="7C8C5347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6</w:t>
      </w:r>
      <w:r w:rsidR="006065E6">
        <w:rPr>
          <w:szCs w:val="24"/>
        </w:rPr>
        <w:t>0</w:t>
      </w:r>
      <w:r w:rsidRPr="00DA2A3E">
        <w:rPr>
          <w:szCs w:val="24"/>
        </w:rPr>
        <w:t>.</w:t>
      </w:r>
      <w:r w:rsidRPr="00DA2A3E">
        <w:rPr>
          <w:szCs w:val="24"/>
        </w:rPr>
        <w:tab/>
        <w:t>je znepokojen rozsáhlými a zlomyslnými dezinformačními kampaněmi, které Rusko a další aktéři nepřetržitě vedou již mnoho let a které zesílily po zahájení ruské válečné agrese proti Ukrajině; konstatuje, že kandidátské země a potenciální kandidátské země a země sousedící s EU jsou jasným terčem ruských operací zahraniční manipulace s informacemi a vměšování, přičemž jedním z cílů je zdiskreditovat EU a snížit vnímanou hodnotu integrace do EU;</w:t>
      </w:r>
    </w:p>
    <w:p w14:paraId="255BE429" w14:textId="2E63C00F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6</w:t>
      </w:r>
      <w:r w:rsidR="006065E6">
        <w:rPr>
          <w:szCs w:val="24"/>
        </w:rPr>
        <w:t>1</w:t>
      </w:r>
      <w:r w:rsidRPr="00DA2A3E">
        <w:rPr>
          <w:szCs w:val="24"/>
        </w:rPr>
        <w:t>.</w:t>
      </w:r>
      <w:r w:rsidRPr="00DA2A3E">
        <w:rPr>
          <w:szCs w:val="24"/>
        </w:rPr>
        <w:tab/>
        <w:t>vybízí k intenzivnějšímu dialogu EU s občanskou společností a k větší podpoře nezávislých investigativních médií, orgánů zabývajících se ověřováním faktů a organizací občanské společnosti, které působí v oblasti mediální gramotnosti, s cílem účinně bojovat proti dezinformacím a zahraniční manipulaci s informacemi a vměšování; zdůrazňuje, že je nutné všechny země procesu rozšíření, které čelí silnému vnějšímu vměšování do procesu sbližování s EU a do svých volebních procesech, soustavně podporovat a úzce s nimi spolupracovat; vyzývá k uplatňování zkušeností získaných z partnerské mise EU v Moldavsku; zdůrazňuje, že je důležité posoudit a zlepšit účinnost nástrojů EU určených na pomoc kandidátským zemím v boji proti zahraniční manipulaci s informacemi a vměšování; vítá záměr Komise rozšířit navrhovaný Evropský štít pro demokracii na přistupující země, a posílit tak jejich schopnost reagovat na hrozby, jako jsou zahraniční manipulace s informacemi a vměšování a dezinformační kampaně; vyzývá Komisi a ESVČ, aby prohloubily spolupráci se zranitelnými zeměmi procesu rozšíření v oblasti informační odolnosti, kybernetické bezpečnosti a hybridních hrozeb; vyzývá ESVČ a delegace EU ve třetích zemích, aby dále posílily své příslušné kapacity pro boj proti dezinformacím a propagandě namířeným proti SZBP EU, mimo jiné investováním do komunikačních kampaní zaměřených na boj proti zahraničnímu vlivu;</w:t>
      </w:r>
    </w:p>
    <w:p w14:paraId="514CD1AF" w14:textId="43CBBD44" w:rsidR="00D70735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6</w:t>
      </w:r>
      <w:r w:rsidR="006065E6">
        <w:rPr>
          <w:szCs w:val="24"/>
        </w:rPr>
        <w:t>2</w:t>
      </w:r>
      <w:r w:rsidRPr="00DA2A3E">
        <w:rPr>
          <w:szCs w:val="24"/>
        </w:rPr>
        <w:t>.</w:t>
      </w:r>
      <w:r w:rsidRPr="00DA2A3E">
        <w:rPr>
          <w:szCs w:val="24"/>
        </w:rPr>
        <w:tab/>
        <w:t xml:space="preserve">se znepokojením konstatuje, že Rusko se stále častěji prezentuje jako globální obránce „tradičních hodnot“ tím, že využívá ruskou pravoslavnou církev jako prostředek pro šíření dezinformací a projekci měkké síly, zejména v zemích bývalého Sovětského svazu; zdůrazňuje, že takové praktiky mají za cíl podkopat demokracii, sociální soudržnost a proevropskou orientaci; požaduje, aby SZBP a politika rozšíření zahrnovala konkrétní opatření proti tomuto vlivu, včetně diplomacie založené na víře, strategické komunikace a podpory náboženských komunit, které se staly oběťmi </w:t>
      </w:r>
      <w:r w:rsidRPr="00DA2A3E">
        <w:rPr>
          <w:szCs w:val="24"/>
        </w:rPr>
        <w:lastRenderedPageBreak/>
        <w:t>sovětského útlaku;</w:t>
      </w:r>
    </w:p>
    <w:p w14:paraId="2FDF0D92" w14:textId="77777777" w:rsidR="00DA2A3E" w:rsidRDefault="00DA2A3E" w:rsidP="00DA2A3E">
      <w:pPr>
        <w:pStyle w:val="Normal12Hanging"/>
        <w:widowControl/>
        <w:jc w:val="center"/>
        <w:rPr>
          <w:szCs w:val="24"/>
          <w:lang w:val="cs-CZ"/>
        </w:rPr>
      </w:pPr>
      <w:r>
        <w:rPr>
          <w:szCs w:val="24"/>
          <w:lang w:val="cs-CZ"/>
        </w:rPr>
        <w:t>°</w:t>
      </w:r>
    </w:p>
    <w:p w14:paraId="05F61B23" w14:textId="77777777" w:rsidR="00DA2A3E" w:rsidRDefault="00DA2A3E" w:rsidP="00DA2A3E">
      <w:pPr>
        <w:pStyle w:val="Normal12Hanging"/>
        <w:widowControl/>
        <w:jc w:val="center"/>
        <w:rPr>
          <w:szCs w:val="24"/>
          <w:lang w:val="cs-CZ"/>
        </w:rPr>
      </w:pPr>
      <w:r>
        <w:rPr>
          <w:szCs w:val="24"/>
          <w:lang w:val="cs-CZ"/>
        </w:rPr>
        <w:t>°     °</w:t>
      </w:r>
    </w:p>
    <w:p w14:paraId="1C967984" w14:textId="7A28ADEB" w:rsidR="00E365E1" w:rsidRPr="00DA2A3E" w:rsidRDefault="00D70735" w:rsidP="00DA2A3E">
      <w:pPr>
        <w:pStyle w:val="NormalHanging12a"/>
        <w:rPr>
          <w:szCs w:val="24"/>
        </w:rPr>
      </w:pPr>
      <w:r w:rsidRPr="00DA2A3E">
        <w:rPr>
          <w:szCs w:val="24"/>
        </w:rPr>
        <w:t>6</w:t>
      </w:r>
      <w:r w:rsidR="006065E6">
        <w:rPr>
          <w:szCs w:val="24"/>
        </w:rPr>
        <w:t>3</w:t>
      </w:r>
      <w:r w:rsidRPr="00DA2A3E">
        <w:rPr>
          <w:szCs w:val="24"/>
        </w:rPr>
        <w:t>.</w:t>
      </w:r>
      <w:r w:rsidRPr="00DA2A3E">
        <w:rPr>
          <w:szCs w:val="24"/>
        </w:rPr>
        <w:tab/>
        <w:t>pověřuje svou předsedkyni, aby předala toto usnesení Radě, Komisi, místopředsedkyni Komise, vysoké představitelce Unie pro zahraniční věci a bezpečnostní politiku, vládám a parlamentům členských států a vládám a parlamentům zemí procesu rozšíření.</w:t>
      </w:r>
    </w:p>
    <w:sectPr w:rsidR="00E365E1" w:rsidRPr="00DA2A3E" w:rsidSect="00BB15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34A9D" w14:textId="77777777" w:rsidR="00B54C2C" w:rsidRPr="00BB155C" w:rsidRDefault="00B54C2C">
      <w:r w:rsidRPr="00BB155C">
        <w:separator/>
      </w:r>
    </w:p>
  </w:endnote>
  <w:endnote w:type="continuationSeparator" w:id="0">
    <w:p w14:paraId="641A90E3" w14:textId="77777777" w:rsidR="00B54C2C" w:rsidRPr="00BB155C" w:rsidRDefault="00B54C2C">
      <w:r w:rsidRPr="00BB15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4488D" w14:textId="77777777" w:rsidR="00064002" w:rsidRPr="00BB15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310D0" w14:textId="77777777" w:rsidR="00064002" w:rsidRPr="00BB15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D1EAC" w14:textId="77777777" w:rsidR="00064002" w:rsidRPr="00BB15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E9088" w14:textId="77777777" w:rsidR="00B54C2C" w:rsidRPr="00BB155C" w:rsidRDefault="00B54C2C">
      <w:r w:rsidRPr="00BB155C">
        <w:separator/>
      </w:r>
    </w:p>
  </w:footnote>
  <w:footnote w:type="continuationSeparator" w:id="0">
    <w:p w14:paraId="58388255" w14:textId="77777777" w:rsidR="00B54C2C" w:rsidRPr="00BB155C" w:rsidRDefault="00B54C2C">
      <w:r w:rsidRPr="00BB155C">
        <w:continuationSeparator/>
      </w:r>
    </w:p>
  </w:footnote>
  <w:footnote w:id="1">
    <w:p w14:paraId="196A05E8" w14:textId="64A5BA1F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 xml:space="preserve">. 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 xml:space="preserve">. C, C/2024/4173, 2.8.2024, ELI: </w:t>
      </w:r>
      <w:hyperlink r:id="rId1" w:history="1">
        <w:r w:rsidRPr="00BB155C">
          <w:rPr>
            <w:rStyle w:val="Hyperlink"/>
            <w:sz w:val="24"/>
            <w:lang w:val="cs-CZ"/>
          </w:rPr>
          <w:t>http://data.europa.eu/eli/C/2024/4173/oj</w:t>
        </w:r>
      </w:hyperlink>
      <w:r w:rsidRPr="00BB155C">
        <w:rPr>
          <w:sz w:val="24"/>
          <w:lang w:val="cs-CZ"/>
        </w:rPr>
        <w:t xml:space="preserve">. </w:t>
      </w:r>
    </w:p>
  </w:footnote>
  <w:footnote w:id="2">
    <w:p w14:paraId="13715B7E" w14:textId="32B66197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 xml:space="preserve">. 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 xml:space="preserve">. L 107, 28.4.2009, s. 166, ELI: </w:t>
      </w:r>
      <w:hyperlink r:id="rId2" w:history="1">
        <w:r w:rsidRPr="00BB155C">
          <w:rPr>
            <w:rStyle w:val="Hyperlink"/>
            <w:sz w:val="24"/>
            <w:lang w:val="cs-CZ"/>
          </w:rPr>
          <w:t>http://data.europa.eu/eli/agree_internation/2009/332/oj</w:t>
        </w:r>
      </w:hyperlink>
      <w:r w:rsidRPr="00BB155C">
        <w:rPr>
          <w:sz w:val="24"/>
          <w:lang w:val="cs-CZ"/>
        </w:rPr>
        <w:t xml:space="preserve">. </w:t>
      </w:r>
    </w:p>
  </w:footnote>
  <w:footnote w:id="3">
    <w:p w14:paraId="7ECFABD0" w14:textId="0CF98740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 xml:space="preserve">. 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 xml:space="preserve">. L 164, 30.6.2015, s. 2, ELI: </w:t>
      </w:r>
      <w:hyperlink r:id="rId3" w:history="1">
        <w:r w:rsidRPr="00BB155C">
          <w:rPr>
            <w:rStyle w:val="Hyperlink"/>
            <w:sz w:val="24"/>
            <w:lang w:val="cs-CZ"/>
          </w:rPr>
          <w:t>http://data.europa.eu/eli/agree_internation/2015/997/oj</w:t>
        </w:r>
      </w:hyperlink>
      <w:r w:rsidRPr="00BB155C">
        <w:rPr>
          <w:sz w:val="24"/>
          <w:lang w:val="cs-CZ"/>
        </w:rPr>
        <w:t xml:space="preserve">. </w:t>
      </w:r>
    </w:p>
  </w:footnote>
  <w:footnote w:id="4">
    <w:p w14:paraId="7FFF4FDB" w14:textId="6388AA18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 xml:space="preserve">. 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 xml:space="preserve">. L 261, 30.8.2014, s. 4, ELI: </w:t>
      </w:r>
      <w:hyperlink r:id="rId4" w:history="1">
        <w:r w:rsidRPr="00BB155C">
          <w:rPr>
            <w:rStyle w:val="Hyperlink"/>
            <w:sz w:val="24"/>
            <w:lang w:val="cs-CZ"/>
          </w:rPr>
          <w:t>http://data.europa.eu/eli/agree_internation/2014/494/oj</w:t>
        </w:r>
      </w:hyperlink>
      <w:r w:rsidRPr="00BB155C">
        <w:rPr>
          <w:sz w:val="24"/>
          <w:lang w:val="cs-CZ"/>
        </w:rPr>
        <w:t xml:space="preserve">. </w:t>
      </w:r>
    </w:p>
  </w:footnote>
  <w:footnote w:id="5">
    <w:p w14:paraId="00A78A29" w14:textId="441BF502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>. 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 xml:space="preserve">. L 71, 16.3.2016, s. 3, ELI: </w:t>
      </w:r>
      <w:hyperlink r:id="rId5" w:history="1">
        <w:r w:rsidRPr="00BB155C">
          <w:rPr>
            <w:rStyle w:val="Hyperlink"/>
            <w:sz w:val="24"/>
            <w:lang w:val="cs-CZ"/>
          </w:rPr>
          <w:t>http://data.europa.eu/eli/agree_internation/2016/342/oj</w:t>
        </w:r>
      </w:hyperlink>
      <w:r w:rsidRPr="00BB155C">
        <w:rPr>
          <w:sz w:val="24"/>
          <w:lang w:val="cs-CZ"/>
        </w:rPr>
        <w:t xml:space="preserve">. </w:t>
      </w:r>
    </w:p>
  </w:footnote>
  <w:footnote w:id="6">
    <w:p w14:paraId="366BF547" w14:textId="4A84614E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 xml:space="preserve">. 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 xml:space="preserve">. L 260, 30.8.2014, s. 4, ELI: </w:t>
      </w:r>
      <w:hyperlink r:id="rId6" w:history="1">
        <w:r w:rsidRPr="00BB155C">
          <w:rPr>
            <w:rStyle w:val="Hyperlink"/>
            <w:sz w:val="24"/>
            <w:lang w:val="cs-CZ"/>
          </w:rPr>
          <w:t>http://data.europa.eu/eli/agree_internation/2014/492/oj</w:t>
        </w:r>
      </w:hyperlink>
      <w:r w:rsidRPr="00BB155C">
        <w:rPr>
          <w:sz w:val="24"/>
          <w:lang w:val="cs-CZ"/>
        </w:rPr>
        <w:t xml:space="preserve">. </w:t>
      </w:r>
    </w:p>
  </w:footnote>
  <w:footnote w:id="7">
    <w:p w14:paraId="66AD68FA" w14:textId="358809B1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>. 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 xml:space="preserve">. L 108, 29.4.2010, s. 3, ELI: </w:t>
      </w:r>
      <w:hyperlink r:id="rId7" w:history="1">
        <w:r w:rsidRPr="00BB155C">
          <w:rPr>
            <w:rStyle w:val="Hyperlink"/>
            <w:sz w:val="24"/>
            <w:lang w:val="cs-CZ"/>
          </w:rPr>
          <w:t>http://data.europa.eu/eli/agree_internation/2010/224/oj</w:t>
        </w:r>
      </w:hyperlink>
      <w:r w:rsidRPr="00BB155C">
        <w:rPr>
          <w:sz w:val="24"/>
          <w:lang w:val="cs-CZ"/>
        </w:rPr>
        <w:t xml:space="preserve">. </w:t>
      </w:r>
    </w:p>
  </w:footnote>
  <w:footnote w:id="8">
    <w:p w14:paraId="25A12F5D" w14:textId="2F8C3EEE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 xml:space="preserve">. 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 xml:space="preserve">. L 84, </w:t>
      </w:r>
      <w:r w:rsidR="009D4109">
        <w:rPr>
          <w:sz w:val="24"/>
          <w:lang w:val="fi-FI"/>
        </w:rPr>
        <w:t>20.3.2004</w:t>
      </w:r>
      <w:r w:rsidR="009D4109">
        <w:rPr>
          <w:sz w:val="24"/>
          <w:lang w:val="fi-FI"/>
        </w:rPr>
        <w:t xml:space="preserve">, </w:t>
      </w:r>
      <w:r w:rsidRPr="00BB155C">
        <w:rPr>
          <w:sz w:val="24"/>
          <w:lang w:val="cs-CZ"/>
        </w:rPr>
        <w:t xml:space="preserve">s. 13, ELI: </w:t>
      </w:r>
      <w:hyperlink r:id="rId8" w:history="1">
        <w:r w:rsidRPr="00BB155C">
          <w:rPr>
            <w:rStyle w:val="Hyperlink"/>
            <w:sz w:val="24"/>
            <w:lang w:val="cs-CZ"/>
          </w:rPr>
          <w:t>http://data.europa.eu/eli/agree_internation/2004/239(2)/oj</w:t>
        </w:r>
      </w:hyperlink>
      <w:r w:rsidRPr="00BB155C">
        <w:rPr>
          <w:sz w:val="24"/>
          <w:lang w:val="cs-CZ"/>
        </w:rPr>
        <w:t xml:space="preserve">. </w:t>
      </w:r>
    </w:p>
  </w:footnote>
  <w:footnote w:id="9">
    <w:p w14:paraId="33A2D5E2" w14:textId="70676B33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 xml:space="preserve">. 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 xml:space="preserve">. L 278, 18.10.2013, s. 16, ELI: </w:t>
      </w:r>
      <w:hyperlink r:id="rId9" w:history="1">
        <w:r w:rsidRPr="00BB155C">
          <w:rPr>
            <w:rStyle w:val="Hyperlink"/>
            <w:sz w:val="24"/>
            <w:lang w:val="cs-CZ"/>
          </w:rPr>
          <w:t>http://data.europa.eu/eli/agree_internation/2013/490/oj</w:t>
        </w:r>
      </w:hyperlink>
      <w:r w:rsidRPr="00BB155C">
        <w:rPr>
          <w:sz w:val="24"/>
          <w:lang w:val="cs-CZ"/>
        </w:rPr>
        <w:t xml:space="preserve">. </w:t>
      </w:r>
    </w:p>
  </w:footnote>
  <w:footnote w:id="10">
    <w:p w14:paraId="08F40371" w14:textId="71AB54AE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 xml:space="preserve">. 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 xml:space="preserve">. L 361, 31.12.1977, s. 29, ELI: </w:t>
      </w:r>
      <w:hyperlink r:id="rId10" w:history="1">
        <w:r w:rsidRPr="00BB155C">
          <w:rPr>
            <w:rStyle w:val="Hyperlink"/>
            <w:sz w:val="24"/>
            <w:lang w:val="cs-CZ"/>
          </w:rPr>
          <w:t>http://data.europa.eu/eli/agree_internation/1964/732/oj</w:t>
        </w:r>
      </w:hyperlink>
      <w:r w:rsidRPr="00BB155C">
        <w:rPr>
          <w:sz w:val="24"/>
          <w:lang w:val="cs-CZ"/>
        </w:rPr>
        <w:t xml:space="preserve">. </w:t>
      </w:r>
    </w:p>
  </w:footnote>
  <w:footnote w:id="11">
    <w:p w14:paraId="1434AC58" w14:textId="2DE02CE0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 xml:space="preserve">. 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 xml:space="preserve">. L 161, 29.5.2014, s. 3, ELI: </w:t>
      </w:r>
      <w:hyperlink r:id="rId11" w:history="1">
        <w:r w:rsidRPr="00BB155C">
          <w:rPr>
            <w:rStyle w:val="Hyperlink"/>
            <w:sz w:val="24"/>
            <w:lang w:val="cs-CZ"/>
          </w:rPr>
          <w:t>http://data.europa.eu/eli/agree_internation/2014/295/oj</w:t>
        </w:r>
      </w:hyperlink>
      <w:r w:rsidRPr="00BB155C">
        <w:rPr>
          <w:sz w:val="24"/>
          <w:lang w:val="cs-CZ"/>
        </w:rPr>
        <w:t xml:space="preserve">. </w:t>
      </w:r>
    </w:p>
  </w:footnote>
  <w:footnote w:id="12">
    <w:p w14:paraId="43C4587A" w14:textId="345BC84E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r w:rsidRPr="00BB155C">
        <w:rPr>
          <w:sz w:val="24"/>
          <w:lang w:val="cs-CZ"/>
        </w:rPr>
        <w:t xml:space="preserve">Přijaté texty, P10_TA(2025)0094. </w:t>
      </w:r>
    </w:p>
  </w:footnote>
  <w:footnote w:id="13">
    <w:p w14:paraId="5E83161D" w14:textId="2DAAA019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r w:rsidRPr="00BB155C">
        <w:rPr>
          <w:sz w:val="24"/>
          <w:lang w:val="cs-CZ"/>
        </w:rPr>
        <w:t>Přijaté texty, P10_TA(2025)0093.</w:t>
      </w:r>
    </w:p>
  </w:footnote>
  <w:footnote w:id="14">
    <w:p w14:paraId="65F42F8C" w14:textId="1A15A4F4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r w:rsidRPr="00BB155C">
        <w:rPr>
          <w:sz w:val="24"/>
          <w:lang w:val="cs-CZ"/>
        </w:rPr>
        <w:t>Přijaté texty, P10_TA(2025)0155.</w:t>
      </w:r>
    </w:p>
  </w:footnote>
  <w:footnote w:id="15">
    <w:p w14:paraId="63D105F8" w14:textId="1CD32C11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r w:rsidRPr="00BB155C">
        <w:rPr>
          <w:sz w:val="24"/>
          <w:lang w:val="cs-CZ"/>
        </w:rPr>
        <w:t>Přijaté texty, P10_TA(2025)0156.</w:t>
      </w:r>
    </w:p>
  </w:footnote>
  <w:footnote w:id="16">
    <w:p w14:paraId="64DEDB73" w14:textId="0FAF6EB7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r w:rsidRPr="00BB155C">
        <w:rPr>
          <w:sz w:val="24"/>
          <w:lang w:val="cs-CZ"/>
        </w:rPr>
        <w:t>Přijaté texty, P10_TA(2025)0157.</w:t>
      </w:r>
    </w:p>
  </w:footnote>
  <w:footnote w:id="17">
    <w:p w14:paraId="5495BB3E" w14:textId="54F8E22D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r w:rsidRPr="00BB155C">
        <w:rPr>
          <w:sz w:val="24"/>
          <w:lang w:val="cs-CZ"/>
        </w:rPr>
        <w:t>Přijaté texty, P10_TA(2025)0130.</w:t>
      </w:r>
    </w:p>
  </w:footnote>
  <w:footnote w:id="18">
    <w:p w14:paraId="0F3D2C04" w14:textId="6CA13D25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r w:rsidRPr="00BB155C">
        <w:rPr>
          <w:sz w:val="24"/>
          <w:lang w:val="cs-CZ"/>
        </w:rPr>
        <w:t>Přijaté texty, P10_TA(2025)0175.</w:t>
      </w:r>
    </w:p>
  </w:footnote>
  <w:footnote w:id="19">
    <w:p w14:paraId="38CE5DE9" w14:textId="05321D37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r w:rsidRPr="00BB155C">
        <w:rPr>
          <w:sz w:val="24"/>
          <w:lang w:val="cs-CZ"/>
        </w:rPr>
        <w:t>Přijaté texty, P10_TA(2025)0131.</w:t>
      </w:r>
    </w:p>
  </w:footnote>
  <w:footnote w:id="20">
    <w:p w14:paraId="5FF57FEB" w14:textId="4427D8D6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r w:rsidRPr="00BB155C">
        <w:rPr>
          <w:sz w:val="24"/>
          <w:lang w:val="cs-CZ"/>
        </w:rPr>
        <w:t>Přijaté texty, P10_TA(2025)0158.</w:t>
      </w:r>
    </w:p>
  </w:footnote>
  <w:footnote w:id="21">
    <w:p w14:paraId="68395720" w14:textId="3BE6137D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r w:rsidRPr="00BB155C">
        <w:rPr>
          <w:sz w:val="24"/>
          <w:lang w:val="cs-CZ"/>
        </w:rPr>
        <w:t>Přijaté texty, P10_TA(2025)0092.</w:t>
      </w:r>
    </w:p>
  </w:footnote>
  <w:footnote w:id="22">
    <w:p w14:paraId="7AD05105" w14:textId="61A9DF28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 xml:space="preserve">. 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 xml:space="preserve">. C, C/2024/6555, </w:t>
      </w:r>
      <w:r w:rsidR="009D4109">
        <w:rPr>
          <w:sz w:val="24"/>
          <w:lang w:val="cs-CZ"/>
        </w:rPr>
        <w:t>12</w:t>
      </w:r>
      <w:r w:rsidRPr="00BB155C">
        <w:rPr>
          <w:sz w:val="24"/>
          <w:lang w:val="cs-CZ"/>
        </w:rPr>
        <w:t xml:space="preserve">.11.2024, ELI: </w:t>
      </w:r>
      <w:hyperlink r:id="rId12" w:history="1">
        <w:r w:rsidRPr="00BB155C">
          <w:rPr>
            <w:rStyle w:val="Hyperlink"/>
            <w:sz w:val="24"/>
            <w:lang w:val="cs-CZ"/>
          </w:rPr>
          <w:t>http://data.europa.eu/eli/C/2024/6555/oj</w:t>
        </w:r>
      </w:hyperlink>
      <w:r w:rsidRPr="00BB155C">
        <w:rPr>
          <w:sz w:val="24"/>
          <w:lang w:val="cs-CZ"/>
        </w:rPr>
        <w:t>.</w:t>
      </w:r>
    </w:p>
  </w:footnote>
  <w:footnote w:id="23">
    <w:p w14:paraId="24C12A53" w14:textId="13606336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 xml:space="preserve">. 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 xml:space="preserve">. C, C/2024/6746, 26.11.2024, ELI: </w:t>
      </w:r>
      <w:hyperlink r:id="rId13" w:history="1">
        <w:r w:rsidRPr="00BB155C">
          <w:rPr>
            <w:rStyle w:val="Hyperlink"/>
            <w:sz w:val="24"/>
            <w:lang w:val="cs-CZ"/>
          </w:rPr>
          <w:t>http://data.europa.eu/eli/C/2024/6746/oj</w:t>
        </w:r>
      </w:hyperlink>
      <w:r w:rsidRPr="00BB155C">
        <w:rPr>
          <w:sz w:val="24"/>
          <w:lang w:val="cs-CZ"/>
        </w:rPr>
        <w:t xml:space="preserve">. </w:t>
      </w:r>
    </w:p>
  </w:footnote>
  <w:footnote w:id="24">
    <w:p w14:paraId="21816F39" w14:textId="4889F617" w:rsidR="00D70735" w:rsidRPr="004B2AC0" w:rsidRDefault="00D70735" w:rsidP="00BB155C">
      <w:pPr>
        <w:pStyle w:val="FootnoteText"/>
        <w:ind w:left="567" w:hanging="567"/>
        <w:rPr>
          <w:i/>
          <w:iCs/>
          <w:sz w:val="24"/>
          <w:lang w:val="cs-CZ"/>
        </w:rPr>
      </w:pPr>
      <w:r w:rsidRPr="004B2AC0">
        <w:rPr>
          <w:rStyle w:val="FootnoteReference"/>
          <w:rFonts w:eastAsiaTheme="majorEastAsia"/>
          <w:i/>
          <w:iCs/>
          <w:sz w:val="24"/>
          <w:lang w:val="cs-CZ"/>
        </w:rPr>
        <w:footnoteRef/>
      </w:r>
      <w:r w:rsidR="00BB155C" w:rsidRPr="004B2AC0">
        <w:rPr>
          <w:rStyle w:val="Emphasis"/>
          <w:rFonts w:ascii="Times New Roman" w:hAnsi="Times New Roman"/>
          <w:b w:val="0"/>
          <w:i w:val="0"/>
          <w:sz w:val="24"/>
          <w:lang w:val="cs-CZ"/>
        </w:rPr>
        <w:t xml:space="preserve"> </w:t>
      </w:r>
      <w:r w:rsidR="00BB155C" w:rsidRPr="004B2AC0">
        <w:rPr>
          <w:rStyle w:val="Emphasis"/>
          <w:rFonts w:ascii="Times New Roman" w:hAnsi="Times New Roman"/>
          <w:b w:val="0"/>
          <w:i w:val="0"/>
          <w:sz w:val="24"/>
          <w:lang w:val="cs-CZ"/>
        </w:rPr>
        <w:tab/>
      </w:r>
      <w:proofErr w:type="spellStart"/>
      <w:r w:rsidRPr="004B2AC0">
        <w:rPr>
          <w:rStyle w:val="Emphasis"/>
          <w:rFonts w:ascii="Times New Roman" w:hAnsi="Times New Roman"/>
          <w:b w:val="0"/>
          <w:i w:val="0"/>
          <w:sz w:val="24"/>
          <w:lang w:val="cs-CZ"/>
        </w:rPr>
        <w:t>Úř</w:t>
      </w:r>
      <w:proofErr w:type="spellEnd"/>
      <w:r w:rsidRPr="004B2AC0">
        <w:rPr>
          <w:rStyle w:val="Emphasis"/>
          <w:rFonts w:ascii="Times New Roman" w:hAnsi="Times New Roman"/>
          <w:b w:val="0"/>
          <w:i w:val="0"/>
          <w:sz w:val="24"/>
          <w:lang w:val="cs-CZ"/>
        </w:rPr>
        <w:t>. </w:t>
      </w:r>
      <w:proofErr w:type="spellStart"/>
      <w:r w:rsidRPr="004B2AC0">
        <w:rPr>
          <w:rStyle w:val="Emphasis"/>
          <w:rFonts w:ascii="Times New Roman" w:hAnsi="Times New Roman"/>
          <w:b w:val="0"/>
          <w:i w:val="0"/>
          <w:sz w:val="24"/>
          <w:lang w:val="cs-CZ"/>
        </w:rPr>
        <w:t>věst</w:t>
      </w:r>
      <w:proofErr w:type="spellEnd"/>
      <w:r w:rsidRPr="004B2AC0">
        <w:rPr>
          <w:rStyle w:val="Emphasis"/>
          <w:rFonts w:ascii="Times New Roman" w:hAnsi="Times New Roman"/>
          <w:b w:val="0"/>
          <w:i w:val="0"/>
          <w:sz w:val="24"/>
          <w:lang w:val="cs-CZ"/>
        </w:rPr>
        <w:t>. C 167, 11.5.2023, s. 105.</w:t>
      </w:r>
    </w:p>
  </w:footnote>
  <w:footnote w:id="25">
    <w:p w14:paraId="7D94929A" w14:textId="3745EEA9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 xml:space="preserve">. 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 xml:space="preserve">. L 330, 20.9.2021, s. 1, ELI: </w:t>
      </w:r>
      <w:hyperlink r:id="rId14" w:history="1">
        <w:r w:rsidRPr="00BB155C">
          <w:rPr>
            <w:rStyle w:val="Hyperlink"/>
            <w:sz w:val="24"/>
            <w:lang w:val="cs-CZ"/>
          </w:rPr>
          <w:t>http://data.europa.eu/eli/reg/2021/1529/oj</w:t>
        </w:r>
      </w:hyperlink>
      <w:r w:rsidRPr="00BB155C">
        <w:rPr>
          <w:sz w:val="24"/>
          <w:lang w:val="cs-CZ"/>
        </w:rPr>
        <w:t xml:space="preserve">. </w:t>
      </w:r>
    </w:p>
  </w:footnote>
  <w:footnote w:id="26">
    <w:p w14:paraId="47C9274A" w14:textId="4CE2F6F2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 xml:space="preserve">. 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>. L</w:t>
      </w:r>
      <w:r w:rsidR="009D4109">
        <w:rPr>
          <w:sz w:val="24"/>
          <w:lang w:val="cs-CZ"/>
        </w:rPr>
        <w:t>,</w:t>
      </w:r>
      <w:r w:rsidRPr="00BB155C">
        <w:rPr>
          <w:sz w:val="24"/>
          <w:lang w:val="cs-CZ"/>
        </w:rPr>
        <w:t xml:space="preserve"> 2024/1449, 24.5.2024, ELI: </w:t>
      </w:r>
      <w:hyperlink r:id="rId15" w:history="1">
        <w:r w:rsidRPr="00BB155C">
          <w:rPr>
            <w:rStyle w:val="Hyperlink"/>
            <w:sz w:val="24"/>
            <w:lang w:val="cs-CZ"/>
          </w:rPr>
          <w:t>http://data.europa.eu/eli/reg/2024/1449/oj</w:t>
        </w:r>
      </w:hyperlink>
      <w:r w:rsidRPr="00BB155C">
        <w:rPr>
          <w:sz w:val="24"/>
          <w:lang w:val="cs-CZ"/>
        </w:rPr>
        <w:t xml:space="preserve">. </w:t>
      </w:r>
    </w:p>
  </w:footnote>
  <w:footnote w:id="27">
    <w:p w14:paraId="0AF519C7" w14:textId="4DFBF440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 xml:space="preserve">. 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 xml:space="preserve">. L, 2024/792, 29.2.2024, ELI: </w:t>
      </w:r>
      <w:hyperlink r:id="rId16" w:history="1">
        <w:r w:rsidRPr="00BB155C">
          <w:rPr>
            <w:rStyle w:val="Hyperlink"/>
            <w:sz w:val="24"/>
            <w:lang w:val="cs-CZ"/>
          </w:rPr>
          <w:t>http://data.europa.eu/eli/reg/2024/792/oj</w:t>
        </w:r>
      </w:hyperlink>
      <w:r w:rsidRPr="00BB155C">
        <w:rPr>
          <w:sz w:val="24"/>
          <w:lang w:val="cs-CZ"/>
        </w:rPr>
        <w:t xml:space="preserve">. </w:t>
      </w:r>
    </w:p>
  </w:footnote>
  <w:footnote w:id="28">
    <w:p w14:paraId="77EA9D3D" w14:textId="1291D268" w:rsidR="00D70735" w:rsidRPr="00BB155C" w:rsidRDefault="00D70735" w:rsidP="00BB155C">
      <w:pPr>
        <w:pStyle w:val="FootnoteText"/>
        <w:ind w:left="567" w:hanging="567"/>
        <w:rPr>
          <w:iCs/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 xml:space="preserve">. 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>. L, 2025/535, 21.3.2025, ELI:</w:t>
      </w:r>
      <w:r w:rsidRPr="00BB155C">
        <w:rPr>
          <w:i/>
          <w:sz w:val="24"/>
          <w:lang w:val="cs-CZ"/>
        </w:rPr>
        <w:t> </w:t>
      </w:r>
      <w:hyperlink r:id="rId17" w:tgtFrame="_blank" w:tooltip="Umožňuje přístup k tomuto dokumentu prostřednictvím identifikátoru ELI URI." w:history="1">
        <w:r w:rsidRPr="00BB155C">
          <w:rPr>
            <w:rStyle w:val="Hyperlink"/>
            <w:sz w:val="24"/>
            <w:lang w:val="cs-CZ"/>
          </w:rPr>
          <w:t>http://data.europa.eu/</w:t>
        </w:r>
        <w:proofErr w:type="spellStart"/>
        <w:r w:rsidRPr="00BB155C">
          <w:rPr>
            <w:rStyle w:val="Hyperlink"/>
            <w:sz w:val="24"/>
            <w:lang w:val="cs-CZ"/>
          </w:rPr>
          <w:t>eli</w:t>
        </w:r>
        <w:proofErr w:type="spellEnd"/>
        <w:r w:rsidRPr="00BB155C">
          <w:rPr>
            <w:rStyle w:val="Hyperlink"/>
            <w:sz w:val="24"/>
            <w:lang w:val="cs-CZ"/>
          </w:rPr>
          <w:t>/</w:t>
        </w:r>
        <w:proofErr w:type="spellStart"/>
        <w:r w:rsidRPr="00BB155C">
          <w:rPr>
            <w:rStyle w:val="Hyperlink"/>
            <w:sz w:val="24"/>
            <w:lang w:val="cs-CZ"/>
          </w:rPr>
          <w:t>reg</w:t>
        </w:r>
        <w:proofErr w:type="spellEnd"/>
        <w:r w:rsidRPr="00BB155C">
          <w:rPr>
            <w:rStyle w:val="Hyperlink"/>
            <w:sz w:val="24"/>
            <w:lang w:val="cs-CZ"/>
          </w:rPr>
          <w:t>/2025/535/oj</w:t>
        </w:r>
      </w:hyperlink>
      <w:r w:rsidRPr="00BB155C">
        <w:rPr>
          <w:sz w:val="24"/>
          <w:lang w:val="cs-CZ"/>
        </w:rPr>
        <w:t>.</w:t>
      </w:r>
    </w:p>
  </w:footnote>
  <w:footnote w:id="29">
    <w:p w14:paraId="7E9F24F8" w14:textId="14B7BA40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 xml:space="preserve">. 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>. C 362, 8.9.2021, s. 114.</w:t>
      </w:r>
    </w:p>
  </w:footnote>
  <w:footnote w:id="30">
    <w:p w14:paraId="3A5A2904" w14:textId="723201D3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r w:rsidRPr="00BB155C">
        <w:rPr>
          <w:sz w:val="24"/>
          <w:lang w:val="cs-CZ"/>
        </w:rPr>
        <w:t>Přijaté texty, P10_TA(2025)0248.</w:t>
      </w:r>
    </w:p>
  </w:footnote>
  <w:footnote w:id="31">
    <w:p w14:paraId="2FE46016" w14:textId="6853464B" w:rsidR="00D70735" w:rsidRPr="00BB155C" w:rsidRDefault="00D70735" w:rsidP="00BB155C">
      <w:pPr>
        <w:pStyle w:val="FootnoteText"/>
        <w:ind w:left="567" w:hanging="567"/>
        <w:rPr>
          <w:sz w:val="24"/>
          <w:lang w:val="cs-CZ"/>
        </w:rPr>
      </w:pPr>
      <w:r w:rsidRPr="00BB155C">
        <w:rPr>
          <w:rStyle w:val="FootnoteReference"/>
          <w:sz w:val="24"/>
          <w:lang w:val="cs-CZ"/>
        </w:rPr>
        <w:footnoteRef/>
      </w:r>
      <w:r w:rsidR="00BB155C" w:rsidRPr="00BB155C">
        <w:rPr>
          <w:sz w:val="24"/>
          <w:lang w:val="cs-CZ"/>
        </w:rPr>
        <w:t xml:space="preserve"> </w:t>
      </w:r>
      <w:r w:rsidR="00BB155C" w:rsidRPr="00BB155C">
        <w:rPr>
          <w:sz w:val="24"/>
          <w:lang w:val="cs-CZ"/>
        </w:rPr>
        <w:tab/>
      </w:r>
      <w:proofErr w:type="spellStart"/>
      <w:r w:rsidRPr="00BB155C">
        <w:rPr>
          <w:sz w:val="24"/>
          <w:lang w:val="cs-CZ"/>
        </w:rPr>
        <w:t>Úř</w:t>
      </w:r>
      <w:proofErr w:type="spellEnd"/>
      <w:r w:rsidRPr="00BB155C">
        <w:rPr>
          <w:sz w:val="24"/>
          <w:lang w:val="cs-CZ"/>
        </w:rPr>
        <w:t xml:space="preserve">. </w:t>
      </w:r>
      <w:proofErr w:type="spellStart"/>
      <w:r w:rsidRPr="00BB155C">
        <w:rPr>
          <w:sz w:val="24"/>
          <w:lang w:val="cs-CZ"/>
        </w:rPr>
        <w:t>věst</w:t>
      </w:r>
      <w:proofErr w:type="spellEnd"/>
      <w:r w:rsidRPr="00BB155C">
        <w:rPr>
          <w:sz w:val="24"/>
          <w:lang w:val="cs-CZ"/>
        </w:rPr>
        <w:t xml:space="preserve">. C, C/2025/2251, 29.4.2025, ELI: </w:t>
      </w:r>
      <w:hyperlink r:id="rId18" w:history="1">
        <w:r w:rsidRPr="00BB155C">
          <w:rPr>
            <w:rStyle w:val="Hyperlink"/>
            <w:sz w:val="24"/>
            <w:lang w:val="cs-CZ"/>
          </w:rPr>
          <w:t>http://data.europa.eu/eli/C/2025/2251/oj</w:t>
        </w:r>
      </w:hyperlink>
      <w:r w:rsidRPr="00BB155C">
        <w:rPr>
          <w:sz w:val="24"/>
          <w:lang w:val="cs-CZ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CFD0A" w14:textId="77777777" w:rsidR="00064002" w:rsidRPr="00BB15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CEF96" w14:textId="77777777" w:rsidR="00064002" w:rsidRPr="00BB15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8E372" w14:textId="77777777" w:rsidR="00064002" w:rsidRPr="00BB15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7938600">
    <w:abstractNumId w:val="9"/>
  </w:num>
  <w:num w:numId="2" w16cid:durableId="440341279">
    <w:abstractNumId w:val="9"/>
  </w:num>
  <w:num w:numId="3" w16cid:durableId="1703087412">
    <w:abstractNumId w:val="7"/>
  </w:num>
  <w:num w:numId="4" w16cid:durableId="580528250">
    <w:abstractNumId w:val="7"/>
  </w:num>
  <w:num w:numId="5" w16cid:durableId="924807365">
    <w:abstractNumId w:val="6"/>
  </w:num>
  <w:num w:numId="6" w16cid:durableId="404307785">
    <w:abstractNumId w:val="6"/>
  </w:num>
  <w:num w:numId="7" w16cid:durableId="791436102">
    <w:abstractNumId w:val="5"/>
  </w:num>
  <w:num w:numId="8" w16cid:durableId="635722742">
    <w:abstractNumId w:val="5"/>
  </w:num>
  <w:num w:numId="9" w16cid:durableId="1050568312">
    <w:abstractNumId w:val="4"/>
  </w:num>
  <w:num w:numId="10" w16cid:durableId="1723022858">
    <w:abstractNumId w:val="4"/>
  </w:num>
  <w:num w:numId="11" w16cid:durableId="2070616307">
    <w:abstractNumId w:val="8"/>
  </w:num>
  <w:num w:numId="12" w16cid:durableId="1633100161">
    <w:abstractNumId w:val="8"/>
  </w:num>
  <w:num w:numId="13" w16cid:durableId="373237605">
    <w:abstractNumId w:val="3"/>
  </w:num>
  <w:num w:numId="14" w16cid:durableId="1148326615">
    <w:abstractNumId w:val="3"/>
  </w:num>
  <w:num w:numId="15" w16cid:durableId="1771778296">
    <w:abstractNumId w:val="2"/>
  </w:num>
  <w:num w:numId="16" w16cid:durableId="1155141658">
    <w:abstractNumId w:val="2"/>
  </w:num>
  <w:num w:numId="17" w16cid:durableId="1169754215">
    <w:abstractNumId w:val="1"/>
  </w:num>
  <w:num w:numId="18" w16cid:durableId="822623924">
    <w:abstractNumId w:val="1"/>
  </w:num>
  <w:num w:numId="19" w16cid:durableId="1004742424">
    <w:abstractNumId w:val="0"/>
  </w:num>
  <w:num w:numId="20" w16cid:durableId="1390762903">
    <w:abstractNumId w:val="0"/>
  </w:num>
  <w:num w:numId="21" w16cid:durableId="1014770650">
    <w:abstractNumId w:val="9"/>
  </w:num>
  <w:num w:numId="22" w16cid:durableId="629285931">
    <w:abstractNumId w:val="7"/>
  </w:num>
  <w:num w:numId="23" w16cid:durableId="1600679352">
    <w:abstractNumId w:val="6"/>
  </w:num>
  <w:num w:numId="24" w16cid:durableId="1231769030">
    <w:abstractNumId w:val="5"/>
  </w:num>
  <w:num w:numId="25" w16cid:durableId="2033533566">
    <w:abstractNumId w:val="4"/>
  </w:num>
  <w:num w:numId="26" w16cid:durableId="33387731">
    <w:abstractNumId w:val="8"/>
  </w:num>
  <w:num w:numId="27" w16cid:durableId="36513659">
    <w:abstractNumId w:val="3"/>
  </w:num>
  <w:num w:numId="28" w16cid:durableId="95517410">
    <w:abstractNumId w:val="2"/>
  </w:num>
  <w:num w:numId="29" w16cid:durableId="1929996890">
    <w:abstractNumId w:val="1"/>
  </w:num>
  <w:num w:numId="30" w16cid:durableId="1693267539">
    <w:abstractNumId w:val="0"/>
  </w:num>
  <w:num w:numId="31" w16cid:durableId="1566179384">
    <w:abstractNumId w:val="9"/>
  </w:num>
  <w:num w:numId="32" w16cid:durableId="1366175016">
    <w:abstractNumId w:val="7"/>
  </w:num>
  <w:num w:numId="33" w16cid:durableId="510797179">
    <w:abstractNumId w:val="6"/>
  </w:num>
  <w:num w:numId="34" w16cid:durableId="519855387">
    <w:abstractNumId w:val="5"/>
  </w:num>
  <w:num w:numId="35" w16cid:durableId="37169282">
    <w:abstractNumId w:val="4"/>
  </w:num>
  <w:num w:numId="36" w16cid:durableId="1355809619">
    <w:abstractNumId w:val="8"/>
  </w:num>
  <w:num w:numId="37" w16cid:durableId="498348068">
    <w:abstractNumId w:val="3"/>
  </w:num>
  <w:num w:numId="38" w16cid:durableId="1270284797">
    <w:abstractNumId w:val="2"/>
  </w:num>
  <w:num w:numId="39" w16cid:durableId="17195937">
    <w:abstractNumId w:val="1"/>
  </w:num>
  <w:num w:numId="40" w16cid:durableId="2030451251">
    <w:abstractNumId w:val="0"/>
  </w:num>
  <w:num w:numId="41" w16cid:durableId="1252197109">
    <w:abstractNumId w:val="10"/>
  </w:num>
  <w:num w:numId="42" w16cid:durableId="707073039">
    <w:abstractNumId w:val="10"/>
  </w:num>
  <w:num w:numId="43" w16cid:durableId="67852648">
    <w:abstractNumId w:val="10"/>
  </w:num>
  <w:num w:numId="44" w16cid:durableId="2999201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6/2026"/>
    <w:docVar w:name="dvlangue" w:val="CS"/>
    <w:docVar w:name="dvnumam" w:val="0"/>
    <w:docVar w:name="dvpe" w:val="778.144"/>
    <w:docVar w:name="dvrapporteur" w:val="Zpravodaj: "/>
    <w:docVar w:name="dvtitre" w:val="Usnesení Evropského parlamentu ze dne 11. března 2026 o strategii rozšíření EU (2025/2110(INI))"/>
  </w:docVars>
  <w:rsids>
    <w:rsidRoot w:val="00B54C2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AC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65E6"/>
    <w:rsid w:val="006631B6"/>
    <w:rsid w:val="00680577"/>
    <w:rsid w:val="006F458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10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D80"/>
    <w:rsid w:val="00B54C2C"/>
    <w:rsid w:val="00B558F0"/>
    <w:rsid w:val="00BB155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0735"/>
    <w:rsid w:val="00D834A0"/>
    <w:rsid w:val="00D872DF"/>
    <w:rsid w:val="00D91E21"/>
    <w:rsid w:val="00DA2A3E"/>
    <w:rsid w:val="00DA7FCD"/>
    <w:rsid w:val="00E365E1"/>
    <w:rsid w:val="00E820A4"/>
    <w:rsid w:val="00EB006A"/>
    <w:rsid w:val="00EB4772"/>
    <w:rsid w:val="00ED169E"/>
    <w:rsid w:val="00ED1792"/>
    <w:rsid w:val="00ED4235"/>
    <w:rsid w:val="00F04346"/>
    <w:rsid w:val="00F075DC"/>
    <w:rsid w:val="00F149E9"/>
    <w:rsid w:val="00F5134D"/>
    <w:rsid w:val="00F74202"/>
    <w:rsid w:val="00F87713"/>
    <w:rsid w:val="00FA58B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FA067B"/>
  <w15:chartTrackingRefBased/>
  <w15:docId w15:val="{03C82637-107D-4460-86E8-3676A09D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7073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7073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7073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7073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7073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70735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D70735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D70735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D70735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D7073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7073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70735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D7073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70735"/>
    <w:rPr>
      <w:b/>
    </w:rPr>
  </w:style>
  <w:style w:type="paragraph" w:customStyle="1" w:styleId="NormalHanging12a">
    <w:name w:val="NormalHanging12a"/>
    <w:basedOn w:val="Normal"/>
    <w:link w:val="NormalHanging12aChar"/>
    <w:rsid w:val="00D7073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70735"/>
    <w:pPr>
      <w:spacing w:after="480"/>
      <w:ind w:left="1417"/>
    </w:pPr>
  </w:style>
  <w:style w:type="paragraph" w:customStyle="1" w:styleId="CoverNormal">
    <w:name w:val="CoverNormal"/>
    <w:basedOn w:val="Normal"/>
    <w:rsid w:val="00D70735"/>
    <w:pPr>
      <w:ind w:left="1418"/>
    </w:pPr>
  </w:style>
  <w:style w:type="paragraph" w:customStyle="1" w:styleId="CoverReference">
    <w:name w:val="CoverReference"/>
    <w:basedOn w:val="Normal"/>
    <w:rsid w:val="00D70735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D7073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70735"/>
    <w:pPr>
      <w:spacing w:before="240" w:after="1200"/>
    </w:pPr>
  </w:style>
  <w:style w:type="paragraph" w:styleId="Header">
    <w:name w:val="header"/>
    <w:basedOn w:val="Normal"/>
    <w:link w:val="HeaderChar"/>
    <w:rsid w:val="00D707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70735"/>
    <w:rPr>
      <w:sz w:val="24"/>
      <w:lang w:val="cs-CZ"/>
    </w:rPr>
  </w:style>
  <w:style w:type="paragraph" w:customStyle="1" w:styleId="EPBody">
    <w:name w:val="EPBody"/>
    <w:basedOn w:val="Normal"/>
    <w:rsid w:val="00D7073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7073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70735"/>
    <w:pPr>
      <w:spacing w:before="480" w:after="240"/>
    </w:pPr>
  </w:style>
  <w:style w:type="paragraph" w:customStyle="1" w:styleId="Normal12a">
    <w:name w:val="Normal12a"/>
    <w:basedOn w:val="Normal"/>
    <w:rsid w:val="00D70735"/>
    <w:pPr>
      <w:spacing w:after="240"/>
    </w:pPr>
  </w:style>
  <w:style w:type="paragraph" w:customStyle="1" w:styleId="CoverNormal12a">
    <w:name w:val="CoverNormal12a"/>
    <w:basedOn w:val="Normal"/>
    <w:rsid w:val="00D70735"/>
    <w:pPr>
      <w:spacing w:after="240"/>
      <w:ind w:left="1418"/>
    </w:pPr>
  </w:style>
  <w:style w:type="character" w:styleId="Hyperlink">
    <w:name w:val="Hyperlink"/>
    <w:basedOn w:val="DefaultParagraphFont"/>
    <w:rsid w:val="00D7073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70735"/>
    <w:rPr>
      <w:rFonts w:asciiTheme="minorHAnsi" w:hAnsiTheme="minorHAnsi" w:hint="default"/>
      <w:b/>
      <w:bCs w:val="0"/>
      <w:i/>
      <w:iCs/>
    </w:rPr>
  </w:style>
  <w:style w:type="character" w:customStyle="1" w:styleId="Normal12HangingChar">
    <w:name w:val="Normal12Hanging Char"/>
    <w:link w:val="Normal12Hanging"/>
    <w:locked/>
    <w:rsid w:val="00D70735"/>
    <w:rPr>
      <w:sz w:val="24"/>
    </w:rPr>
  </w:style>
  <w:style w:type="paragraph" w:customStyle="1" w:styleId="Normal12Hanging">
    <w:name w:val="Normal12Hanging"/>
    <w:basedOn w:val="Normal"/>
    <w:link w:val="Normal12HangingChar"/>
    <w:rsid w:val="00D70735"/>
    <w:pPr>
      <w:spacing w:after="240"/>
      <w:ind w:left="567" w:hanging="567"/>
    </w:pPr>
    <w:rPr>
      <w:lang w:val="en-GB"/>
    </w:rPr>
  </w:style>
  <w:style w:type="paragraph" w:styleId="Footer">
    <w:name w:val="footer"/>
    <w:basedOn w:val="Normal"/>
    <w:link w:val="FooterChar"/>
    <w:rsid w:val="00D707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70735"/>
    <w:rPr>
      <w:sz w:val="24"/>
      <w:lang w:val="cs-CZ"/>
    </w:rPr>
  </w:style>
  <w:style w:type="character" w:customStyle="1" w:styleId="NormalHanging12aChar">
    <w:name w:val="NormalHanging12a Char"/>
    <w:link w:val="NormalHanging12a"/>
    <w:rsid w:val="00D70735"/>
    <w:rPr>
      <w:sz w:val="24"/>
      <w:lang w:val="cs-CZ"/>
    </w:rPr>
  </w:style>
  <w:style w:type="paragraph" w:customStyle="1" w:styleId="Normal24a">
    <w:name w:val="Normal24a"/>
    <w:basedOn w:val="Normal"/>
    <w:rsid w:val="00D70735"/>
    <w:pPr>
      <w:spacing w:after="480"/>
    </w:pPr>
  </w:style>
  <w:style w:type="paragraph" w:customStyle="1" w:styleId="NormalBoldCenter">
    <w:name w:val="NormalBoldCenter"/>
    <w:basedOn w:val="Normal"/>
    <w:rsid w:val="00D70735"/>
    <w:pPr>
      <w:jc w:val="center"/>
    </w:pPr>
    <w:rPr>
      <w:b/>
    </w:rPr>
  </w:style>
  <w:style w:type="paragraph" w:customStyle="1" w:styleId="Footprint12b">
    <w:name w:val="Footprint12b"/>
    <w:basedOn w:val="Normal"/>
    <w:rsid w:val="00D7073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70735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70735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D7073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7073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7073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70735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DA2A3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agree_internation/2004/239(2)/oj" TargetMode="External"/><Relationship Id="rId13" Type="http://schemas.openxmlformats.org/officeDocument/2006/relationships/hyperlink" Target="http://data.europa.eu/eli/C/2024/6746/oj" TargetMode="External"/><Relationship Id="rId18" Type="http://schemas.openxmlformats.org/officeDocument/2006/relationships/hyperlink" Target="http://data.europa.eu/eli/C/2025/2251/oj" TargetMode="External"/><Relationship Id="rId3" Type="http://schemas.openxmlformats.org/officeDocument/2006/relationships/hyperlink" Target="http://data.europa.eu/eli/agree_internation/2015/997/oj" TargetMode="External"/><Relationship Id="rId7" Type="http://schemas.openxmlformats.org/officeDocument/2006/relationships/hyperlink" Target="http://data.europa.eu/eli/agree_internation/2010/224/oj" TargetMode="External"/><Relationship Id="rId12" Type="http://schemas.openxmlformats.org/officeDocument/2006/relationships/hyperlink" Target="http://data.europa.eu/eli/C/2024/6555/oj" TargetMode="External"/><Relationship Id="rId17" Type="http://schemas.openxmlformats.org/officeDocument/2006/relationships/hyperlink" Target="http://data.europa.eu/eli/reg/2025/535/oj" TargetMode="External"/><Relationship Id="rId2" Type="http://schemas.openxmlformats.org/officeDocument/2006/relationships/hyperlink" Target="http://data.europa.eu/eli/agree_internation/2009/332/oj" TargetMode="External"/><Relationship Id="rId16" Type="http://schemas.openxmlformats.org/officeDocument/2006/relationships/hyperlink" Target="http://data.europa.eu/eli/reg/2024/792/oj" TargetMode="External"/><Relationship Id="rId1" Type="http://schemas.openxmlformats.org/officeDocument/2006/relationships/hyperlink" Target="http://data.europa.eu/eli/C/2024/4173/oj" TargetMode="External"/><Relationship Id="rId6" Type="http://schemas.openxmlformats.org/officeDocument/2006/relationships/hyperlink" Target="http://data.europa.eu/eli/agree_internation/2014/492/oj" TargetMode="External"/><Relationship Id="rId11" Type="http://schemas.openxmlformats.org/officeDocument/2006/relationships/hyperlink" Target="http://data.europa.eu/eli/agree_internation/2014/295/oj" TargetMode="External"/><Relationship Id="rId5" Type="http://schemas.openxmlformats.org/officeDocument/2006/relationships/hyperlink" Target="http://data.europa.eu/eli/agree_internation/2016/342/oj" TargetMode="External"/><Relationship Id="rId15" Type="http://schemas.openxmlformats.org/officeDocument/2006/relationships/hyperlink" Target="http://data.europa.eu/eli/reg/2024/1449/oj" TargetMode="External"/><Relationship Id="rId10" Type="http://schemas.openxmlformats.org/officeDocument/2006/relationships/hyperlink" Target="http://data.europa.eu/eli/agree_internation/1964/732/oj" TargetMode="External"/><Relationship Id="rId4" Type="http://schemas.openxmlformats.org/officeDocument/2006/relationships/hyperlink" Target="http://data.europa.eu/eli/agree_internation/2014/494/oj" TargetMode="External"/><Relationship Id="rId9" Type="http://schemas.openxmlformats.org/officeDocument/2006/relationships/hyperlink" Target="http://data.europa.eu/eli/agree_internation/2013/490/oj" TargetMode="External"/><Relationship Id="rId14" Type="http://schemas.openxmlformats.org/officeDocument/2006/relationships/hyperlink" Target="http://data.europa.eu/eli/reg/2021/15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6080</Words>
  <Characters>36377</Characters>
  <Application>Microsoft Office Word</Application>
  <DocSecurity>0</DocSecurity>
  <Lines>1347</Lines>
  <Paragraphs>350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SOCHOROVA Lenka</cp:lastModifiedBy>
  <cp:revision>2</cp:revision>
  <cp:lastPrinted>2004-11-19T15:42:00Z</cp:lastPrinted>
  <dcterms:created xsi:type="dcterms:W3CDTF">2026-04-22T15:20:00Z</dcterms:created>
  <dcterms:modified xsi:type="dcterms:W3CDTF">2026-04-22T15:20:00Z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A10-0016/2026</vt:lpwstr>
  </property>
  <property fmtid="{D5CDD505-2E9C-101B-9397-08002B2CF9AE}" pid="4" name="&lt;Type&gt;">
    <vt:lpwstr>RR</vt:lpwstr>
  </property>
</Properties>
</file>