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442B" w14:paraId="39D2C6AF" w14:textId="77777777" w:rsidTr="0010095E">
        <w:trPr>
          <w:trHeight w:hRule="exact" w:val="1418"/>
        </w:trPr>
        <w:tc>
          <w:tcPr>
            <w:tcW w:w="6804" w:type="dxa"/>
            <w:shd w:val="clear" w:color="auto" w:fill="auto"/>
            <w:vAlign w:val="center"/>
          </w:tcPr>
          <w:p w14:paraId="027ED963" w14:textId="77777777" w:rsidR="00751A4A" w:rsidRPr="0084442B" w:rsidRDefault="00511AA7" w:rsidP="0010095E">
            <w:pPr>
              <w:pStyle w:val="EPName"/>
            </w:pPr>
            <w:r w:rsidRPr="0084442B">
              <w:t>Europa-Parlamentet</w:t>
            </w:r>
          </w:p>
          <w:p w14:paraId="57666B67" w14:textId="77777777" w:rsidR="00751A4A" w:rsidRPr="0084442B" w:rsidRDefault="005F1B17" w:rsidP="005F1B17">
            <w:pPr>
              <w:pStyle w:val="EPTerm"/>
              <w:rPr>
                <w:rStyle w:val="HideTWBExt"/>
                <w:noProof w:val="0"/>
                <w:vanish w:val="0"/>
                <w:color w:val="auto"/>
              </w:rPr>
            </w:pPr>
            <w:r w:rsidRPr="0084442B">
              <w:t>2024</w:t>
            </w:r>
            <w:r w:rsidR="00817416" w:rsidRPr="0084442B">
              <w:t>-202</w:t>
            </w:r>
            <w:r w:rsidRPr="0084442B">
              <w:t>9</w:t>
            </w:r>
          </w:p>
        </w:tc>
        <w:tc>
          <w:tcPr>
            <w:tcW w:w="2268" w:type="dxa"/>
            <w:shd w:val="clear" w:color="auto" w:fill="auto"/>
          </w:tcPr>
          <w:p w14:paraId="0F33305B" w14:textId="77777777" w:rsidR="00751A4A" w:rsidRPr="0084442B" w:rsidRDefault="00187494" w:rsidP="0010095E">
            <w:pPr>
              <w:pStyle w:val="EPLogo"/>
            </w:pPr>
            <w:r w:rsidRPr="0084442B">
              <w:rPr>
                <w:noProof/>
                <w:lang w:eastAsia="ja-JP"/>
              </w:rPr>
              <w:drawing>
                <wp:inline distT="0" distB="0" distL="0" distR="0" wp14:anchorId="2A1EAA2F" wp14:editId="7573A1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D072E" w14:textId="77777777" w:rsidR="00D058B8" w:rsidRPr="0084442B" w:rsidRDefault="00D058B8" w:rsidP="004C5D52">
      <w:pPr>
        <w:pStyle w:val="LineTop"/>
      </w:pPr>
    </w:p>
    <w:p w14:paraId="02A9673A" w14:textId="77777777" w:rsidR="00680577" w:rsidRPr="0084442B" w:rsidRDefault="00511AA7" w:rsidP="00680577">
      <w:pPr>
        <w:pStyle w:val="EPBodyTA1"/>
      </w:pPr>
      <w:r w:rsidRPr="0084442B">
        <w:t>VEDTAGNE TEKSTER</w:t>
      </w:r>
    </w:p>
    <w:p w14:paraId="37E9C4AF" w14:textId="77777777" w:rsidR="00D058B8" w:rsidRPr="0084442B" w:rsidRDefault="00D058B8" w:rsidP="00D058B8">
      <w:pPr>
        <w:pStyle w:val="LineBottom"/>
      </w:pPr>
    </w:p>
    <w:p w14:paraId="1E2B324A" w14:textId="7EB57E6F" w:rsidR="00511AA7" w:rsidRPr="00182E30" w:rsidRDefault="00511AA7" w:rsidP="00511AA7">
      <w:pPr>
        <w:pStyle w:val="ATHeading1"/>
      </w:pPr>
      <w:bookmarkStart w:id="0" w:name="TANumber"/>
      <w:r w:rsidRPr="00182E30">
        <w:t>P10_TA(2026)00</w:t>
      </w:r>
      <w:r w:rsidR="00A80A69">
        <w:t>77</w:t>
      </w:r>
      <w:bookmarkEnd w:id="0"/>
    </w:p>
    <w:p w14:paraId="7A34FAA6" w14:textId="77777777" w:rsidR="00511AA7" w:rsidRPr="00182E30" w:rsidRDefault="00511AA7" w:rsidP="00511AA7">
      <w:pPr>
        <w:pStyle w:val="ATHeading2"/>
      </w:pPr>
      <w:bookmarkStart w:id="1" w:name="title"/>
      <w:r w:rsidRPr="00182E30">
        <w:t>EU's udvidelsesstrategi</w:t>
      </w:r>
      <w:bookmarkEnd w:id="1"/>
    </w:p>
    <w:p w14:paraId="5D80B43B" w14:textId="77777777" w:rsidR="00511AA7" w:rsidRPr="0084442B" w:rsidRDefault="00511AA7" w:rsidP="00511AA7">
      <w:pPr>
        <w:rPr>
          <w:i/>
          <w:vanish/>
        </w:rPr>
      </w:pPr>
      <w:r w:rsidRPr="0084442B">
        <w:rPr>
          <w:i/>
        </w:rPr>
        <w:fldChar w:fldCharType="begin"/>
      </w:r>
      <w:r w:rsidRPr="0084442B">
        <w:rPr>
          <w:i/>
        </w:rPr>
        <w:instrText xml:space="preserve"> TC"(</w:instrText>
      </w:r>
      <w:bookmarkStart w:id="2" w:name="DocNumber"/>
      <w:r w:rsidRPr="0084442B">
        <w:rPr>
          <w:i/>
        </w:rPr>
        <w:instrText>A10-0016/2026</w:instrText>
      </w:r>
      <w:bookmarkEnd w:id="2"/>
      <w:r w:rsidRPr="0084442B">
        <w:rPr>
          <w:i/>
        </w:rPr>
        <w:instrText xml:space="preserve"> - Ordfører: Petras </w:instrText>
      </w:r>
      <w:proofErr w:type="spellStart"/>
      <w:r w:rsidRPr="0084442B">
        <w:rPr>
          <w:i/>
        </w:rPr>
        <w:instrText>Auštrevičius</w:instrText>
      </w:r>
      <w:proofErr w:type="spellEnd"/>
      <w:r w:rsidRPr="0084442B">
        <w:rPr>
          <w:i/>
        </w:rPr>
        <w:instrText xml:space="preserve">)"\l3 \n&gt; \* MERGEFORMAT </w:instrText>
      </w:r>
      <w:r w:rsidRPr="0084442B">
        <w:rPr>
          <w:i/>
        </w:rPr>
        <w:fldChar w:fldCharType="end"/>
      </w:r>
    </w:p>
    <w:p w14:paraId="2D8F1413" w14:textId="77777777" w:rsidR="00511AA7" w:rsidRPr="0084442B" w:rsidRDefault="00511AA7" w:rsidP="00511AA7">
      <w:pPr>
        <w:rPr>
          <w:vanish/>
        </w:rPr>
      </w:pPr>
      <w:bookmarkStart w:id="3" w:name="Commission"/>
      <w:r w:rsidRPr="0084442B">
        <w:rPr>
          <w:vanish/>
        </w:rPr>
        <w:t>Udenrigsudvalget</w:t>
      </w:r>
      <w:bookmarkEnd w:id="3"/>
    </w:p>
    <w:p w14:paraId="6501F22B" w14:textId="77777777" w:rsidR="00511AA7" w:rsidRPr="0084442B" w:rsidRDefault="00511AA7" w:rsidP="00511AA7">
      <w:pPr>
        <w:rPr>
          <w:vanish/>
        </w:rPr>
      </w:pPr>
      <w:bookmarkStart w:id="4" w:name="PE"/>
      <w:r w:rsidRPr="0084442B">
        <w:rPr>
          <w:vanish/>
        </w:rPr>
        <w:t>PE778.144</w:t>
      </w:r>
      <w:bookmarkEnd w:id="4"/>
    </w:p>
    <w:p w14:paraId="16B45096" w14:textId="2D622446" w:rsidR="00511AA7" w:rsidRPr="00182E30" w:rsidRDefault="00511AA7" w:rsidP="00511AA7">
      <w:pPr>
        <w:pStyle w:val="ATHeading3"/>
      </w:pPr>
      <w:bookmarkStart w:id="5" w:name="Sujet"/>
      <w:r w:rsidRPr="00182E30">
        <w:t xml:space="preserve">Europa-Parlamentets beslutning af </w:t>
      </w:r>
      <w:r w:rsidR="001B48AB" w:rsidRPr="00182E30">
        <w:t>11</w:t>
      </w:r>
      <w:r w:rsidRPr="00182E30">
        <w:t>. marts 2026 om EU's udvidelsesstrategi</w:t>
      </w:r>
      <w:bookmarkEnd w:id="5"/>
      <w:r w:rsidRPr="00182E30">
        <w:t xml:space="preserve"> </w:t>
      </w:r>
      <w:bookmarkStart w:id="6" w:name="References"/>
      <w:r w:rsidRPr="00182E30">
        <w:t>(2025/2110(INI))</w:t>
      </w:r>
      <w:bookmarkEnd w:id="6"/>
    </w:p>
    <w:p w14:paraId="3FA01218" w14:textId="77777777" w:rsidR="00762775" w:rsidRPr="0084442B" w:rsidRDefault="00762775" w:rsidP="00762775">
      <w:pPr>
        <w:pStyle w:val="EPComma"/>
      </w:pPr>
      <w:r w:rsidRPr="0084442B">
        <w:rPr>
          <w:i/>
        </w:rPr>
        <w:t>Europa-Parlamentet</w:t>
      </w:r>
      <w:r w:rsidRPr="0084442B">
        <w:t>,</w:t>
      </w:r>
    </w:p>
    <w:p w14:paraId="7AE301CD" w14:textId="77777777" w:rsidR="00762775" w:rsidRPr="0084442B" w:rsidRDefault="00762775" w:rsidP="00762775">
      <w:pPr>
        <w:pStyle w:val="NormalHanging12a"/>
      </w:pPr>
      <w:r w:rsidRPr="0084442B">
        <w:t>–</w:t>
      </w:r>
      <w:r w:rsidRPr="0084442B">
        <w:tab/>
        <w:t>der henviser til traktaten om Den Europæiske Union (TEU), særlig artikel 49,</w:t>
      </w:r>
    </w:p>
    <w:p w14:paraId="71C90291" w14:textId="77777777" w:rsidR="00762775" w:rsidRPr="0084442B" w:rsidRDefault="00762775" w:rsidP="00762775">
      <w:pPr>
        <w:pStyle w:val="NormalHanging12a"/>
      </w:pPr>
      <w:r w:rsidRPr="0084442B">
        <w:t>–</w:t>
      </w:r>
      <w:r w:rsidRPr="0084442B">
        <w:tab/>
        <w:t>der henviser til traktaten om Den Europæiske Unions funktionsmåde (TEUF),</w:t>
      </w:r>
    </w:p>
    <w:p w14:paraId="4774607F" w14:textId="77777777" w:rsidR="00762775" w:rsidRPr="0084442B" w:rsidRDefault="00762775" w:rsidP="00762775">
      <w:pPr>
        <w:pStyle w:val="NormalHanging12a"/>
      </w:pPr>
      <w:r w:rsidRPr="0084442B">
        <w:t>–</w:t>
      </w:r>
      <w:r w:rsidRPr="0084442B">
        <w:tab/>
        <w:t>der henviser til Det Europæiske Råds konklusioner af 23.</w:t>
      </w:r>
      <w:r w:rsidRPr="0084442B">
        <w:noBreakHyphen/>
        <w:t>24. juni 2022, 29.</w:t>
      </w:r>
      <w:r w:rsidRPr="0084442B">
        <w:noBreakHyphen/>
        <w:t>30. juni 2023, 26.</w:t>
      </w:r>
      <w:r w:rsidRPr="0084442B">
        <w:noBreakHyphen/>
        <w:t>27. oktober 2023, 14.</w:t>
      </w:r>
      <w:r w:rsidRPr="0084442B">
        <w:noBreakHyphen/>
        <w:t>15. december 2023, 27. juni 2024 og 17. december 2024 og til formandskabets konklusioner fra Det Europæiske Råds møde i København den 21.</w:t>
      </w:r>
      <w:r w:rsidRPr="0084442B">
        <w:noBreakHyphen/>
        <w:t>22. juni 1993, også kendt som Københavnskriterierne,</w:t>
      </w:r>
    </w:p>
    <w:p w14:paraId="56A6D0A9" w14:textId="77777777" w:rsidR="00762775" w:rsidRPr="0084442B" w:rsidRDefault="00762775" w:rsidP="00762775">
      <w:pPr>
        <w:pStyle w:val="NormalHanging12a"/>
      </w:pPr>
      <w:r w:rsidRPr="0084442B">
        <w:t>–</w:t>
      </w:r>
      <w:r w:rsidRPr="0084442B">
        <w:tab/>
        <w:t>der henviser til sin beslutning af 13. december 2023 om 30 år med Københavnskriterierne – yderligere fremdrift til EU's udvidelsespolitik</w:t>
      </w:r>
      <w:r w:rsidRPr="0084442B">
        <w:rPr>
          <w:rStyle w:val="FootnoteReference"/>
        </w:rPr>
        <w:footnoteReference w:id="1"/>
      </w:r>
      <w:r w:rsidRPr="0084442B">
        <w:t>,</w:t>
      </w:r>
    </w:p>
    <w:p w14:paraId="589FCC25" w14:textId="77777777" w:rsidR="00762775" w:rsidRPr="0084442B" w:rsidRDefault="00762775" w:rsidP="00762775">
      <w:pPr>
        <w:pStyle w:val="NormalHanging12a"/>
      </w:pPr>
      <w:r w:rsidRPr="0084442B">
        <w:t>–</w:t>
      </w:r>
      <w:r w:rsidRPr="0084442B">
        <w:tab/>
        <w:t>der henviser til EU's associeringsaftaler med Albanien</w:t>
      </w:r>
      <w:r w:rsidRPr="0084442B">
        <w:rPr>
          <w:rStyle w:val="FootnoteReference"/>
        </w:rPr>
        <w:footnoteReference w:id="2"/>
      </w:r>
      <w:r w:rsidRPr="0084442B">
        <w:t>, Bosnien-Hercegovina</w:t>
      </w:r>
      <w:r w:rsidRPr="0084442B">
        <w:rPr>
          <w:rStyle w:val="FootnoteReference"/>
        </w:rPr>
        <w:footnoteReference w:id="3"/>
      </w:r>
      <w:r w:rsidRPr="0084442B">
        <w:t>, Georgien</w:t>
      </w:r>
      <w:r w:rsidRPr="0084442B">
        <w:rPr>
          <w:rStyle w:val="FootnoteReference"/>
        </w:rPr>
        <w:footnoteReference w:id="4"/>
      </w:r>
      <w:r w:rsidRPr="0084442B">
        <w:t>, Kosovo</w:t>
      </w:r>
      <w:r w:rsidRPr="0084442B">
        <w:rPr>
          <w:rStyle w:val="FootnoteReference"/>
        </w:rPr>
        <w:footnoteReference w:id="5"/>
      </w:r>
      <w:r w:rsidRPr="0084442B">
        <w:t>, Republikken Moldova</w:t>
      </w:r>
      <w:r w:rsidRPr="0084442B">
        <w:rPr>
          <w:rStyle w:val="FootnoteReference"/>
        </w:rPr>
        <w:footnoteReference w:id="6"/>
      </w:r>
      <w:r w:rsidRPr="0084442B">
        <w:t xml:space="preserve"> (i det følgende benævnt "Moldova"), </w:t>
      </w:r>
      <w:r w:rsidRPr="0084442B">
        <w:lastRenderedPageBreak/>
        <w:t>Montenegro</w:t>
      </w:r>
      <w:r w:rsidRPr="0084442B">
        <w:rPr>
          <w:rStyle w:val="FootnoteReference"/>
        </w:rPr>
        <w:footnoteReference w:id="7"/>
      </w:r>
      <w:r w:rsidRPr="0084442B">
        <w:t>, Nordmakedonien</w:t>
      </w:r>
      <w:r w:rsidRPr="0084442B">
        <w:rPr>
          <w:rStyle w:val="FootnoteReference"/>
        </w:rPr>
        <w:footnoteReference w:id="8"/>
      </w:r>
      <w:r w:rsidRPr="0084442B">
        <w:t>, Serbien</w:t>
      </w:r>
      <w:r w:rsidRPr="0084442B">
        <w:rPr>
          <w:rStyle w:val="FootnoteReference"/>
        </w:rPr>
        <w:footnoteReference w:id="9"/>
      </w:r>
      <w:r w:rsidRPr="0084442B">
        <w:t>, Tyrkiet</w:t>
      </w:r>
      <w:r w:rsidRPr="0084442B">
        <w:rPr>
          <w:rStyle w:val="FootnoteReference"/>
        </w:rPr>
        <w:footnoteReference w:id="10"/>
      </w:r>
      <w:r w:rsidRPr="0084442B">
        <w:t xml:space="preserve"> og Ukraine</w:t>
      </w:r>
      <w:r w:rsidRPr="0084442B">
        <w:rPr>
          <w:rStyle w:val="FootnoteReference"/>
        </w:rPr>
        <w:footnoteReference w:id="11"/>
      </w:r>
      <w:r w:rsidRPr="0084442B">
        <w:t>,</w:t>
      </w:r>
    </w:p>
    <w:p w14:paraId="05677EBD" w14:textId="77777777" w:rsidR="00762775" w:rsidRPr="0084442B" w:rsidRDefault="00762775" w:rsidP="00762775">
      <w:pPr>
        <w:pStyle w:val="NormalHanging12a"/>
      </w:pPr>
      <w:r w:rsidRPr="0084442B">
        <w:t>–</w:t>
      </w:r>
      <w:r w:rsidRPr="0084442B">
        <w:tab/>
        <w:t>der henviser til Kommissionens meddelelse af 4. november 2025 med titlen "Meddelelse om EU's udvidelsespolitik 2025" (COM(2025)0690) samt tidligere årlige meddelelser desangående,</w:t>
      </w:r>
    </w:p>
    <w:p w14:paraId="6E75BD39" w14:textId="77777777" w:rsidR="00762775" w:rsidRPr="0084442B" w:rsidRDefault="00762775" w:rsidP="00762775">
      <w:pPr>
        <w:pStyle w:val="NormalHanging12a"/>
      </w:pPr>
      <w:r w:rsidRPr="0084442B">
        <w:t>–</w:t>
      </w:r>
      <w:r w:rsidRPr="0084442B">
        <w:tab/>
        <w:t>der henviser til sine beslutninger om Kommissionens rapporter for 2023 og 2024 om Kosovo</w:t>
      </w:r>
      <w:r w:rsidRPr="0084442B">
        <w:rPr>
          <w:rStyle w:val="FootnoteReference"/>
          <w:bCs/>
          <w:iCs/>
        </w:rPr>
        <w:footnoteReference w:id="12"/>
      </w:r>
      <w:r w:rsidRPr="0084442B">
        <w:t>, Serbien</w:t>
      </w:r>
      <w:r w:rsidRPr="0084442B">
        <w:rPr>
          <w:rStyle w:val="FootnoteReference"/>
          <w:bCs/>
          <w:iCs/>
        </w:rPr>
        <w:footnoteReference w:id="13"/>
      </w:r>
      <w:r w:rsidRPr="0084442B">
        <w:t>, Albanien</w:t>
      </w:r>
      <w:r w:rsidRPr="0084442B">
        <w:rPr>
          <w:rStyle w:val="FootnoteReference"/>
          <w:bCs/>
          <w:iCs/>
        </w:rPr>
        <w:footnoteReference w:id="14"/>
      </w:r>
      <w:r w:rsidRPr="0084442B">
        <w:t>, Bosnien-Hercegovina</w:t>
      </w:r>
      <w:r w:rsidRPr="0084442B">
        <w:rPr>
          <w:rStyle w:val="FootnoteReference"/>
        </w:rPr>
        <w:footnoteReference w:id="15"/>
      </w:r>
      <w:r w:rsidRPr="0084442B">
        <w:t>, Nordmakedonien</w:t>
      </w:r>
      <w:r w:rsidRPr="0084442B">
        <w:rPr>
          <w:rStyle w:val="FootnoteReference"/>
          <w:bCs/>
          <w:iCs/>
        </w:rPr>
        <w:footnoteReference w:id="16"/>
      </w:r>
      <w:r w:rsidRPr="0084442B">
        <w:t>, Montenegro</w:t>
      </w:r>
      <w:r w:rsidRPr="0084442B">
        <w:rPr>
          <w:rStyle w:val="FootnoteReference"/>
          <w:bCs/>
          <w:iCs/>
        </w:rPr>
        <w:footnoteReference w:id="17"/>
      </w:r>
      <w:r w:rsidRPr="0084442B">
        <w:t>, Ukraine</w:t>
      </w:r>
      <w:r w:rsidRPr="0084442B">
        <w:rPr>
          <w:rStyle w:val="FootnoteReference"/>
          <w:bCs/>
          <w:iCs/>
        </w:rPr>
        <w:footnoteReference w:id="18"/>
      </w:r>
      <w:r w:rsidRPr="0084442B">
        <w:t>, Moldova</w:t>
      </w:r>
      <w:r w:rsidRPr="0084442B">
        <w:rPr>
          <w:rStyle w:val="FootnoteReference"/>
          <w:bCs/>
          <w:iCs/>
        </w:rPr>
        <w:footnoteReference w:id="19"/>
      </w:r>
      <w:r w:rsidRPr="0084442B">
        <w:t>, Georgien</w:t>
      </w:r>
      <w:r w:rsidRPr="0084442B">
        <w:rPr>
          <w:rStyle w:val="FootnoteReference"/>
          <w:bCs/>
          <w:iCs/>
        </w:rPr>
        <w:footnoteReference w:id="20"/>
      </w:r>
      <w:r w:rsidRPr="0084442B">
        <w:t xml:space="preserve"> og Tyrkiet</w:t>
      </w:r>
      <w:r w:rsidRPr="0084442B">
        <w:rPr>
          <w:rStyle w:val="FootnoteReference"/>
          <w:bCs/>
          <w:iCs/>
        </w:rPr>
        <w:footnoteReference w:id="21"/>
      </w:r>
      <w:r w:rsidRPr="0084442B">
        <w:t>,</w:t>
      </w:r>
    </w:p>
    <w:p w14:paraId="35E92620" w14:textId="77777777" w:rsidR="00762775" w:rsidRPr="0084442B" w:rsidRDefault="00762775" w:rsidP="00762775">
      <w:pPr>
        <w:pStyle w:val="NormalHanging12a"/>
        <w:rPr>
          <w:bCs/>
          <w:iCs/>
        </w:rPr>
      </w:pPr>
      <w:r w:rsidRPr="0084442B">
        <w:t>–</w:t>
      </w:r>
      <w:r w:rsidRPr="0084442B">
        <w:tab/>
        <w:t>der henviser til sin beslutning af 13. marts 2024 om tættere forbindelser mellem EU og Armenien og behovet for en fredsaftale mellem Aserbajdsjan og Armenien</w:t>
      </w:r>
      <w:r w:rsidRPr="0084442B">
        <w:rPr>
          <w:rStyle w:val="FootnoteReference"/>
          <w:bCs/>
          <w:iCs/>
        </w:rPr>
        <w:footnoteReference w:id="22"/>
      </w:r>
      <w:r w:rsidRPr="0084442B">
        <w:t>,</w:t>
      </w:r>
    </w:p>
    <w:p w14:paraId="4C685B30" w14:textId="77777777" w:rsidR="00762775" w:rsidRPr="0084442B" w:rsidRDefault="00762775" w:rsidP="00762775">
      <w:pPr>
        <w:pStyle w:val="NormalHanging12a"/>
      </w:pPr>
      <w:r w:rsidRPr="0084442B">
        <w:t>–</w:t>
      </w:r>
      <w:r w:rsidRPr="0084442B">
        <w:tab/>
        <w:t>der henviser til sin beslutning af 29. februar 2024 om uddybning af EU-integrationen med henblik på fremtidige udvidelser</w:t>
      </w:r>
      <w:r w:rsidRPr="0084442B">
        <w:rPr>
          <w:rStyle w:val="FootnoteReference"/>
        </w:rPr>
        <w:footnoteReference w:id="23"/>
      </w:r>
      <w:r w:rsidRPr="0084442B">
        <w:t>,</w:t>
      </w:r>
    </w:p>
    <w:p w14:paraId="5A7F17CD" w14:textId="77777777" w:rsidR="00762775" w:rsidRPr="0084442B" w:rsidRDefault="00762775" w:rsidP="00762775">
      <w:pPr>
        <w:pStyle w:val="NormalHanging12a"/>
      </w:pPr>
      <w:r w:rsidRPr="0084442B">
        <w:t>–</w:t>
      </w:r>
      <w:r w:rsidRPr="0084442B">
        <w:tab/>
        <w:t>der henviser til Kommissionens meddelelse af 20. marts 2024 med titlen "</w:t>
      </w:r>
      <w:proofErr w:type="spellStart"/>
      <w:r w:rsidRPr="0084442B">
        <w:t>Førudvidelsesreformer</w:t>
      </w:r>
      <w:proofErr w:type="spellEnd"/>
      <w:r w:rsidRPr="0084442B">
        <w:t xml:space="preserve"> og gennemgang af politikker" (COM(2024)0146),</w:t>
      </w:r>
    </w:p>
    <w:p w14:paraId="58C10BBB" w14:textId="77777777" w:rsidR="00762775" w:rsidRPr="0084442B" w:rsidRDefault="00762775" w:rsidP="00762775">
      <w:pPr>
        <w:pStyle w:val="NormalHanging12a"/>
      </w:pPr>
      <w:r w:rsidRPr="0084442B">
        <w:t>–</w:t>
      </w:r>
      <w:r w:rsidRPr="0084442B">
        <w:tab/>
        <w:t>der henviser til sin henstilling af 23. november 2022 til Rådet, Kommissionen og næstformanden for Kommissionen/Unionens højtstående repræsentant for udenrigsanliggender og sikkerhedspolitik om EU's nye udvidelsesstrategi</w:t>
      </w:r>
      <w:r w:rsidRPr="0084442B">
        <w:rPr>
          <w:vertAlign w:val="superscript"/>
        </w:rPr>
        <w:footnoteReference w:id="24"/>
      </w:r>
      <w:r w:rsidRPr="0084442B">
        <w:t>,</w:t>
      </w:r>
    </w:p>
    <w:p w14:paraId="00EBF33B" w14:textId="77777777" w:rsidR="00762775" w:rsidRPr="0084442B" w:rsidRDefault="00762775" w:rsidP="00762775">
      <w:pPr>
        <w:pStyle w:val="NormalHanging12a"/>
        <w:rPr>
          <w:iCs/>
        </w:rPr>
      </w:pPr>
      <w:r w:rsidRPr="0084442B">
        <w:t>–</w:t>
      </w:r>
      <w:r w:rsidRPr="0084442B">
        <w:tab/>
        <w:t xml:space="preserve">der henviser til Europa-Parlamentets og Rådets forordning (EU) 2021/1529 af 15. september 2021 om oprettelse af et instrument til </w:t>
      </w:r>
      <w:proofErr w:type="spellStart"/>
      <w:r w:rsidRPr="0084442B">
        <w:t>førtiltrædelsesbistand</w:t>
      </w:r>
      <w:proofErr w:type="spellEnd"/>
      <w:r w:rsidRPr="0084442B">
        <w:t xml:space="preserve"> (IPA III)</w:t>
      </w:r>
      <w:r w:rsidRPr="0084442B">
        <w:rPr>
          <w:rStyle w:val="FootnoteReference"/>
          <w:iCs/>
        </w:rPr>
        <w:footnoteReference w:id="25"/>
      </w:r>
      <w:r w:rsidRPr="0084442B">
        <w:t>,</w:t>
      </w:r>
    </w:p>
    <w:p w14:paraId="76DEE04B" w14:textId="77777777" w:rsidR="00762775" w:rsidRPr="0084442B" w:rsidRDefault="00762775" w:rsidP="00762775">
      <w:pPr>
        <w:pStyle w:val="NormalHanging12a"/>
        <w:rPr>
          <w:iCs/>
        </w:rPr>
      </w:pPr>
      <w:r w:rsidRPr="0084442B">
        <w:t>–</w:t>
      </w:r>
      <w:r w:rsidRPr="0084442B">
        <w:tab/>
        <w:t xml:space="preserve">der henviser til Europa-Parlamentets og Rådets forordning (EU) 2024/1449 af 14. maj </w:t>
      </w:r>
      <w:r w:rsidRPr="0084442B">
        <w:lastRenderedPageBreak/>
        <w:t>2024 om oprettelse af reform- og vækstfaciliteten for Vestbalkan</w:t>
      </w:r>
      <w:r w:rsidRPr="0084442B">
        <w:rPr>
          <w:rStyle w:val="FootnoteReference"/>
          <w:iCs/>
        </w:rPr>
        <w:footnoteReference w:id="26"/>
      </w:r>
      <w:r w:rsidRPr="0084442B">
        <w:t>,</w:t>
      </w:r>
    </w:p>
    <w:p w14:paraId="5F4F907C" w14:textId="77777777" w:rsidR="00762775" w:rsidRPr="0084442B" w:rsidRDefault="00762775" w:rsidP="00762775">
      <w:pPr>
        <w:pStyle w:val="NormalHanging12a"/>
        <w:rPr>
          <w:iCs/>
        </w:rPr>
      </w:pPr>
      <w:r w:rsidRPr="0084442B">
        <w:t>–</w:t>
      </w:r>
      <w:r w:rsidRPr="0084442B">
        <w:tab/>
        <w:t>der henviser til Europa-Parlamentets og Rådets forordning (EU) 2024/792 af 29. februar 2024 om oprettelse af Ukrainefaciliteten</w:t>
      </w:r>
      <w:r w:rsidRPr="0084442B">
        <w:rPr>
          <w:rStyle w:val="FootnoteReference"/>
        </w:rPr>
        <w:footnoteReference w:id="27"/>
      </w:r>
      <w:r w:rsidRPr="0084442B">
        <w:t>,</w:t>
      </w:r>
    </w:p>
    <w:p w14:paraId="0A66D85D" w14:textId="77777777" w:rsidR="00762775" w:rsidRPr="0084442B" w:rsidRDefault="00762775" w:rsidP="00762775">
      <w:pPr>
        <w:pStyle w:val="NormalHanging12a"/>
      </w:pPr>
      <w:r w:rsidRPr="0084442B">
        <w:t>–</w:t>
      </w:r>
      <w:r w:rsidRPr="0084442B">
        <w:tab/>
        <w:t>der henviser til Europa-Parlamentets og Rådets forordning (EU) 2025/535 af 18. marts 2025 om oprettelse af reform- og vækstfaciliteten for Republikken Moldova</w:t>
      </w:r>
      <w:r w:rsidRPr="0084442B">
        <w:rPr>
          <w:rStyle w:val="FootnoteReference"/>
        </w:rPr>
        <w:footnoteReference w:id="28"/>
      </w:r>
      <w:r w:rsidRPr="0084442B">
        <w:t>,</w:t>
      </w:r>
    </w:p>
    <w:p w14:paraId="2687302B" w14:textId="77777777" w:rsidR="00762775" w:rsidRPr="0084442B" w:rsidRDefault="00762775" w:rsidP="00762775">
      <w:pPr>
        <w:pStyle w:val="NormalHanging12a"/>
        <w:rPr>
          <w:iCs/>
        </w:rPr>
      </w:pPr>
      <w:r w:rsidRPr="0084442B">
        <w:t>–</w:t>
      </w:r>
      <w:r w:rsidRPr="0084442B">
        <w:tab/>
        <w:t>der henviser til formandskabets konklusioner fra Det Europæiske Råds møde i Thessaloniki den 19. og 20. juni 2003,</w:t>
      </w:r>
    </w:p>
    <w:p w14:paraId="2B4FA6EE" w14:textId="77777777" w:rsidR="00762775" w:rsidRPr="0084442B" w:rsidRDefault="00762775" w:rsidP="00762775">
      <w:pPr>
        <w:pStyle w:val="NormalHanging12a"/>
        <w:rPr>
          <w:iCs/>
        </w:rPr>
      </w:pPr>
      <w:r w:rsidRPr="0084442B">
        <w:t>–</w:t>
      </w:r>
      <w:r w:rsidRPr="0084442B">
        <w:tab/>
        <w:t xml:space="preserve">der henviser til erklæringerne fra topmøderne mellem EU og Vestbalkan den 17. maj 2018 i Sofia, den 6. maj 2020 i Zagreb, den 6. oktober 2021 i </w:t>
      </w:r>
      <w:proofErr w:type="spellStart"/>
      <w:r w:rsidRPr="0084442B">
        <w:t>Brdo</w:t>
      </w:r>
      <w:proofErr w:type="spellEnd"/>
      <w:r w:rsidRPr="0084442B">
        <w:t> </w:t>
      </w:r>
      <w:proofErr w:type="spellStart"/>
      <w:r w:rsidRPr="0084442B">
        <w:t>pri</w:t>
      </w:r>
      <w:proofErr w:type="spellEnd"/>
      <w:r w:rsidRPr="0084442B">
        <w:t> </w:t>
      </w:r>
      <w:proofErr w:type="spellStart"/>
      <w:r w:rsidRPr="0084442B">
        <w:t>Kranju</w:t>
      </w:r>
      <w:proofErr w:type="spellEnd"/>
      <w:r w:rsidRPr="0084442B">
        <w:t>, den 6. december 2022 i Tirana, den 13. december 2023 i Bruxelles og den 18. december 2024 i Bruxelles,</w:t>
      </w:r>
    </w:p>
    <w:p w14:paraId="29C3D2FA" w14:textId="77777777" w:rsidR="00762775" w:rsidRPr="0084442B" w:rsidRDefault="00762775" w:rsidP="00762775">
      <w:pPr>
        <w:pStyle w:val="NormalHanging12a"/>
        <w:rPr>
          <w:iCs/>
        </w:rPr>
      </w:pPr>
      <w:r w:rsidRPr="0084442B">
        <w:t>–</w:t>
      </w:r>
      <w:r w:rsidRPr="0084442B">
        <w:tab/>
        <w:t>der henviser til Berlinprocessen, som blev igangsat den 28. august 2014,</w:t>
      </w:r>
    </w:p>
    <w:p w14:paraId="5881847B" w14:textId="77777777" w:rsidR="00762775" w:rsidRPr="0084442B" w:rsidRDefault="00762775" w:rsidP="00762775">
      <w:pPr>
        <w:pStyle w:val="NormalHanging12a"/>
        <w:rPr>
          <w:iCs/>
        </w:rPr>
      </w:pPr>
      <w:r w:rsidRPr="0084442B">
        <w:t>–</w:t>
      </w:r>
      <w:r w:rsidRPr="0084442B">
        <w:tab/>
        <w:t>der henviser til fælles erklæringer fra topmøderne i Det Østlige Partnerskab hhv. den 7. maj 2009 i Prag, den 29.</w:t>
      </w:r>
      <w:r w:rsidRPr="0084442B">
        <w:noBreakHyphen/>
        <w:t>30. september 2011 i Warszawa, den 28.</w:t>
      </w:r>
      <w:r w:rsidRPr="0084442B">
        <w:noBreakHyphen/>
        <w:t>29. november 2013 i Vilnius, den 21.</w:t>
      </w:r>
      <w:r w:rsidRPr="0084442B">
        <w:noBreakHyphen/>
        <w:t>22. maj 2015 i Riga, den 24. november 2017 i Bruxelles og den 15. december 2021 i Bruxelles,</w:t>
      </w:r>
    </w:p>
    <w:p w14:paraId="7BC43D58" w14:textId="77777777" w:rsidR="00762775" w:rsidRPr="0084442B" w:rsidRDefault="00762775" w:rsidP="00762775">
      <w:pPr>
        <w:pStyle w:val="NormalHanging12a"/>
      </w:pPr>
      <w:r w:rsidRPr="0084442B">
        <w:t>–</w:t>
      </w:r>
      <w:r w:rsidRPr="0084442B">
        <w:tab/>
        <w:t>der henviser til sin henstilling af 19. juni 2020 til Rådet, Kommissionen og næstformanden for Kommissionen/Unionens højtstående repræsentant for udenrigsanliggender og sikkerhedspolitik om Det Østlige Partnerskab forud for topmødet i juni 2020</w:t>
      </w:r>
      <w:r w:rsidRPr="0084442B">
        <w:rPr>
          <w:rStyle w:val="FootnoteReference"/>
        </w:rPr>
        <w:footnoteReference w:id="29"/>
      </w:r>
      <w:r w:rsidRPr="0084442B">
        <w:t>,</w:t>
      </w:r>
    </w:p>
    <w:p w14:paraId="327250EE" w14:textId="77777777" w:rsidR="00762775" w:rsidRPr="0084442B" w:rsidRDefault="00762775" w:rsidP="00762775">
      <w:pPr>
        <w:pStyle w:val="NormalHanging12a"/>
        <w:rPr>
          <w:bCs/>
        </w:rPr>
      </w:pPr>
      <w:r w:rsidRPr="0084442B">
        <w:t>–</w:t>
      </w:r>
      <w:r w:rsidRPr="0084442B">
        <w:tab/>
        <w:t>der henviser til sin beslutning af 22. oktober 2025 om polarisering og øget undertrykkelse i Serbien et år efter tragedien i Novi Sad</w:t>
      </w:r>
      <w:r w:rsidRPr="0084442B">
        <w:rPr>
          <w:rStyle w:val="FootnoteReference"/>
          <w:bCs/>
        </w:rPr>
        <w:footnoteReference w:id="30"/>
      </w:r>
      <w:r w:rsidRPr="0084442B">
        <w:t>,</w:t>
      </w:r>
    </w:p>
    <w:p w14:paraId="66978CF4" w14:textId="77777777" w:rsidR="00762775" w:rsidRPr="0084442B" w:rsidRDefault="00762775" w:rsidP="00762775">
      <w:pPr>
        <w:pStyle w:val="NormalHanging12a"/>
        <w:rPr>
          <w:bCs/>
        </w:rPr>
      </w:pPr>
      <w:r w:rsidRPr="0084442B">
        <w:t>–</w:t>
      </w:r>
      <w:r w:rsidRPr="0084442B">
        <w:tab/>
        <w:t>der henviser til sin beslutning af 13. februar 2025 om den yderligere forværring af den politiske situation i Georgien</w:t>
      </w:r>
      <w:r w:rsidRPr="0084442B">
        <w:rPr>
          <w:rStyle w:val="FootnoteReference"/>
        </w:rPr>
        <w:footnoteReference w:id="31"/>
      </w:r>
      <w:r w:rsidRPr="0084442B">
        <w:t>,</w:t>
      </w:r>
    </w:p>
    <w:p w14:paraId="5F076C51" w14:textId="77777777" w:rsidR="00762775" w:rsidRPr="0084442B" w:rsidRDefault="00762775" w:rsidP="00762775">
      <w:pPr>
        <w:pStyle w:val="NormalHanging12a"/>
        <w:rPr>
          <w:iCs/>
        </w:rPr>
      </w:pPr>
      <w:r w:rsidRPr="0084442B">
        <w:t>–</w:t>
      </w:r>
      <w:r w:rsidRPr="0084442B">
        <w:tab/>
        <w:t>der henviser til fælles meddelelse af 29. november 2023 fra Kommissionen og Unionens højtstående repræsentant for udenrigsanliggender og sikkerhedspolitik med titlen "Status vedrørende de politiske, økonomiske og handelsmæssige forbindelser mellem EU og Tyrkiet" (JOIN(2023)0050),</w:t>
      </w:r>
    </w:p>
    <w:p w14:paraId="3AD34D0C" w14:textId="77777777" w:rsidR="00762775" w:rsidRPr="0084442B" w:rsidRDefault="00762775" w:rsidP="00762775">
      <w:pPr>
        <w:pStyle w:val="NormalHanging12a"/>
        <w:rPr>
          <w:iCs/>
        </w:rPr>
      </w:pPr>
      <w:r w:rsidRPr="0084442B">
        <w:t>–</w:t>
      </w:r>
      <w:r w:rsidRPr="0084442B">
        <w:tab/>
        <w:t>der henviser til Det Europæiske Regionsudvalgs udtalelse af 2. april 2025 om Kommissionens udvidelsespakke 2024 – Vestbalkan og Tyrkiet,</w:t>
      </w:r>
    </w:p>
    <w:p w14:paraId="573F953B" w14:textId="77777777" w:rsidR="00762775" w:rsidRPr="0084442B" w:rsidRDefault="00762775" w:rsidP="00762775">
      <w:pPr>
        <w:pStyle w:val="NormalHanging12a"/>
        <w:rPr>
          <w:bCs/>
          <w:iCs/>
        </w:rPr>
      </w:pPr>
      <w:r w:rsidRPr="0084442B">
        <w:t>–</w:t>
      </w:r>
      <w:r w:rsidRPr="0084442B">
        <w:tab/>
        <w:t>der henviser til Den Europæiske Revisionsrets særberetning 01/2022 af 10. januar 2022 med titlen "EU's støtte til retsstatsprincippet i Vestbalkan: Trods indsatsen er der stadig grundlæggende problemer",</w:t>
      </w:r>
    </w:p>
    <w:p w14:paraId="3D4CEA66" w14:textId="77777777" w:rsidR="00762775" w:rsidRPr="0084442B" w:rsidRDefault="00762775" w:rsidP="00762775">
      <w:pPr>
        <w:pStyle w:val="NormalHanging12a"/>
      </w:pPr>
      <w:r w:rsidRPr="0084442B">
        <w:lastRenderedPageBreak/>
        <w:t>–</w:t>
      </w:r>
      <w:r w:rsidRPr="0084442B">
        <w:tab/>
        <w:t>der henviser til Kommissionens rapporter om retsstatssituationen for 2024 og 2025,</w:t>
      </w:r>
    </w:p>
    <w:p w14:paraId="4AC92F75" w14:textId="77777777" w:rsidR="00762775" w:rsidRPr="0084442B" w:rsidRDefault="00762775" w:rsidP="00762775">
      <w:pPr>
        <w:pStyle w:val="NormalHanging12a"/>
      </w:pPr>
      <w:r w:rsidRPr="0084442B">
        <w:t>–</w:t>
      </w:r>
      <w:r w:rsidRPr="0084442B">
        <w:tab/>
      </w:r>
      <w:bookmarkStart w:id="7" w:name="_Hlk209882928"/>
      <w:r w:rsidRPr="0084442B">
        <w:t>der henviser til forretningsordenens artikel 55,</w:t>
      </w:r>
    </w:p>
    <w:p w14:paraId="232E84A1" w14:textId="77777777" w:rsidR="00762775" w:rsidRPr="0084442B" w:rsidRDefault="00762775" w:rsidP="00762775">
      <w:pPr>
        <w:pStyle w:val="NormalHanging12a"/>
      </w:pPr>
      <w:r w:rsidRPr="0084442B">
        <w:t>–</w:t>
      </w:r>
      <w:r w:rsidRPr="0084442B">
        <w:tab/>
        <w:t>der henviser til betænkning fra Udenrigsudvalget (A10</w:t>
      </w:r>
      <w:r w:rsidRPr="0084442B">
        <w:noBreakHyphen/>
        <w:t>0016/2026),</w:t>
      </w:r>
      <w:bookmarkEnd w:id="7"/>
    </w:p>
    <w:p w14:paraId="4AA2E842" w14:textId="77777777" w:rsidR="00762775" w:rsidRPr="0084442B" w:rsidRDefault="00762775" w:rsidP="00762775">
      <w:pPr>
        <w:pStyle w:val="NormalHanging12a"/>
      </w:pPr>
      <w:r w:rsidRPr="0084442B">
        <w:t>A.</w:t>
      </w:r>
      <w:r w:rsidRPr="0084442B">
        <w:tab/>
        <w:t>der henviser til, at der i de senere år er gjort betydelige fremskridt med EU's udvidelsesproces i visse kandidatlande; der henviser til, at ni ud af de ti lande, der i øjeblikket ønsker at tiltræde EU, har kandidatstatus, hvoraf nogle har haft denne status i mange år; der henviser til, at indledningen af tiltrædelsesforhandlinger med Ukraine og Moldova har bidraget til at skabe en fornyet dynamik i udvidelsespolitikken;</w:t>
      </w:r>
    </w:p>
    <w:p w14:paraId="66B508A9" w14:textId="77777777" w:rsidR="00762775" w:rsidRPr="0084442B" w:rsidRDefault="00762775" w:rsidP="00762775">
      <w:pPr>
        <w:pStyle w:val="NormalHanging12a"/>
      </w:pPr>
      <w:r w:rsidRPr="0084442B">
        <w:t>B.</w:t>
      </w:r>
      <w:r w:rsidRPr="0084442B">
        <w:tab/>
        <w:t>der henviser til, at udvidelse er et af EU's stærkeste udenrigspolitiske og geopolitiske værktøjer og fortsat udgør en vigtig drivkraft for at opnå langsigtet sikkerhed, fred, stabilitet og velstand i Europa på grundlag af fælles demokratiske værdier; der henviser til, at udvidelse udgør en historisk og enestående mulighed for at opnå betydelige socioøkonomiske, politiske og sikkerhedsmæssige fordele for både EU og udvidelseslandene;</w:t>
      </w:r>
    </w:p>
    <w:p w14:paraId="4A1A2FAF" w14:textId="77777777" w:rsidR="00762775" w:rsidRPr="0084442B" w:rsidRDefault="00762775" w:rsidP="00762775">
      <w:pPr>
        <w:pStyle w:val="NormalHanging12a"/>
      </w:pPr>
      <w:r w:rsidRPr="0084442B">
        <w:t>C.</w:t>
      </w:r>
      <w:r w:rsidRPr="0084442B">
        <w:tab/>
        <w:t>der henviser til, at den seneste Eurobarometerrapport om udvidelse viser, at 56 % af EU-borgerne støtter yderligere udvidelse af Den Europæiske Union, og at Ukraine er det kandidatland, som flest EU-borgere ønsker, skal tiltræde EU, når samtlige medlemskabskriterier er opfyldt;</w:t>
      </w:r>
    </w:p>
    <w:p w14:paraId="69A422D1" w14:textId="77777777" w:rsidR="00762775" w:rsidRPr="0084442B" w:rsidRDefault="00762775" w:rsidP="00762775">
      <w:pPr>
        <w:pStyle w:val="NormalHanging12a"/>
      </w:pPr>
      <w:r w:rsidRPr="0084442B">
        <w:t>D.</w:t>
      </w:r>
      <w:r w:rsidRPr="0084442B">
        <w:tab/>
        <w:t>der henviser til, at tidligere udvidelsesrunder ifølge Eurobarometerrapporten anses for at have givet de største fordele inden for økonomisk vækst og konkurrenceevne efterfulgt af en større global indflydelse for EU samt styrket sikkerhed og forsvar;</w:t>
      </w:r>
    </w:p>
    <w:p w14:paraId="58D88863" w14:textId="77777777" w:rsidR="00762775" w:rsidRPr="0084442B" w:rsidRDefault="00762775" w:rsidP="00762775">
      <w:pPr>
        <w:pStyle w:val="NormalHanging12a"/>
      </w:pPr>
      <w:r w:rsidRPr="0084442B">
        <w:t>E.</w:t>
      </w:r>
      <w:r w:rsidRPr="0084442B">
        <w:tab/>
        <w:t>der henviser til, at EU's tiltrædelsesproces i sig selv giver håndgribelige resultater, idet EU fortsat er udvidelseslandenes vigtigste politiske, økonomiske og handelsmæssige partner; der henviser til, at Vestbalkans samlede handel med EU steg med 62 %, efter at stabiliserings- og associeringsaftalerne trådte i kraft; der henviser til, at de vidtgående og brede frihandelsaftaler har haft en transformativ indvirkning på Moldova og Ukraine med hensyn til både handel og økonomisk udvikling, idet disse aftaler øgede landenes handel med henholdsvis 65,4 % og 64,7 %;</w:t>
      </w:r>
    </w:p>
    <w:p w14:paraId="05F51D5A" w14:textId="77777777" w:rsidR="00762775" w:rsidRPr="0084442B" w:rsidRDefault="00762775" w:rsidP="00762775">
      <w:pPr>
        <w:pStyle w:val="NormalHanging12a"/>
      </w:pPr>
      <w:r w:rsidRPr="0084442B">
        <w:t>F.</w:t>
      </w:r>
      <w:r w:rsidRPr="0084442B">
        <w:tab/>
        <w:t>der henviser til, at Ruslands uindskrænkede angrebskrig mod Ukraine udgør en alvorlig trussel mod sikkerheden på og uden for det europæiske kontinent, hvilket viser, at manglende udvidelse medfører betydelige strategiske omkostninger og underminerer sikkerheden og stabiliteten på hele vores kontinent; der henviser til, at de senere års stilstand i udvidelsesprocessen har skabt et tomrum, hvilket er blevet udnyttet af Rusland, Kina og andre skadevoldende eksterne aktører; der henviser til, at Rusland forsætligt blander sig i landene i Det Østlige Partnerskab og på Vestbalkan gennem hybride trusselsoperationer, herunder indblanding i valg og udenlandsk informationsmanipulation og indblanding, som har til formål at standse EU-tiltrædelsesprocessen i disse lande, hvilket udgør en trussel mod sikkerheden i de berørte regioner – i kraft af Ruslands ulovlige besættelse af dele af tre kandidatlandes territorium – og på kontinentet som helhed;</w:t>
      </w:r>
    </w:p>
    <w:p w14:paraId="2773C1F1" w14:textId="77777777" w:rsidR="00762775" w:rsidRPr="0084442B" w:rsidRDefault="00762775" w:rsidP="00762775">
      <w:pPr>
        <w:pStyle w:val="NormalHanging12a"/>
      </w:pPr>
      <w:r w:rsidRPr="0084442B">
        <w:t>G.</w:t>
      </w:r>
      <w:r w:rsidRPr="0084442B">
        <w:tab/>
        <w:t xml:space="preserve">der henviser til, at Kina udvider sin indflydelse på faretruende vis i form af økonomisk afhængighedsskabende projekter og sikkerhedssamarbejde, navnlig på Vestbalkan og i Georgien, idet Kina fortsat udnytter politisk ustabilitet og institutionelle svagheder i </w:t>
      </w:r>
      <w:r w:rsidRPr="0084442B">
        <w:lastRenderedPageBreak/>
        <w:t>flere udvidelseslande til at undergrave deres vej hen imod EU-integration og deres demokratiske styreform;</w:t>
      </w:r>
    </w:p>
    <w:p w14:paraId="1EE3EF87" w14:textId="77777777" w:rsidR="00762775" w:rsidRPr="0084442B" w:rsidRDefault="00762775" w:rsidP="00762775">
      <w:pPr>
        <w:pStyle w:val="NormalHanging12a"/>
      </w:pPr>
      <w:r w:rsidRPr="0084442B">
        <w:t>H.</w:t>
      </w:r>
      <w:r w:rsidRPr="0084442B">
        <w:tab/>
        <w:t>der henviser til, at udvidelse er en meritbaseret proces, hvor irreversible fremskridt med hensyn til retsstatsprincippet, demokrati og de grundlæggende værdier fortsat udgør hjørnestenen; der henviser til, at hvert lands tiltrædelse af EU er betinget af varige, dybtgående og irreversible reformer på grundlæggende områder, begyndende med retsstatsprincippet og velfungerende demokratiske institutioner; der henviser til, at kvaliteten af de påkrævede reformer, som et land har gennemført, afgør tidsplanen for landets tiltrædelse;</w:t>
      </w:r>
    </w:p>
    <w:p w14:paraId="2968D1A1" w14:textId="77777777" w:rsidR="00762775" w:rsidRPr="0084442B" w:rsidRDefault="00762775" w:rsidP="00762775">
      <w:pPr>
        <w:pStyle w:val="NormalHanging12a"/>
      </w:pPr>
      <w:r w:rsidRPr="0084442B">
        <w:t>I.</w:t>
      </w:r>
      <w:r w:rsidRPr="0084442B">
        <w:tab/>
        <w:t xml:space="preserve">der henviser til, at EU fortsat er den største yder af investeringer og finansiel bistand gennem instrumentet til </w:t>
      </w:r>
      <w:proofErr w:type="spellStart"/>
      <w:r w:rsidRPr="0084442B">
        <w:t>førtiltrædelsesbistand</w:t>
      </w:r>
      <w:proofErr w:type="spellEnd"/>
      <w:r w:rsidRPr="0084442B">
        <w:t xml:space="preserve"> (IPA III), den økonomiske plan og investeringsplanen for Vestbalkan, faciliteten for Vestbalkan, Ukrainefaciliteten, faciliteten for Moldova, instrumentet for naboskab, udviklingssamarbejde og internationalt samarbejde – et globalt Europa (NDICI – et globalt Europa) samt makrofinansiel bistand;</w:t>
      </w:r>
    </w:p>
    <w:p w14:paraId="353EE12F" w14:textId="77777777" w:rsidR="00762775" w:rsidRPr="0084442B" w:rsidRDefault="00762775" w:rsidP="00762775">
      <w:pPr>
        <w:pStyle w:val="NormalHanging12a"/>
      </w:pPr>
      <w:r w:rsidRPr="0084442B">
        <w:t>J.</w:t>
      </w:r>
      <w:r w:rsidRPr="0084442B">
        <w:tab/>
        <w:t>der henviser til, at kandidatlandenes tilpasning til EU's fælles udenrigs- og sikkerhedspolitik fortsat er en af de vigtigste forudsætninger for tiltrædelse af EU;</w:t>
      </w:r>
    </w:p>
    <w:p w14:paraId="48519DCB" w14:textId="77777777" w:rsidR="00762775" w:rsidRPr="0084442B" w:rsidRDefault="00762775" w:rsidP="00762775">
      <w:pPr>
        <w:pStyle w:val="NormalHanging12a"/>
      </w:pPr>
      <w:r w:rsidRPr="0084442B">
        <w:t>K.</w:t>
      </w:r>
      <w:r w:rsidRPr="0084442B">
        <w:tab/>
        <w:t>der henviser til, at beslutningsprocessen om udvidelse er fastsat i artikel 49 i TEU og i de forhandlingsrammer, der er udarbejdet for hvert enkelt kandidatland;</w:t>
      </w:r>
    </w:p>
    <w:p w14:paraId="7E1F46CA" w14:textId="1976517B" w:rsidR="00762775" w:rsidRPr="0084442B" w:rsidRDefault="00762775" w:rsidP="00762775">
      <w:pPr>
        <w:pStyle w:val="NormalHanging12a"/>
      </w:pPr>
      <w:r w:rsidRPr="0084442B">
        <w:t>L</w:t>
      </w:r>
      <w:r w:rsidR="001B48AB" w:rsidRPr="0084442B">
        <w:t>.</w:t>
      </w:r>
      <w:r w:rsidRPr="0084442B">
        <w:tab/>
        <w:t>der henviser til, at Europa-Parlamentet fortsat er en troværdig partner for tiltrædelseslandene og er fortaler for, at udvidelsesprocessen skal muliggøre institutionelle og socioøkonomiske reformer til gavn for borgerne;</w:t>
      </w:r>
    </w:p>
    <w:p w14:paraId="10EBAF9E" w14:textId="77777777" w:rsidR="00762775" w:rsidRPr="0084442B" w:rsidRDefault="00762775" w:rsidP="00762775">
      <w:pPr>
        <w:pStyle w:val="NormalHanging12a"/>
        <w:rPr>
          <w:b/>
          <w:i/>
          <w:iCs/>
        </w:rPr>
      </w:pPr>
      <w:r w:rsidRPr="0084442B">
        <w:rPr>
          <w:b/>
          <w:i/>
        </w:rPr>
        <w:t>Den geostrategiske dimension af udvidelsen</w:t>
      </w:r>
    </w:p>
    <w:p w14:paraId="3CBCFA2B" w14:textId="77777777" w:rsidR="00762775" w:rsidRPr="0084442B" w:rsidRDefault="00762775" w:rsidP="00762775">
      <w:pPr>
        <w:pStyle w:val="Normal12Hanging"/>
        <w:rPr>
          <w:lang w:val="da-DK"/>
        </w:rPr>
      </w:pPr>
      <w:r w:rsidRPr="0084442B">
        <w:rPr>
          <w:rStyle w:val="NormalHanging12aChar"/>
        </w:rPr>
        <w:t>1.</w:t>
      </w:r>
      <w:r w:rsidRPr="0084442B">
        <w:rPr>
          <w:rStyle w:val="NormalHanging12aChar"/>
        </w:rPr>
        <w:tab/>
        <w:t>gentager, at udvidelse udgør et strategisk modsvar på de nye geopolitiske realiteter og er en særdeles vigtig investering i EU's sikkerhed og stabilitet i lyset af Ruslands uindskrænkede angrebskrig mod Ukraine og dets gentagne grænsekrænkelser, hybridangreb og andre fjendtlige handlinger mod sine nabolande og i lyset af andre fælles geopolitiske udfordringer, som kræver en langsigtet politisk demokrativision og resolut handling og fremskridt hen imod fuldførelsen af det europæiske projekt;</w:t>
      </w:r>
    </w:p>
    <w:p w14:paraId="38D61F2F" w14:textId="77777777" w:rsidR="00762775" w:rsidRPr="0084442B" w:rsidRDefault="00762775" w:rsidP="00762775">
      <w:pPr>
        <w:pStyle w:val="NormalHanging12a"/>
      </w:pPr>
      <w:r w:rsidRPr="0084442B">
        <w:t>2.</w:t>
      </w:r>
      <w:r w:rsidRPr="0084442B">
        <w:tab/>
        <w:t>gentager, at udvidelse er en win</w:t>
      </w:r>
      <w:r w:rsidRPr="0084442B">
        <w:noBreakHyphen/>
        <w:t>win-situation for både nuværende og fremtidige medlemsstater; indskærper, at det er politisk presserende, at EU udviser aktivt engagement i udvidelsesprocessen, også med henblik på at sikre EU's troværdighed over for udvidelseslandene og deres samfund; insisterer på, at en udvidelse af EU vil styrke den europæiske sikkerhed og økonomi; understreger endnu en gang, at fremtiden for Vestbalkan, Ukraine og Moldova ligger i EU, i overensstemmelse med deres befolkningers ambitioner; understreger, at omkostningerne ved ikke at udvide overstiger omkostningerne ved at fuldende processen, og at manglende udvidelse risikerer at skabe geopolitiske gråzoner, der er sårbare over for ildesindet påvirkning fra tredjelande, som søger at udvide deres politiske, økonomiske og strategiske indflydelse;</w:t>
      </w:r>
    </w:p>
    <w:p w14:paraId="09772691" w14:textId="77777777" w:rsidR="00762775" w:rsidRPr="0084442B" w:rsidRDefault="00762775" w:rsidP="00762775">
      <w:pPr>
        <w:pStyle w:val="NormalHanging12a"/>
      </w:pPr>
      <w:r w:rsidRPr="0084442B">
        <w:t>3.</w:t>
      </w:r>
      <w:r w:rsidRPr="0084442B">
        <w:tab/>
        <w:t xml:space="preserve">understreger, at tiltrædelse er et vigtigt redskab til at fremme varig fred, demokrati, retsstatsprincippet og de grundlæggende rettigheder og til at befordre regional forsoning og stabilitet og beskytte kandidatlandene og EU's nabolande mod ildesindet udenlandsk indblanding, navnlig fra Rusland; mener, at udvidelsespolitikken er uundværlig for EU's </w:t>
      </w:r>
      <w:r w:rsidRPr="0084442B">
        <w:lastRenderedPageBreak/>
        <w:t>indflydelse i tider med tiltagende geopolitisk ustabilitet; understreger, at EU's velstand og sikkerhed hviler på dets evne til at forsvare demokratiet, retsstaten, menneskerettighederne og den regelbaserede multilaterale verdensorden; minder om de fælles kulturelle, historiske og menneskelige bånd, der forener udvidelseslandene og medlemslandene;</w:t>
      </w:r>
    </w:p>
    <w:p w14:paraId="3B0F5002" w14:textId="77777777" w:rsidR="00762775" w:rsidRPr="0084442B" w:rsidRDefault="00762775" w:rsidP="00762775">
      <w:pPr>
        <w:pStyle w:val="NormalHanging12a"/>
        <w:rPr>
          <w:b/>
          <w:bCs/>
          <w:i/>
        </w:rPr>
      </w:pPr>
      <w:r w:rsidRPr="0084442B">
        <w:rPr>
          <w:b/>
          <w:i/>
        </w:rPr>
        <w:t xml:space="preserve">Strategiske prioriteter for udvidelse af EU: meritbaseret proces og </w:t>
      </w:r>
      <w:proofErr w:type="spellStart"/>
      <w:r w:rsidRPr="0084442B">
        <w:rPr>
          <w:b/>
          <w:i/>
        </w:rPr>
        <w:t>konditionalitet</w:t>
      </w:r>
      <w:proofErr w:type="spellEnd"/>
    </w:p>
    <w:p w14:paraId="557D3391" w14:textId="77777777" w:rsidR="00762775" w:rsidRPr="0084442B" w:rsidRDefault="00762775" w:rsidP="00762775">
      <w:pPr>
        <w:pStyle w:val="NormalHanging12a"/>
      </w:pPr>
      <w:r w:rsidRPr="0084442B">
        <w:t>4.</w:t>
      </w:r>
      <w:r w:rsidRPr="0084442B">
        <w:tab/>
        <w:t>glæder sig over de senere års fremskridt, som gør en udvidelse af EU sandsynlig i den nærmeste fremtid; roser Montenegro og Albanien for deres markante fremskridt, og noterer sig deres ambitioner om at afslutte forhandlingerne inden udgangen af henholdsvis 2026 og 2027; opfordrer indtrængende EU-institutionerne, navnlig Rådet, til at modsvare denne ambition, at fjerne hindringer fra EU's side og derved at øge processens troværdighed og forudsigelighed, samtidig med at princippet om en "strengt meritbaseret tilgang" respekteres fuldt ud; glæder sig over, at Bosnien-Hercegovina har kandidatstatus, og opfordrer landet til at tage yderligere skridt til at gennemføre reformer;</w:t>
      </w:r>
    </w:p>
    <w:p w14:paraId="3F302F85" w14:textId="77777777" w:rsidR="00762775" w:rsidRPr="0084442B" w:rsidRDefault="00762775" w:rsidP="00762775">
      <w:pPr>
        <w:pStyle w:val="NormalHanging12a"/>
      </w:pPr>
      <w:r w:rsidRPr="0084442B">
        <w:t>5.</w:t>
      </w:r>
      <w:r w:rsidRPr="0084442B">
        <w:tab/>
        <w:t>roser Ukraines bemærkelsesværdige modstandsdygtighed og ihærdighed på dets europæiske vej, trods Ruslands angrebskrig; opfordrer EU og dets medlemsstater til fortsat at støtte Ukraine og beklager, at Rådet ikke er nået til enighed om at anvende indefrosne russiske aktiver; roser Moldova for dets markante fremskridt hen imod tiltrædelse af EU og for at have afsluttet screeningprocessen trods de vedvarende hybridtrusler; opfordrer til en hurtig åbning af forhandlingsklynger med Ukraine og Moldova, og opfordrer indtrængende den ungarske regering til ikke at blokere yderligere for forhandlingerne;</w:t>
      </w:r>
    </w:p>
    <w:p w14:paraId="369BE619" w14:textId="77777777" w:rsidR="00762775" w:rsidRPr="0084442B" w:rsidRDefault="00762775" w:rsidP="00762775">
      <w:pPr>
        <w:pStyle w:val="NormalHanging12a"/>
      </w:pPr>
      <w:r w:rsidRPr="0084442B">
        <w:t>6.</w:t>
      </w:r>
      <w:r w:rsidRPr="0084442B">
        <w:tab/>
        <w:t>gentager, at enhver europæisk stat i henhold til artikel 49 i TEU kan ansøge om at blive medlem af EU, forudsat at den respekterer de værdier, der er fastsat i artikel 2 i TEU, herunder respekt for den menneskelige værdighed, frihed, demokrati, ligestilling, retsstaten og menneskerettighederne, herunder mindretalsrettigheder; bemærker den øgede tilslutning til EU-medlemskab i flere lande, som tidligere har haft planer om at blive medlem af EU, bl.a. Island, som senest i 2027 vil afholde en folkeafstemning om genoptagelse af tiltrædelsesforhandlingerne, og tilskynder EU's ledelse til fortsat at opbygge tættere forbindelser med de pågældende lande; bemærker, at det armenske parlament den 26. marts 2025 vedtog en lov, der formelt støtter armensk EU-medlemskab og opfordrer landets regering til at indlede EU-tiltrædelsesprocessen, og mener, at vedvarende reformer, der konsoliderer Armeniens demokrati, kan indvarsle en helt ny epoke i forbindelserne mellem EU og Armenien; glæder sig over Grønlands potentielle initiativer til at styrke sine politiske, institutionelle og økonomiske forbindelser med EU på baggrund af stigende opbakning for tiltrædelse af EU;</w:t>
      </w:r>
    </w:p>
    <w:p w14:paraId="15D70C53" w14:textId="77777777" w:rsidR="00762775" w:rsidRPr="0084442B" w:rsidRDefault="00762775" w:rsidP="00762775">
      <w:pPr>
        <w:pStyle w:val="NormalHanging12a"/>
      </w:pPr>
      <w:r w:rsidRPr="0084442B">
        <w:t>7.</w:t>
      </w:r>
      <w:r w:rsidRPr="0084442B">
        <w:tab/>
        <w:t>minder om, at tidligere udvidelsesrunder har affødt betydelig økonomisk vækst i både nye og gamle medlemsstater; understreger, at den frie bevægelighed har medført bedre jobmuligheder og lønninger og mindsket fattigdommen gennem remitteringer; påpeger, at udvidelsen har haft en positiv indvirkning på levestandarden ved at forbedre arbejdsmarkedslovgivningen, sundhed og sikkerhed, ligestilling mellem kønnene, digitale tjenester, uddannelse og kampen mod forskelsbehandling;</w:t>
      </w:r>
    </w:p>
    <w:p w14:paraId="76008B50" w14:textId="77777777" w:rsidR="00762775" w:rsidRPr="0084442B" w:rsidRDefault="00762775" w:rsidP="00762775">
      <w:pPr>
        <w:pStyle w:val="NormalHanging12a"/>
      </w:pPr>
      <w:r w:rsidRPr="0084442B">
        <w:t>8.</w:t>
      </w:r>
      <w:r w:rsidRPr="0084442B">
        <w:tab/>
        <w:t xml:space="preserve">gentager, at tiltrædelse fortsat skal være en meritbaseret og reversibel proces, og at hvert ansøgerland skal vurderes ud fra Københavnskriterierne, tilpasning til gældende EU-ret og alle de øvrige betingelser i udvidelsesrammen; indskærper, at hvert lands vej mod </w:t>
      </w:r>
      <w:r w:rsidRPr="0084442B">
        <w:lastRenderedPageBreak/>
        <w:t>EU-integration skal vurderes ud fra dets egne meritter, og at intet land bør kobles sammen med et andet eller behandles som en del af en pakke; indskærper, at der ikke kan skydes genvej, hvad angår EU's værdier og grundlæggende principper;</w:t>
      </w:r>
    </w:p>
    <w:p w14:paraId="0DED80FD" w14:textId="77777777" w:rsidR="00762775" w:rsidRPr="0084442B" w:rsidRDefault="00762775" w:rsidP="00762775">
      <w:pPr>
        <w:pStyle w:val="NormalHanging12a"/>
      </w:pPr>
      <w:r w:rsidRPr="0084442B">
        <w:t>9.</w:t>
      </w:r>
      <w:r w:rsidRPr="0084442B">
        <w:tab/>
        <w:t>indskærper, at processen ganske vist bør gøres mere gradvis og dynamisk med tydelige reformmål, køreplaner og mellemliggende tidsplaner, men at der ikke kan bevilges hastebehandling, da dette kan skade tiltrædelsesprocessens integritet; bemærker, at flere kandidatlande allerede har opstillet ambitiøse mål for afslutning af forhandlingerne, hvilket bør tilskyndes, når sådanne mål opfølges med konkrete reformer;</w:t>
      </w:r>
    </w:p>
    <w:p w14:paraId="6B7A2660" w14:textId="77777777" w:rsidR="00762775" w:rsidRPr="0084442B" w:rsidRDefault="00762775" w:rsidP="00762775">
      <w:pPr>
        <w:pStyle w:val="NormalHanging12a"/>
      </w:pPr>
      <w:r w:rsidRPr="0084442B">
        <w:t>10.</w:t>
      </w:r>
      <w:r w:rsidRPr="0084442B">
        <w:tab/>
        <w:t>indskærper, at retsstatsprincippet, demokratiske reformer, pressefrihed og grundlæggende rettigheder, herunder mindretalsrettigheder, fortsat skal stå i centrum ved udvidelser af EU; fremhæver vigtigheden af et uafhængigt retsvæsen, korruptionsbekæmpelse, inddragelse af og støtte til civilsamfundet samt et rummeligt miljø uden intimidering som afgørende forudsætninger for at opnå holdbare fremskridt hen imod EU-medlemskab, navnlig i en tid præget af stigende autoritære tendenser; indskærper, at fremskridt med hensyn til grundprincipperne skal være retningsgivende for alle forhandlingskapitlerne;</w:t>
      </w:r>
    </w:p>
    <w:p w14:paraId="481F211E" w14:textId="77777777" w:rsidR="00762775" w:rsidRPr="0084442B" w:rsidRDefault="00762775" w:rsidP="00762775">
      <w:pPr>
        <w:pStyle w:val="NormalHanging12a"/>
      </w:pPr>
      <w:r w:rsidRPr="0084442B">
        <w:t>11.</w:t>
      </w:r>
      <w:r w:rsidRPr="0084442B">
        <w:tab/>
        <w:t>indskærper, at det er nødvendigt at opnå ligestilling mellem kønnene og at integrere ligestillingsprincippet politisk, bl.a. ved at bekæmpe kønsbaseret vold og vold i hjemmet, beskytte børns rettigheder og deres adgang til undervisning af høj kvalitet og fuldt ud gennemføre princippet om ikkeforskelsbehandling, herunder mod LGBTIQ+-befolkningen og personer med handicap, op igennem hele tiltrædelsesprocessen; indskærper, at menneskerettighederne skal beskyttes, ikke kun i lovgivningen, men også gennem konsekvent gennemførelse i praksis; indskærper, at det er nødvendigt at samtlige udvidelseslande garanterer, at deres mindretal er reelt repræsenteret på alle forvaltningsniveauer, bevarer deres kulturelle og sproglige identitet, sikrer adgang til undervisning af høj kvalitet på mindretalssprog og effektivt bekæmper hadefulde ytringer og hadforbrydelser;</w:t>
      </w:r>
    </w:p>
    <w:p w14:paraId="6D4659A2" w14:textId="77777777" w:rsidR="00762775" w:rsidRPr="0084442B" w:rsidRDefault="00762775" w:rsidP="00762775">
      <w:pPr>
        <w:pStyle w:val="NormalHanging12a"/>
      </w:pPr>
      <w:r w:rsidRPr="0084442B">
        <w:t>12.</w:t>
      </w:r>
      <w:r w:rsidRPr="0084442B">
        <w:tab/>
        <w:t>opfordrer Kommissionen til i sin årlige rapport om retsstatssituationen at medtage alle udvidelseslande, der ikke allerede er omfattet af denne rapport; er særlig bekymret over de vedvarende brister og stilstanden i retsreformerne, forsøg på at omgøre fremskridtene med korruptionsbekæmpelse, de ringe fremskridt med reformer af den offentlige forvaltning og den utilstrækkelige tilpasning af valglovgivningen til de europæiske standarder samt over den samfundsmæssige polarisering, indskrænkningen af civilsamfundets råderum og undertrykkelsen af retten til at deltage i fredelige forsamlinger i nogle af udvidelseslandene;</w:t>
      </w:r>
    </w:p>
    <w:p w14:paraId="3EE97E9C" w14:textId="77777777" w:rsidR="00762775" w:rsidRPr="0084442B" w:rsidRDefault="00762775" w:rsidP="00762775">
      <w:pPr>
        <w:pStyle w:val="NormalHanging12a"/>
      </w:pPr>
      <w:r w:rsidRPr="0084442B">
        <w:t>13.</w:t>
      </w:r>
      <w:r w:rsidRPr="0084442B">
        <w:tab/>
        <w:t>indskærper, at der ikke – hverken i EU eller i lande, der ønsker at opnå EU-medlemskab – kan tolereres nogen form for agitatorisk retorik, benægtelse af folkedrab eller forherligelse af krigsforbrydere fra nogen side; understreger, at opgør med fortiden er den eneste vej til reel forsoning, hvilket er afgørende for at sikre velstående samfund og en vellykket integration;</w:t>
      </w:r>
    </w:p>
    <w:p w14:paraId="1EAAE9BC" w14:textId="77777777" w:rsidR="00762775" w:rsidRPr="0084442B" w:rsidRDefault="00762775" w:rsidP="00762775">
      <w:pPr>
        <w:pStyle w:val="NormalHanging12a"/>
      </w:pPr>
      <w:r w:rsidRPr="0084442B">
        <w:t>14.</w:t>
      </w:r>
      <w:r w:rsidRPr="0084442B">
        <w:tab/>
        <w:t xml:space="preserve">tilskynder udvidelseslandene til at fortsætte med resolut og rettidigt at gennemføre de påkrævede reformer og til at gøre konkrete og irreversible fremskridt, begyndende med grundprincipperne; insisterer på, at der kræves en kontinuerlig indsats for at fremme mediepluralisme, forsvare journalisters rettigheder, beskytte arbejdsvilkårene for undersøgende journalistik og sikre ytringsfrihed i samtlige udvidelseslande, og at der skal indføres effektive mekanismer til at håndtere hadefulde ytringer, smædekampagner, </w:t>
      </w:r>
      <w:r w:rsidRPr="0084442B">
        <w:lastRenderedPageBreak/>
        <w:t>chikane, intimidering og angreb rettet mod journalister; insisterer på, at sådanne lovovertrædelser skal efterforskes og retsforfølges, samtidig med at der sættes ind over for mediekoncentration, politisk og økonomisk pression samt manglende gennemsigtighed med hensyn til mediernes finansiering og ejerskab;</w:t>
      </w:r>
    </w:p>
    <w:p w14:paraId="1DD59A94" w14:textId="77777777" w:rsidR="00762775" w:rsidRPr="0084442B" w:rsidRDefault="00762775" w:rsidP="00762775">
      <w:pPr>
        <w:pStyle w:val="NormalHanging12a"/>
      </w:pPr>
      <w:r w:rsidRPr="0084442B">
        <w:t>15.</w:t>
      </w:r>
      <w:r w:rsidRPr="0084442B">
        <w:tab/>
        <w:t>indskærper, at det er nødvendigt i højere grad at inddrage borgerne og civilsamfundet i udvidelsesprocessen; fremhæver den rolle, som civilsamfundsorganisationer med dokumenterede resultater og sektorspecifik ekspertise spiller med hensyn til screening, forhandling, gennemførelse og overvågning af reformer, sikring af gennemsigtighed, ansvarsdragelse samt offentlighedens tillid til tiltrædelsesprocessen; fremhæver, at det vigtigt at yde vedvarende støtte til civilsamfundsorganisationers arbejde og at garantere sikre arbejdsvilkår for dem; opfordrer indtrængende til at øge landenes opmærksomhed om, hvor vigtigt det er at støtte civilsamfundet og øge statens støtte til civilsamfundets aktiviteter, bl.a. for at forberede sig på ændringer i finansieringen efter EU-tiltrædelsen;</w:t>
      </w:r>
    </w:p>
    <w:p w14:paraId="2697EBF8" w14:textId="77777777" w:rsidR="00762775" w:rsidRPr="0084442B" w:rsidRDefault="00762775" w:rsidP="00762775">
      <w:pPr>
        <w:pStyle w:val="NormalHanging12a"/>
      </w:pPr>
      <w:r w:rsidRPr="0084442B">
        <w:t>16.</w:t>
      </w:r>
      <w:r w:rsidRPr="0084442B">
        <w:tab/>
        <w:t>gentager sin holdning om, at kandidatlandenes tilpasning til EU's fælles udenrigs- og sikkerhedspolitik er en afgørende indikator for deres klare geostrategiske orientering, engagement i EU's grundlæggende værdier og principper samt deres parathed til fremtidigt EU-medlemskab;</w:t>
      </w:r>
    </w:p>
    <w:p w14:paraId="2D445885" w14:textId="77777777" w:rsidR="00762775" w:rsidRPr="0084442B" w:rsidRDefault="00762775" w:rsidP="00762775">
      <w:pPr>
        <w:pStyle w:val="NormalHanging12a"/>
      </w:pPr>
      <w:r w:rsidRPr="0084442B">
        <w:t>17.</w:t>
      </w:r>
      <w:r w:rsidRPr="0084442B">
        <w:tab/>
        <w:t>bemærker, at visse kandidatlande – først og fremmest Ukraine – allerede nu bidrager til Europas sikkerhed og forsvar; udtrykker sin dybeste respekt og taknemmelighed over for den ukrainske befolkning, som hver dag betaler den højeste pris for at bevare den europæiske levevis;</w:t>
      </w:r>
    </w:p>
    <w:p w14:paraId="3204AE79" w14:textId="77777777" w:rsidR="00762775" w:rsidRPr="0084442B" w:rsidRDefault="00762775" w:rsidP="00762775">
      <w:pPr>
        <w:pStyle w:val="NormalHanging12a"/>
      </w:pPr>
      <w:r w:rsidRPr="0084442B">
        <w:t>18.</w:t>
      </w:r>
      <w:r w:rsidRPr="0084442B">
        <w:tab/>
        <w:t xml:space="preserve">glæder sig over, at dialogen mellem EU og dets partnere på Vestbalkan vedrørende EU's fælles udenrigs- og sikkerhedspolitik er blevet genoptaget, og understreger, hvor vigtige disse partnerskaber er for freden og sikkerheden; opfordrer indtrængende alle kandidatlande og potentielle kandidatlande til at prioritere en hurtig og fuldstændig tilpasning til EU's fælles udenrigs- og sikkerhedspolitik og gentager, at et givet lands tiltrædelse først kan fortsætte, når det fuldt ud har tilpasset sig EU's fælles udenrigs- og sikkerhedspolitik, bl.a. ved at vedtage og indføre restriktive foranstaltninger, som er i overensstemmelse med EU's visumpolitik; </w:t>
      </w:r>
      <w:bookmarkStart w:id="8" w:name="_Hlk217046534"/>
      <w:r w:rsidRPr="0084442B">
        <w:t xml:space="preserve">bemærker, at de mest bekymrende udviklingstendenser og demokratiske tilbageskridt fortsat udspiller sig i de udvidelseslande, som har tilpasset sig allermindst til EU's fælles udenrigs- og sikkerhedspolitik, og i de lande, hvis EU-tiltrædelsesproces reelt er gået helt i stå, især Serbien, Georgien og Tyrkiet; opfordrer indtrængende EU og medlemsstaterne til at gøre deres yderste for at modvirke, at de øvrige udvidelseslande følger i samme fodspor; </w:t>
      </w:r>
      <w:bookmarkEnd w:id="8"/>
      <w:r w:rsidRPr="0084442B">
        <w:t>understreger, at systematiske afvigelser fra tilpasningen til EU's fælles udenrigs- og sikkerhedspolitik udgør en grundlæggende hindring for EU-tiltrædelse; forventer, at kandidatlande og potentielle kandidatlande også fuldt ud tilpasser sig den fælles sikkerheds- og forsvarspolitik, herunder dens principper, mål og missioner, som et centralt element i tiltrædelsesprocessen; opfordrer Rådet for Udenrigsanliggender til at indbyde udenrigsministrene fra de udvidelseslande, som er helt på linje med EU's fælles udenrigs- og sikkerhedspolitik, til at deltage i dets topmøder som gæster;</w:t>
      </w:r>
    </w:p>
    <w:p w14:paraId="78A62EB9" w14:textId="77777777" w:rsidR="00762775" w:rsidRPr="0084442B" w:rsidRDefault="00762775" w:rsidP="00762775">
      <w:pPr>
        <w:pStyle w:val="NormalHanging12a"/>
      </w:pPr>
      <w:r w:rsidRPr="0084442B">
        <w:t>19.</w:t>
      </w:r>
      <w:r w:rsidRPr="0084442B">
        <w:tab/>
        <w:t xml:space="preserve">bemærker, hvor vigtigt det er at styrke kandidatlandenes rolle i den europæiske sikkerheds- og forsvarspolitik, og er fortaler for, at de på meritbasis kan deltage i udvalgte EU-instrumenter, </w:t>
      </w:r>
      <w:r w:rsidRPr="0084442B">
        <w:noBreakHyphen/>
        <w:t xml:space="preserve">programmer og </w:t>
      </w:r>
      <w:r w:rsidRPr="0084442B">
        <w:noBreakHyphen/>
        <w:t xml:space="preserve">projekter, og at de kan opnå observatørstatus i Det Europæiske Forsvarsagentur; opfordrer indtrængende til at inddrage kandidatlande i drøftelserne om og tilsagnet om at yde sikkerhedsgarantier til Ukraine; anerkender, at flere kandidatlande har ydet bidrag til EU-missioner under den </w:t>
      </w:r>
      <w:r w:rsidRPr="0084442B">
        <w:lastRenderedPageBreak/>
        <w:t>fælles sikkerheds- og forsvarspolitik og bekæmpet udenlandsk EU-fjendtlig informationsmanipulation, indblanding og hybridtrusler, og understreger, at tættere integration styrker den kollektive sikkerhed og modstandsdygtighed over for hybridtrusler;</w:t>
      </w:r>
    </w:p>
    <w:p w14:paraId="1A5B5616" w14:textId="77777777" w:rsidR="00762775" w:rsidRPr="0084442B" w:rsidRDefault="00762775" w:rsidP="00762775">
      <w:pPr>
        <w:pStyle w:val="NormalHanging12a"/>
      </w:pPr>
      <w:r w:rsidRPr="0084442B">
        <w:t>20.</w:t>
      </w:r>
      <w:r w:rsidRPr="0084442B">
        <w:tab/>
        <w:t>påpeger, at kandidatlandenes manglende tilpasning til EU's fælles udenrigs- og sikkerhedspolitik udgør en sikkerhedsrisiko for EU, f.eks. ved at give tredjelandsborgere mulighed for at opnå visumfri indrejse i EU ved at tildele dem statsborgerskab i et kandidatland eller ved yderligere at øge deres afhængighed af Kina; insisterer på, at der skal opstilles klare betingelser vedrørende kandidatlandenes forbindelser med EU's geopolitiske rivaler, som søger at undergrave den regelbaserede verdensorden og svække Europa;</w:t>
      </w:r>
    </w:p>
    <w:p w14:paraId="3D024C9B" w14:textId="77777777" w:rsidR="00762775" w:rsidRPr="0084442B" w:rsidRDefault="00762775" w:rsidP="00762775">
      <w:pPr>
        <w:pStyle w:val="NormalHanging12a"/>
      </w:pPr>
      <w:r w:rsidRPr="0084442B">
        <w:t>21.</w:t>
      </w:r>
      <w:r w:rsidRPr="0084442B">
        <w:tab/>
        <w:t>understreger, at regionalt samarbejde, navnlig på Vestbalkan, er en forudsætning for tiltrædelse af EU; understreger, at forsoning, der fører til godt naboskab, er afgørende for en vellykket tiltrædelse af EU; understreger endvidere, at eventuelle uafklarede bilaterale stridspunkter mellem EU-lande og tredjelande bør løses bilateralt i overensstemmelse med folkeretten og ikke bør anvendes som påskud for at blokere for udvidelsesprocessen; advarer om, at uforholdsmæssigt store forsinkelser kan have negative konsekvenser for både folkeopinionen og det politiske engagement i kandidatlandene;</w:t>
      </w:r>
    </w:p>
    <w:p w14:paraId="1C419C25" w14:textId="77777777" w:rsidR="00762775" w:rsidRPr="0084442B" w:rsidRDefault="00762775" w:rsidP="00762775">
      <w:pPr>
        <w:pStyle w:val="NormalHanging12a"/>
      </w:pPr>
      <w:r w:rsidRPr="0084442B">
        <w:t>22.</w:t>
      </w:r>
      <w:r w:rsidRPr="0084442B">
        <w:tab/>
        <w:t>minder om, at EU-tiltrædelsesprocessen afhænger af, at kandidatlandene opfylder de betingelser, der er opstillet i EU's forhandlingsrammer, at de befordrer godt naboskab, og at de overholder deres bilaterale og internationale aftaler i overensstemmelse med Københavnskriterierne, og er baseret på kandidatlandenes egne meritter; opfordrer Rådet til at forhindre, at eventuelle bilaterale stridspunkter, som ikke vedrører Københavnskriterierne, blokerer for fremskridt;</w:t>
      </w:r>
    </w:p>
    <w:p w14:paraId="1C0FF602" w14:textId="77777777" w:rsidR="00762775" w:rsidRPr="0084442B" w:rsidRDefault="00762775" w:rsidP="00762775">
      <w:pPr>
        <w:pStyle w:val="NormalHanging12a"/>
      </w:pPr>
      <w:r w:rsidRPr="0084442B">
        <w:t>23.</w:t>
      </w:r>
      <w:r w:rsidRPr="0084442B">
        <w:tab/>
        <w:t xml:space="preserve">understreger betydningen af dialogen mellem Beograd og </w:t>
      </w:r>
      <w:proofErr w:type="spellStart"/>
      <w:r w:rsidRPr="0084442B">
        <w:t>Pristina</w:t>
      </w:r>
      <w:proofErr w:type="spellEnd"/>
      <w:r w:rsidRPr="0084442B">
        <w:t xml:space="preserve">, som er afgørende for, at Serbien og Kosovo kan komme videre på deres respektive europæiske vej og vil bidrage til regional stabilitet og velstand, samt betydningen af en fortsat gennemførelse i god tro af </w:t>
      </w:r>
      <w:proofErr w:type="spellStart"/>
      <w:r w:rsidRPr="0084442B">
        <w:t>Prespaaftalen</w:t>
      </w:r>
      <w:proofErr w:type="spellEnd"/>
      <w:r w:rsidRPr="0084442B">
        <w:t xml:space="preserve"> mellem Nordmakedonien og Grækenland og traktaten om venskab, godt naboskab og samarbejde mellem Nordmakedonien og Bulgarien i overensstemmelse med EU's forhandlingsramme;</w:t>
      </w:r>
    </w:p>
    <w:p w14:paraId="2B5D77E7" w14:textId="77777777" w:rsidR="00762775" w:rsidRPr="0084442B" w:rsidRDefault="00762775" w:rsidP="00762775">
      <w:pPr>
        <w:pStyle w:val="NormalHanging12a"/>
      </w:pPr>
      <w:r w:rsidRPr="0084442B">
        <w:t>24.</w:t>
      </w:r>
      <w:r w:rsidRPr="0084442B">
        <w:tab/>
        <w:t>gentager sin holdning om, hvor vigtigt det er at åbne og offentliggøre historiske arkiver fra krigsårene og fra kommunisttiden for at afstedkomme yderligere sandhedssøgning og forsoning og styrke demokratisk regeringsførelse; fremhæver, hvor vigtigt det er fuldt ud at efterleve nationale og internationale domstolsafgørelser, at opfylde internationale forpligtelser vedrørende krigsforbrydelser og efterlyste personer samt at bekæmpe forherligelse af krigsforbrydere og historisk revisionisme;</w:t>
      </w:r>
    </w:p>
    <w:p w14:paraId="3BCDB634" w14:textId="77777777" w:rsidR="00762775" w:rsidRPr="0084442B" w:rsidRDefault="00762775" w:rsidP="00762775">
      <w:pPr>
        <w:pStyle w:val="NormalHanging12a"/>
      </w:pPr>
      <w:r w:rsidRPr="0084442B">
        <w:t>25.</w:t>
      </w:r>
      <w:r w:rsidRPr="0084442B">
        <w:tab/>
        <w:t>påpeger, at den meritbaserede tilgang indebærer, at tiltrædelsesforhandlingerne kan fastfryses eller rulles tilbage i tilfælde af tilbageskridt med hensyn til de grundlæggende værdier, hvorefter forhandlingerne først bliver genoptaget, når der er gjort betydelige fremskridt i reformarbejdet; indskærper, at lande, som ikke lever op til forventningerne med hensyn til demokratisk regeringsførelse, skal stilles til regnskab herfor, så det sikres, at tiltrædelsesprocessen reelt forbliver meritbaseret; gentager, at EU proaktivt skal støtte de demokratiske søjler i kandidatlandene for at styrke stabiliteten og reformtempoet;</w:t>
      </w:r>
    </w:p>
    <w:p w14:paraId="5DD3C833" w14:textId="77777777" w:rsidR="00762775" w:rsidRPr="0084442B" w:rsidRDefault="00762775" w:rsidP="00762775">
      <w:pPr>
        <w:pStyle w:val="NormalHanging12a"/>
      </w:pPr>
      <w:r w:rsidRPr="0084442B">
        <w:lastRenderedPageBreak/>
        <w:t>26.</w:t>
      </w:r>
      <w:r w:rsidRPr="0084442B">
        <w:tab/>
        <w:t>opfordrer til en grundig evaluering af udvidelsespolitikken, hvad angår både indhold og substans, for at vurdere, hvorfor nogle udvidelseslande har gjort så begrænsede fremskridt, navnlig med hensyn til retsstatsprincippet, menneskerettigheder og demokrati; opfordrer til en evaluering af de opnåede fremskridt, ikke kun på det lovgivningsmæssige område, men også med hensyn til gennemførelsen;</w:t>
      </w:r>
    </w:p>
    <w:p w14:paraId="20B4282B" w14:textId="77777777" w:rsidR="00762775" w:rsidRPr="0084442B" w:rsidRDefault="00762775" w:rsidP="00762775">
      <w:pPr>
        <w:pStyle w:val="NormalHanging12a"/>
      </w:pPr>
      <w:r w:rsidRPr="0084442B">
        <w:t>27.</w:t>
      </w:r>
      <w:r w:rsidRPr="0084442B">
        <w:tab/>
        <w:t>opfordrer Kommissionen til at oprette en gruppe til at overvåge gennemførelsen af reformer i "grundprincipklyngen", hvor hurtige fremskridt eller tilbageskridt ofte er mest synlige og i væsentlig grad kan påvirke tiltrædelsesprocessens troværdighed og bæredygtighed;</w:t>
      </w:r>
    </w:p>
    <w:p w14:paraId="3A75B2B8" w14:textId="77777777" w:rsidR="00762775" w:rsidRPr="0084442B" w:rsidRDefault="00762775" w:rsidP="00762775">
      <w:pPr>
        <w:pStyle w:val="NormalHanging12a"/>
      </w:pPr>
      <w:r w:rsidRPr="0084442B">
        <w:t>28.</w:t>
      </w:r>
      <w:r w:rsidRPr="0084442B">
        <w:tab/>
        <w:t>anerkender, at alvorlige fejl i tidligere, nu afsluttede udvidelsesprocesser har skabt mulighed for demokratiske tilbageskridt efter EU-tiltrædelsen, hvilket har undergravet troværdigheden i EU's udvidelsespolitik; bemærker, at EU i de kandidatlande, hvor der ikke er gjort tilstrækkelige fremskridt hen imod EU-medlemskab, bør øge sin bistand til EU-venlige demokratiske aktører i civilsamfundet, som er engageret i reformer og europæiske værdier;</w:t>
      </w:r>
    </w:p>
    <w:p w14:paraId="5056000E" w14:textId="77777777" w:rsidR="00762775" w:rsidRPr="0084442B" w:rsidRDefault="00762775" w:rsidP="00762775">
      <w:pPr>
        <w:pStyle w:val="NormalHanging12a"/>
      </w:pPr>
      <w:r w:rsidRPr="0084442B">
        <w:t>29.</w:t>
      </w:r>
      <w:r w:rsidRPr="0084442B">
        <w:tab/>
        <w:t>opfordrer EU-delegationerne på stedet til konsekvent at anlægge en troværdig og meritbaseret tilgang baseret på overholdelse af retsstatsprincippet og beskyttelse af menneskerettighederne;</w:t>
      </w:r>
    </w:p>
    <w:p w14:paraId="0E4CF04E" w14:textId="77777777" w:rsidR="00762775" w:rsidRPr="0084442B" w:rsidRDefault="00762775" w:rsidP="00762775">
      <w:pPr>
        <w:pStyle w:val="NormalHanging12a"/>
        <w:rPr>
          <w:b/>
          <w:i/>
        </w:rPr>
      </w:pPr>
      <w:r w:rsidRPr="0084442B">
        <w:rPr>
          <w:b/>
          <w:i/>
        </w:rPr>
        <w:t>Sikring af en velfungerende udvidet Union</w:t>
      </w:r>
    </w:p>
    <w:p w14:paraId="38ABA44C" w14:textId="77777777" w:rsidR="00762775" w:rsidRPr="0084442B" w:rsidRDefault="00762775" w:rsidP="00762775">
      <w:pPr>
        <w:pStyle w:val="NormalHanging12a"/>
      </w:pPr>
      <w:r w:rsidRPr="0084442B">
        <w:t>30.</w:t>
      </w:r>
      <w:r w:rsidRPr="0084442B">
        <w:tab/>
        <w:t>mener, at processen med at forberede udvidelsen bør fortsætte parallelt inden for både EU og udvidelseslandene for at sikre en velfungerende udvidet Union;</w:t>
      </w:r>
    </w:p>
    <w:p w14:paraId="2BCAC7C9" w14:textId="77777777" w:rsidR="00762775" w:rsidRPr="0084442B" w:rsidRDefault="00762775" w:rsidP="00762775">
      <w:pPr>
        <w:pStyle w:val="NormalHanging12a"/>
      </w:pPr>
      <w:r w:rsidRPr="0084442B">
        <w:t>31.</w:t>
      </w:r>
      <w:r w:rsidRPr="0084442B">
        <w:tab/>
        <w:t>gentager sin opfordring til EU-institutionerne og medlemsstaterne om at gennemføre de påkrævede reformer for at gøre EU stærkere og for at forbedre Europas strategiske autonomi, hvilket vil sikre, at manglen på sådanne reformer ikke forsinker nye medlemsstaters tiltrædelse;</w:t>
      </w:r>
    </w:p>
    <w:p w14:paraId="1D5F2B22" w14:textId="77777777" w:rsidR="00762775" w:rsidRPr="0084442B" w:rsidRDefault="00762775" w:rsidP="00762775">
      <w:pPr>
        <w:pStyle w:val="Normal12Hanging"/>
        <w:rPr>
          <w:lang w:val="da-DK"/>
        </w:rPr>
      </w:pPr>
      <w:r w:rsidRPr="0084442B">
        <w:rPr>
          <w:lang w:val="da-DK"/>
        </w:rPr>
        <w:t>32.</w:t>
      </w:r>
      <w:r w:rsidRPr="0084442B">
        <w:rPr>
          <w:lang w:val="da-DK"/>
        </w:rPr>
        <w:tab/>
        <w:t xml:space="preserve">gentager sin opfordring om at styrke EU's handleevne ved at indføre afstemning med kvalificeret flertal på områder, der er relevante for tiltrædelsesprocessen, ved især at afskaffe kravet om enstemmighed på de mellemliggende trin i udvidelsesprocessen, når der træffes afgørelse om at åbne og lukke individuelle forhandlingsklynger og </w:t>
      </w:r>
      <w:r w:rsidRPr="0084442B">
        <w:rPr>
          <w:lang w:val="da-DK"/>
        </w:rPr>
        <w:noBreakHyphen/>
        <w:t>kapitler; beklager, at den overdrevne brug af enstemmighed på de mellemliggende trin i udvidelsesprocessen gentagne gange har bremset EU's udvidelse og undergraver den folkelige opbakning til EU-integrationen;</w:t>
      </w:r>
    </w:p>
    <w:p w14:paraId="0119C0B2" w14:textId="5A28B512" w:rsidR="00762775" w:rsidRPr="0084442B" w:rsidRDefault="00AB24E1" w:rsidP="00762775">
      <w:pPr>
        <w:pStyle w:val="NormalHanging12a"/>
      </w:pPr>
      <w:r>
        <w:t>33</w:t>
      </w:r>
      <w:r w:rsidR="00762775" w:rsidRPr="0084442B">
        <w:t>.</w:t>
      </w:r>
      <w:r w:rsidR="00762775" w:rsidRPr="0084442B">
        <w:tab/>
        <w:t>mener, at en revision af EU's sektorpolitikker er nødvendig for at vurdere, hvordan der kan tages hensyn til nye medlemsstater, og for at sikre en velfungerende udvidet Union; glæder sig over de kommende revisioner af politikkerne forud for udvidelser som et vigtigt skridt til at forberede Unionen på at optage nye medlemmer;</w:t>
      </w:r>
    </w:p>
    <w:p w14:paraId="54020BFC" w14:textId="66B768BA" w:rsidR="00762775" w:rsidRPr="0084442B" w:rsidRDefault="00AB24E1" w:rsidP="00762775">
      <w:pPr>
        <w:pStyle w:val="NormalHanging12a"/>
      </w:pPr>
      <w:r>
        <w:t>34</w:t>
      </w:r>
      <w:r w:rsidR="00762775" w:rsidRPr="0084442B">
        <w:t>.</w:t>
      </w:r>
      <w:r w:rsidR="00762775" w:rsidRPr="0084442B">
        <w:tab/>
        <w:t>understreger, at udvidelsesprocessen rummer et betydeligt potentiale for konvergens på en række vigtige områder såsom økonomi, miljøbeskyttelse og sikkerhed, som tidligere udvidelsesrunder har vist; glæder sig over de tidlige konvergensvirkninger, som allerede nu er udløst af det europæiske perspektiv; understreger, at samhørighedspolitikken og den fælles landbrugspolitik spiller en central rolle med hensyn til at fremme konvergens mellem EU's medlemsstater og bør beskyttes også i en udvidet Union;</w:t>
      </w:r>
    </w:p>
    <w:p w14:paraId="6D92998A" w14:textId="253984B5" w:rsidR="00762775" w:rsidRPr="0084442B" w:rsidRDefault="00AB24E1" w:rsidP="00762775">
      <w:pPr>
        <w:pStyle w:val="NormalHanging12a"/>
      </w:pPr>
      <w:r>
        <w:t>35</w:t>
      </w:r>
      <w:r w:rsidR="00762775" w:rsidRPr="0084442B">
        <w:t>.</w:t>
      </w:r>
      <w:r w:rsidR="00762775" w:rsidRPr="0084442B">
        <w:tab/>
        <w:t xml:space="preserve">anerkender, hvor vigtigt det er i bred forstand at benytte en gradvis integration, som er </w:t>
      </w:r>
      <w:r w:rsidR="00762775" w:rsidRPr="0084442B">
        <w:lastRenderedPageBreak/>
        <w:t>meritbaseret og reversibel, ind i EU's fælles politikker – såsom det indre marked, herunder også det digitale indre marked – af de kandidatlande, der gør væsentlige fremskridt med EU-relaterede reformer, samtidig med at integriteten af EU's indre marked og lige konkurrencevilkår bevares fuldt ud; understreger, at en gradvis integration af kandidatlandene kan hjælpe dem med at gennemføre gældende EU-ret og dermed gøre overgangen til et EU-medlemskab mere gnidningsløs, men at dette ikke kan erstatte et fuldgyldigt medlemskab af EU; understreger, at fremtidige medlemsstater bør have samme rettigheder og forpligtelser som de nuværende medlemsstater, og modsætter sig på det kraftigste skabelsen af forskellige medlemskabsklasser;</w:t>
      </w:r>
    </w:p>
    <w:p w14:paraId="2C192404" w14:textId="2AA4E521" w:rsidR="00762775" w:rsidRPr="0084442B" w:rsidRDefault="00AB24E1" w:rsidP="00762775">
      <w:pPr>
        <w:pStyle w:val="NormalHanging12a"/>
      </w:pPr>
      <w:r>
        <w:t>36</w:t>
      </w:r>
      <w:r w:rsidR="00762775" w:rsidRPr="0084442B">
        <w:t>.</w:t>
      </w:r>
      <w:r w:rsidR="00762775" w:rsidRPr="0084442B">
        <w:tab/>
        <w:t>fremhæver, at det mest udbytterige og populære resultat af den gradvise integration er visumliberaliseringen; bifalder de nye regler, som vil give mulighed for at suspendere visumliberaliseringen for statsborgere fra udvidelseslande, som har foranlediget demokratiske tilbageskridt og begået alvorlige krænkelser af menneskerettighederne, herunder forfølgelse af og voldsudøvelse mod fredelige demonstranter, civilsamfundet, pressen og oppositionspolitikere;</w:t>
      </w:r>
    </w:p>
    <w:p w14:paraId="5B87820C" w14:textId="12F6E082" w:rsidR="00762775" w:rsidRPr="0084442B" w:rsidRDefault="00AB24E1" w:rsidP="00762775">
      <w:pPr>
        <w:pStyle w:val="NormalHanging12a"/>
      </w:pPr>
      <w:r>
        <w:t>37</w:t>
      </w:r>
      <w:r w:rsidR="00762775" w:rsidRPr="0084442B">
        <w:t>.</w:t>
      </w:r>
      <w:r w:rsidR="00762775" w:rsidRPr="0084442B">
        <w:tab/>
        <w:t xml:space="preserve">understreger, at kandidatlandene bør gives mulighed for gradvis integration i overensstemmelse med den meritbaserede tilgang og </w:t>
      </w:r>
      <w:proofErr w:type="spellStart"/>
      <w:r w:rsidR="00762775" w:rsidRPr="0084442B">
        <w:t>konditionalitetstilgangen</w:t>
      </w:r>
      <w:proofErr w:type="spellEnd"/>
      <w:r w:rsidR="00762775" w:rsidRPr="0084442B">
        <w:t>; fremhæver, at det er afgørende at sikre, at en gradvis integration kan rulles tilbage i tilfælde af tilbageskridt med hensyn til kandidatlandenes forpligtelser;</w:t>
      </w:r>
    </w:p>
    <w:p w14:paraId="7894E2F8" w14:textId="240F9393" w:rsidR="00762775" w:rsidRPr="0084442B" w:rsidRDefault="00AB24E1" w:rsidP="00762775">
      <w:pPr>
        <w:pStyle w:val="NormalHanging12a"/>
      </w:pPr>
      <w:r>
        <w:t>38</w:t>
      </w:r>
      <w:r w:rsidR="00762775" w:rsidRPr="0084442B">
        <w:t>.</w:t>
      </w:r>
      <w:r w:rsidR="00762775" w:rsidRPr="0084442B">
        <w:tab/>
        <w:t>gentager, at udvidelsesprocessen bør understøttes ved at inddrage kandidatlandene i EU-institutionernes virke, bl.a. gennem observatørstatus i relevante organer og institutioner, heriblandt Parlamentet og EU's Agentur for Grundlæggende Rettigheder;</w:t>
      </w:r>
    </w:p>
    <w:p w14:paraId="02D4316B" w14:textId="049D38A9" w:rsidR="00762775" w:rsidRPr="0084442B" w:rsidRDefault="00AB24E1" w:rsidP="00762775">
      <w:pPr>
        <w:pStyle w:val="NormalHanging12a"/>
      </w:pPr>
      <w:r>
        <w:t>39</w:t>
      </w:r>
      <w:r w:rsidR="00762775" w:rsidRPr="0084442B">
        <w:t>.</w:t>
      </w:r>
      <w:r w:rsidR="00762775" w:rsidRPr="0084442B">
        <w:tab/>
        <w:t>understreger, hvor vigtigt det er, at man i de europæiske samfund fremmer offentlighedens kendskab til EU's udvidelse og den rolle, som udvidelsen spiller med hensyn til at fremtidssikre den europæiske integration; fremhæver, at en vellykket udvidelsesproces i høj grad vil afhænge af en klar og gennemsigtig kommunikationsstrategi;</w:t>
      </w:r>
    </w:p>
    <w:p w14:paraId="217889F3" w14:textId="77777777" w:rsidR="00762775" w:rsidRPr="0084442B" w:rsidRDefault="00762775" w:rsidP="00762775">
      <w:pPr>
        <w:pStyle w:val="Normal12Hanging"/>
        <w:rPr>
          <w:b/>
          <w:bCs/>
          <w:i/>
          <w:iCs/>
          <w:lang w:val="da-DK"/>
        </w:rPr>
      </w:pPr>
      <w:r w:rsidRPr="0084442B">
        <w:rPr>
          <w:b/>
          <w:i/>
          <w:lang w:val="da-DK"/>
        </w:rPr>
        <w:t>Støtte til udvidelseslandene på deres vej hen imod EU-medlemskab</w:t>
      </w:r>
    </w:p>
    <w:p w14:paraId="2850EBF9" w14:textId="1E935F19" w:rsidR="00762775" w:rsidRPr="0084442B" w:rsidRDefault="00AB24E1" w:rsidP="00762775">
      <w:pPr>
        <w:pStyle w:val="NormalHanging12a"/>
      </w:pPr>
      <w:r>
        <w:t>40</w:t>
      </w:r>
      <w:r w:rsidR="00762775" w:rsidRPr="0084442B">
        <w:t>.</w:t>
      </w:r>
      <w:r w:rsidR="00762775" w:rsidRPr="0084442B">
        <w:tab/>
        <w:t>understreger, at EU – ud over at fastsætte individuelle reformmål, køreplaner og mellemliggende tidsplaner for hvert tiltrædelsesland – bør øge gennemsigtigheden i processen og fastsætte klare og forudsigelige tidsplaner for tiltrædelsen af de kandidatlande, der er nået længst på deres vej mod tiltrædelse, for at undgå at miste momentum og troværdighed; mener, at udvidelsen af EU bør ske, så snart samtlige tiltrædelsesbetingelser er opfyldt i de pågældende kandidatlande;</w:t>
      </w:r>
    </w:p>
    <w:p w14:paraId="43797EE2" w14:textId="16B4024C" w:rsidR="00762775" w:rsidRPr="0084442B" w:rsidRDefault="00AB24E1" w:rsidP="00762775">
      <w:pPr>
        <w:pStyle w:val="NormalHanging12a"/>
      </w:pPr>
      <w:r>
        <w:t>41</w:t>
      </w:r>
      <w:r w:rsidR="00762775" w:rsidRPr="0084442B">
        <w:t>.</w:t>
      </w:r>
      <w:r w:rsidR="00762775" w:rsidRPr="0084442B">
        <w:tab/>
        <w:t>indskærper, at vigtige reformer, der påvirker institutionernes virke og uafhængighed, ikke må hastes igennem eller instrumentaliseres politisk, navnlig i kandidatlande med komplekse forfatningsmæssige ordninger; indskærper, at forhastede procedurer eller tidspres for at overholde politiske tidsfrister ikke må gå ud over reformernes juridiske kvalitet og institutionelle integritet;</w:t>
      </w:r>
    </w:p>
    <w:p w14:paraId="27056C42" w14:textId="12C8EAA4" w:rsidR="00762775" w:rsidRPr="0084442B" w:rsidRDefault="00AB24E1" w:rsidP="00762775">
      <w:pPr>
        <w:pStyle w:val="NormalHanging12a"/>
      </w:pPr>
      <w:r>
        <w:t>42</w:t>
      </w:r>
      <w:r w:rsidR="00762775" w:rsidRPr="0084442B">
        <w:t>.</w:t>
      </w:r>
      <w:r w:rsidR="00762775" w:rsidRPr="0084442B">
        <w:tab/>
        <w:t xml:space="preserve">mener, at finansiel </w:t>
      </w:r>
      <w:proofErr w:type="spellStart"/>
      <w:r w:rsidR="00762775" w:rsidRPr="0084442B">
        <w:t>førtiltrædelsesbistand</w:t>
      </w:r>
      <w:proofErr w:type="spellEnd"/>
      <w:r w:rsidR="00762775" w:rsidRPr="0084442B">
        <w:t xml:space="preserve">, herunder faciliteten for Vestbalkan, Ukrainefaciliteten og faciliteten for Moldova, er afgørende for at sikre, at udvidelseslandene ydes struktureret finansiel støtte til institutionel og økonomisk omstilling; indskærper, at al finansiel bistand fra EU skal opfylde og opretholde betingelserne for </w:t>
      </w:r>
      <w:proofErr w:type="spellStart"/>
      <w:r w:rsidR="00762775" w:rsidRPr="0084442B">
        <w:t>førtiltrædelsesbistand</w:t>
      </w:r>
      <w:proofErr w:type="spellEnd"/>
      <w:r w:rsidR="00762775" w:rsidRPr="0084442B">
        <w:t xml:space="preserve">, bl.a. vedrørende retsstatsprincippet og </w:t>
      </w:r>
      <w:r w:rsidR="00762775" w:rsidRPr="0084442B">
        <w:lastRenderedPageBreak/>
        <w:t xml:space="preserve">korruptionsbekæmpelse, for at beskytte de finansielle interesser, som EU og de respektive parters borgere har; konstaterer, at det er nødvendigt at tilpasse metoderne til gennemførelse af instrumentet til </w:t>
      </w:r>
      <w:proofErr w:type="spellStart"/>
      <w:r w:rsidR="00762775" w:rsidRPr="0084442B">
        <w:t>førtiltrædelsesbistand</w:t>
      </w:r>
      <w:proofErr w:type="spellEnd"/>
      <w:r w:rsidR="00762775" w:rsidRPr="0084442B">
        <w:t xml:space="preserve"> for at lette den forberedelses- og læringsproces, der kræves for at anvende strukturfondene;</w:t>
      </w:r>
    </w:p>
    <w:p w14:paraId="1616F6BF" w14:textId="40DE3E90" w:rsidR="00762775" w:rsidRPr="0084442B" w:rsidRDefault="00AB24E1" w:rsidP="00762775">
      <w:pPr>
        <w:pStyle w:val="NormalHanging12a"/>
      </w:pPr>
      <w:r>
        <w:t>43</w:t>
      </w:r>
      <w:r w:rsidR="00762775" w:rsidRPr="0084442B">
        <w:t>.</w:t>
      </w:r>
      <w:r w:rsidR="00762775" w:rsidRPr="0084442B">
        <w:tab/>
        <w:t>påpeger, at udvidelse kræver finansielle reformer for at håndtere udfordringer inden for bl.a. samhørigheds- og landbrugspolitikken og for at sikre EU-budgettets fortsatte kapacitet til at realisere eksisterende programmer og politiske prioriteter;</w:t>
      </w:r>
    </w:p>
    <w:p w14:paraId="0A04BDE7" w14:textId="291301DD" w:rsidR="00762775" w:rsidRPr="0084442B" w:rsidRDefault="00AB24E1" w:rsidP="00762775">
      <w:pPr>
        <w:pStyle w:val="NormalHanging12a"/>
      </w:pPr>
      <w:r>
        <w:t>44</w:t>
      </w:r>
      <w:r w:rsidR="00762775" w:rsidRPr="0084442B">
        <w:t>.</w:t>
      </w:r>
      <w:r w:rsidR="00762775" w:rsidRPr="0084442B">
        <w:tab/>
        <w:t xml:space="preserve">bemærker, at Kommissionen i sit forslag til </w:t>
      </w:r>
      <w:r w:rsidR="008A616C">
        <w:t>den flerårige finansielle ramme (</w:t>
      </w:r>
      <w:proofErr w:type="spellStart"/>
      <w:r w:rsidR="00762775" w:rsidRPr="0084442B">
        <w:t>FFR'en</w:t>
      </w:r>
      <w:proofErr w:type="spellEnd"/>
      <w:r w:rsidR="008A616C">
        <w:t>)</w:t>
      </w:r>
      <w:r w:rsidR="00762775" w:rsidRPr="0084442B">
        <w:t xml:space="preserve"> for 2028</w:t>
      </w:r>
      <w:r w:rsidR="00762775" w:rsidRPr="0084442B">
        <w:noBreakHyphen/>
        <w:t xml:space="preserve">2034 klart angiver udvidelse som værende en af Unionens strategiske prioriteter; fremhæver, at udvidelse udgør en central søjle i instrumentet for et globalt Europa, idet udvidelse tegner sig for 21 % (eller 43,1 mia. EUR) af instrumentets foreslåede budget, som omfatter alle nuværende og potentielle kandidatlande samt partnere i de østlige nabolande og yder målrettet finansiering til </w:t>
      </w:r>
      <w:proofErr w:type="spellStart"/>
      <w:r w:rsidR="00762775" w:rsidRPr="0084442B">
        <w:t>førtiltrædelsesbistand</w:t>
      </w:r>
      <w:proofErr w:type="spellEnd"/>
      <w:r w:rsidR="00762775" w:rsidRPr="0084442B">
        <w:t>, institutionel styrkelse og EU's interne forberedelser til fremtidige tiltrædelser;</w:t>
      </w:r>
    </w:p>
    <w:p w14:paraId="72F60974" w14:textId="593B562C" w:rsidR="00762775" w:rsidRPr="0084442B" w:rsidRDefault="00AB24E1" w:rsidP="00762775">
      <w:pPr>
        <w:pStyle w:val="NormalHanging12a"/>
      </w:pPr>
      <w:r>
        <w:t>45</w:t>
      </w:r>
      <w:r w:rsidR="00762775" w:rsidRPr="0084442B">
        <w:t>.</w:t>
      </w:r>
      <w:r w:rsidR="00762775" w:rsidRPr="0084442B">
        <w:tab/>
        <w:t xml:space="preserve">opfordrer til at afsætte tilstrækkelig </w:t>
      </w:r>
      <w:proofErr w:type="spellStart"/>
      <w:r w:rsidR="00762775" w:rsidRPr="0084442B">
        <w:t>førtiltrædelsesfinansiering</w:t>
      </w:r>
      <w:proofErr w:type="spellEnd"/>
      <w:r w:rsidR="00762775" w:rsidRPr="0084442B">
        <w:t xml:space="preserve"> under den nye FFR, som er egnet til den forventede EU-udvidelse under dens anvendelsesperiode, da nogle af kandidatlandene sandsynligvis vil tiltræde EU i løbet af anvendelsesperioden for den kommende FFR; opfordrer til tydelig og konsekvent tildeling og øremærkning af </w:t>
      </w:r>
      <w:proofErr w:type="spellStart"/>
      <w:r w:rsidR="00762775" w:rsidRPr="0084442B">
        <w:t>førtiltrædelsesmidler</w:t>
      </w:r>
      <w:proofErr w:type="spellEnd"/>
      <w:r w:rsidR="00762775" w:rsidRPr="0084442B">
        <w:t xml:space="preserve"> til kandidatlande og potentielle kandidatlande under søjlen for et globalt Europa i FFR og indskærper, at disse midler skal beskyttes mod omdirigering til andre eksterne prioriteter og tydeligt bør afspejle prioriteterne vedrørende grundprincipperne og samtidig forbedre synligheden og gennemsigtigheden af </w:t>
      </w:r>
      <w:proofErr w:type="spellStart"/>
      <w:r w:rsidR="00762775" w:rsidRPr="0084442B">
        <w:t>førtiltrædelsesbistanden</w:t>
      </w:r>
      <w:proofErr w:type="spellEnd"/>
      <w:r w:rsidR="00762775" w:rsidRPr="0084442B">
        <w:t>; insisterer på, at midlerne direkte skal støtte retsstatsprincippet, reform af den offentlige forvaltning, social og territorial samhørighed og øget medindflydelse for og inddragelse af lokale civilsamfundsaktører og uafhængige medier med henblik på at sikre gennemsigtighed, modvirke misbrug af midler og opretholde de modtagende regeringers offentlige ansvarsdragelse; opfordrer Kommissionen til konsekvent at anvende målrettede betingelser baseret på klare benchmark for fremskridt, belønning for reformer og sanktionering af tilbageskridt eller vedvarende mangel på fremskridt;</w:t>
      </w:r>
    </w:p>
    <w:p w14:paraId="63D58C5E" w14:textId="5465BC7C" w:rsidR="00762775" w:rsidRPr="0084442B" w:rsidRDefault="00AB24E1" w:rsidP="00762775">
      <w:pPr>
        <w:pStyle w:val="NormalHanging12a"/>
      </w:pPr>
      <w:r>
        <w:t>46</w:t>
      </w:r>
      <w:r w:rsidR="00762775" w:rsidRPr="0084442B">
        <w:t>.</w:t>
      </w:r>
      <w:r w:rsidR="00762775" w:rsidRPr="0084442B">
        <w:tab/>
        <w:t>gentager sin opfordring til at indføre en ramme for et effektivt samarbejde mellem Den Europæiske Anklagemyndighed (EPPO) og tiltrædelseslandene; tilskynder alle kandidater og potentielle kandidater til EU-tiltrædelse til hurtigt at indgå bilaterale samarbejdsordninger med EPPO for at lette et tæt samarbejde og retsforfølgelse for misbrug af EU-midler;</w:t>
      </w:r>
    </w:p>
    <w:p w14:paraId="1276DB47" w14:textId="5DFCCD77" w:rsidR="00762775" w:rsidRPr="0084442B" w:rsidRDefault="00AB24E1" w:rsidP="00762775">
      <w:pPr>
        <w:pStyle w:val="NormalHanging12a"/>
        <w:rPr>
          <w:bCs/>
          <w:iCs/>
        </w:rPr>
      </w:pPr>
      <w:r>
        <w:t>47</w:t>
      </w:r>
      <w:r w:rsidR="00762775" w:rsidRPr="0084442B">
        <w:t>.</w:t>
      </w:r>
      <w:r w:rsidR="00762775" w:rsidRPr="0084442B">
        <w:tab/>
        <w:t>indskærper, at det er nødvendigt at styrke og bedre tilpasse finansieringen til gennemførelsen af miljø-, klima- og dyrevelfærdsforanstaltninger samt kapacitetsopbygningsstøtte til kandidatlandene; bemærker, at disse foranstaltninger er tværsektorielle, er behæftet med høje omkostninger og er afgørende for bæredygtig udvikling, for tilpasning til EU's grønne pagt og dyrevelfærdslovgivning og for integration i det indre marked;</w:t>
      </w:r>
    </w:p>
    <w:p w14:paraId="74C6E032" w14:textId="46634810" w:rsidR="00762775" w:rsidRPr="0084442B" w:rsidRDefault="00AB24E1" w:rsidP="00762775">
      <w:pPr>
        <w:pStyle w:val="NormalHanging12a"/>
      </w:pPr>
      <w:r>
        <w:t>48</w:t>
      </w:r>
      <w:r w:rsidR="00762775" w:rsidRPr="0084442B">
        <w:t>.</w:t>
      </w:r>
      <w:r w:rsidR="00762775" w:rsidRPr="0084442B">
        <w:tab/>
        <w:t xml:space="preserve">påpeger, hvor vigtigt det er at inddrage kandidatlandene i igangværende og fremtidige EU-projekter vedrørende EU's </w:t>
      </w:r>
      <w:proofErr w:type="spellStart"/>
      <w:r w:rsidR="00762775" w:rsidRPr="0084442B">
        <w:t>konnektivitet</w:t>
      </w:r>
      <w:proofErr w:type="spellEnd"/>
      <w:r w:rsidR="00762775" w:rsidRPr="0084442B">
        <w:t>, transport, energiinfrastruktur, grønne omstilling, digitale sikkerhed, modstandsdygtighed og militære mobilitet med henblik på at styrke Europas sikkerhed i et udfordrende geopolitisk miljø;</w:t>
      </w:r>
    </w:p>
    <w:p w14:paraId="0C93E138" w14:textId="69D074FD" w:rsidR="00762775" w:rsidRPr="0084442B" w:rsidRDefault="00AB24E1" w:rsidP="00762775">
      <w:pPr>
        <w:pStyle w:val="NormalHanging12a"/>
      </w:pPr>
      <w:r>
        <w:lastRenderedPageBreak/>
        <w:t>49</w:t>
      </w:r>
      <w:r w:rsidR="00762775" w:rsidRPr="0084442B">
        <w:t>.</w:t>
      </w:r>
      <w:r w:rsidR="00762775" w:rsidRPr="0084442B">
        <w:tab/>
        <w:t xml:space="preserve">understreger Sortehavsregionens strategiske betydning for sikkerheden og velstanden på hele det europæiske kontinent; indskærper, at det er nødvendigt at forbedre </w:t>
      </w:r>
      <w:proofErr w:type="spellStart"/>
      <w:r w:rsidR="00762775" w:rsidRPr="0084442B">
        <w:t>konnektiviteten</w:t>
      </w:r>
      <w:proofErr w:type="spellEnd"/>
      <w:r w:rsidR="00762775" w:rsidRPr="0084442B">
        <w:t xml:space="preserve"> mellem Ukraine, Moldova, Rumænien, Bulgarien og Tyrkiet via transport- og energiinfrastrukturer og digitale infrastrukturer med henblik på at styrke den regionale modstandsdygtighed, diversificere forsyningskæderne og sikre alternative handelsruter;</w:t>
      </w:r>
    </w:p>
    <w:p w14:paraId="2033C8FC" w14:textId="7D24EC51" w:rsidR="00762775" w:rsidRPr="0084442B" w:rsidRDefault="00AB24E1" w:rsidP="00762775">
      <w:pPr>
        <w:pStyle w:val="NormalHanging12a"/>
      </w:pPr>
      <w:r>
        <w:t>50</w:t>
      </w:r>
      <w:r w:rsidR="00762775" w:rsidRPr="0084442B">
        <w:t>.</w:t>
      </w:r>
      <w:r w:rsidR="00762775" w:rsidRPr="0084442B">
        <w:tab/>
        <w:t>understreger den strategiske betydning af transport- og energiinfrastrukturprojekter i EU's østlige nabolande og på Vestbalkan med henblik på at styrke EU's geostrategiske autonomi og opfordrer til, at sådanne projekter hurtigt færdiggøres og tages i drift;</w:t>
      </w:r>
    </w:p>
    <w:p w14:paraId="7DB22264" w14:textId="0C8ADA89" w:rsidR="00762775" w:rsidRPr="0084442B" w:rsidRDefault="00AB24E1" w:rsidP="00762775">
      <w:pPr>
        <w:pStyle w:val="NormalHanging12a"/>
      </w:pPr>
      <w:r>
        <w:t>51</w:t>
      </w:r>
      <w:r w:rsidR="00762775" w:rsidRPr="0084442B">
        <w:t>.</w:t>
      </w:r>
      <w:r w:rsidR="00762775" w:rsidRPr="0084442B">
        <w:tab/>
        <w:t>er foruroliget over Kinas stigende indflydelse i udvidelseslandene, den økonomiske og politiske afhængighed som følge af Kinas finansielle bistandsprogrammer og betydelige investeringer i nøglesektorer såsom energi, telekommunikation, infrastruktur og udvindings- og råstofsektoren samt over de langsigtede konsekvenser heraf for demokratiets modstandsdygtighed, den økonomiske sikkerhed og Europas interesser; efterlyser et stærkere og mere synligt EU-engagement, bl.a. gennem troværdige investeringsalternativer;</w:t>
      </w:r>
    </w:p>
    <w:p w14:paraId="35DE5508" w14:textId="45EE7E07" w:rsidR="00762775" w:rsidRPr="0084442B" w:rsidRDefault="00AB24E1" w:rsidP="00762775">
      <w:pPr>
        <w:pStyle w:val="NormalHanging12a"/>
      </w:pPr>
      <w:r>
        <w:t>52</w:t>
      </w:r>
      <w:r w:rsidR="00762775" w:rsidRPr="0084442B">
        <w:t>.</w:t>
      </w:r>
      <w:r w:rsidR="00762775" w:rsidRPr="0084442B">
        <w:tab/>
        <w:t>glæder sig over de konkrete fremskridt, der er opnået til gavn for borgerne ved at sænke roamingtaksterne mellem EU og Vestbalkan; opfordrer Kommissionen til at fremskynde arbejdet med at udvide sådanne roamingaftaler til at omfatte alle udvidelseslandene med henblik på snarest muligt at tilbyde samtlige kandidatlande og potentielle kandidatlande roaming til hjemmetakst og adgang til det fælles eurobetalingsområde (SEPA);</w:t>
      </w:r>
    </w:p>
    <w:p w14:paraId="2D70F3BE" w14:textId="6965BE96" w:rsidR="00762775" w:rsidRPr="0084442B" w:rsidRDefault="00AB24E1" w:rsidP="00762775">
      <w:pPr>
        <w:pStyle w:val="NormalHanging12a"/>
      </w:pPr>
      <w:r>
        <w:t>53</w:t>
      </w:r>
      <w:r w:rsidR="00762775" w:rsidRPr="0084442B">
        <w:t>.</w:t>
      </w:r>
      <w:r w:rsidR="00762775" w:rsidRPr="0084442B">
        <w:tab/>
        <w:t>opfordrer til større fokus på investeringer i menneskelig kapital for at fremme konkurrenceevne og innovation i kandidatlandene og til at søge konkrete løsninger til at nedbringe ungdomsarbejdsløsheden;</w:t>
      </w:r>
    </w:p>
    <w:p w14:paraId="61437FB6" w14:textId="7F4D7DD8" w:rsidR="00762775" w:rsidRPr="0084442B" w:rsidRDefault="00AB24E1" w:rsidP="00762775">
      <w:pPr>
        <w:pStyle w:val="NormalHanging12a"/>
      </w:pPr>
      <w:r>
        <w:t>54</w:t>
      </w:r>
      <w:r w:rsidR="00762775" w:rsidRPr="0084442B">
        <w:t>.</w:t>
      </w:r>
      <w:r w:rsidR="00762775" w:rsidRPr="0084442B">
        <w:tab/>
        <w:t>gentager sin opfordring til Rådet, Kommissionen og Tjenesten for EU's Optræden Udadtil (EU-Udenrigstjenesten) om at styrke det proaktive og strategiske kommunikationsarbejde i udvidelseslandene og i medlemsstaterne om de håndgribelige fordele ved et EU-medlemskab ved at udvikle skræddersyede, faktabaserede og resultatorienterede kommunikationsstrategier, som understøtter EU's målsætninger og inddrager lokale civilsamfund og medier, i stedet for at forlade sig på generiske oplysningskampagner; fremhæver i den forbindelse den afgørende rolle, som unge spiller, eftersom ungdomsbevægelser gentagne gange har vist sig at være afgørende for at bidrage til prodemokratisk aktivisme i kandidatlandene; gentager endvidere sin opfordring til Kommissionen om at sikre fuld synlighed af og offentligt kendskab til EU's støtte og investeringer i kandidatlandene – herunder også når EU's støtte og investeringer bliver kanaliseret via internationale organisationer – med tydelig angivelse af EU's rolle og visning af EU-flaget; påpeger, at eftersom USA har indstillet sin støtte til uafhængige medier og civilsamfundsaktører i kandidatlandene, har EU en stærk interesse i hurtigt at træde til; understreger, at borgernes opbakning bliver afgørende i ratificeringsprocessen, og at kommunikationen derfor skal appellere til både fornuft og følelser; opfordrer indtrængende EU-institutionerne til at befordre en inkluderende samfundsdebat om udvidelse, at inddrage den brede offentlighed i en meningsfuld debat og at muliggøre borgernes effektive deltagelse i processen; understreger, hvor vigtigt det er i højere grad at engagere borgerne på græsrodsniveau i udvidelsesprocessen, både i EU's medlemsstater og i tiltrædelseslandene;</w:t>
      </w:r>
    </w:p>
    <w:p w14:paraId="75875217" w14:textId="5AE1C340" w:rsidR="00762775" w:rsidRPr="0084442B" w:rsidRDefault="00AB24E1" w:rsidP="00762775">
      <w:pPr>
        <w:pStyle w:val="NormalHanging12a"/>
      </w:pPr>
      <w:r>
        <w:t>55</w:t>
      </w:r>
      <w:r w:rsidR="00762775" w:rsidRPr="0084442B">
        <w:t>.</w:t>
      </w:r>
      <w:r w:rsidR="00762775" w:rsidRPr="0084442B">
        <w:tab/>
        <w:t xml:space="preserve">fremhæver den nøglerolle, som udvidelseslandenes myndigheder og politiske ledere </w:t>
      </w:r>
      <w:r w:rsidR="00762775" w:rsidRPr="0084442B">
        <w:lastRenderedPageBreak/>
        <w:t>spiller med hensyn til at etablere et tværpolitisk samarbejde med henblik på EU-tiltrædelsesreformer, at fastholde en bred samfundsmæssig tilslutning til EU-medlemskab og at formidle fordelene ved EU-tiltrædelse til borgerne på en effektiv og sammenhængende måde; fremhæver civilsamfundsorganisationernes afgørende rolle med hensyn til at befordre en faktabaseret offentlig diskurs om EU-integration, bekæmpe desinformation og facilitere en veloplyst samfundsdebat; opfordrer Kommissionen og medlemsstaterne til systematisk at inddrage civilsamfundets aktører i det strategiske kommunikationsarbejde i forbindelse med udvidelse og EU-støttede reformer;</w:t>
      </w:r>
    </w:p>
    <w:p w14:paraId="6365288D" w14:textId="220C4ACA" w:rsidR="00762775" w:rsidRPr="0084442B" w:rsidRDefault="00AB24E1" w:rsidP="00762775">
      <w:pPr>
        <w:pStyle w:val="NormalHanging12a"/>
      </w:pPr>
      <w:r>
        <w:t>56</w:t>
      </w:r>
      <w:r w:rsidR="00762775" w:rsidRPr="0084442B">
        <w:t>.</w:t>
      </w:r>
      <w:r w:rsidR="00762775" w:rsidRPr="0084442B">
        <w:tab/>
        <w:t xml:space="preserve">opfordrer indtrængende Kommissionen til, også på højeste niveau, at formulere sig mere klart og direkte i sin kommunikation til offentligheden, bl.a. vedrørende mangelfuldheder, manglende fremskridt og tilbageskridt, navnlig med hensyn til retsstatsprincippet, med henblik på at opretholde </w:t>
      </w:r>
      <w:proofErr w:type="spellStart"/>
      <w:r w:rsidR="00762775" w:rsidRPr="0084442B">
        <w:t>konditionaliteten</w:t>
      </w:r>
      <w:proofErr w:type="spellEnd"/>
      <w:r w:rsidR="00762775" w:rsidRPr="0084442B">
        <w:t>, værne om EU's værdier og bevare tilliden blandt europavenlige og prodemokratiske aktører;</w:t>
      </w:r>
    </w:p>
    <w:p w14:paraId="3AD18E27" w14:textId="4C9DE75F" w:rsidR="00762775" w:rsidRPr="0084442B" w:rsidRDefault="00AB24E1" w:rsidP="00762775">
      <w:pPr>
        <w:pStyle w:val="NormalHanging12a"/>
      </w:pPr>
      <w:r>
        <w:t>57</w:t>
      </w:r>
      <w:r w:rsidR="00762775" w:rsidRPr="0084442B">
        <w:t>.</w:t>
      </w:r>
      <w:r w:rsidR="00762775" w:rsidRPr="0084442B">
        <w:tab/>
        <w:t>opfordrer EU-institutionerne og medlemsstaterne til at engagere sig fuldt ud i en yderligere styrkelse af reformprocesserne i kandidatlandene, navnlig ved at styrke deres administrative kapacitet gennem målrettede kapacitetsopbygningsprogrammer; opfordrer til at styrke det akademiske og uddannelsesmæssige samarbejde mellem EU's medlemsstater og udvidelseslandene ved at tilskynde til uddannelseskurser med fokus på de europæiske værdier og retsstatsprincippet, god regeringsførelse, offentlig forvaltning og udryddelse af korruption og ved at oprette et sted for fælles uddannelse af offentligt ansatte fra udvidelseslandene, herunder fra lokale og regionale myndigheder; fremhæver de positive resultater fra venskabsprojekter med hensyn til at bibringe sektorspecifik ekspertise, og indskærper, at det er nødvendigt at bygge videre på disse positive erfaringer, ikke mindst for at afstedkomme øget ansvarsfølelse i medlemsstaterne over for udvidelsesprocessen; understreger, at kapacitetsopbygningsprogrammer tillige bør prioritere at styrke de uafhængige civilsamfundsorganisationer og beskytte de miljøer, hvor de opererer; opfordrer Kommissionen til at støtte programmer, der øger medindflydelsen for lokalsamfund, frivillige og borgerinitiativer, som fremmer en demokratisk kultur, europæiske værdier og social samhørighed;</w:t>
      </w:r>
    </w:p>
    <w:p w14:paraId="14473B59" w14:textId="60C205FF" w:rsidR="00762775" w:rsidRPr="0084442B" w:rsidRDefault="00AB24E1" w:rsidP="00762775">
      <w:pPr>
        <w:pStyle w:val="NormalHanging12a"/>
      </w:pPr>
      <w:r>
        <w:t>58</w:t>
      </w:r>
      <w:r w:rsidR="00762775" w:rsidRPr="0084442B">
        <w:t>.</w:t>
      </w:r>
      <w:r w:rsidR="00762775" w:rsidRPr="0084442B">
        <w:tab/>
        <w:t xml:space="preserve">fremhæver den rolle, som parlamentarisk diplomati, ansvarsdragelse og EU's demokratistøtteordninger spiller med hensyn til at opretholde reformtempoet; gentager, at det er indstillet på at styrke en regelmæssig og gennemsigtig dialog og regelmæssigt og gennemsigtigt samarbejde med de nationale parlamenter i kandidatlandene og de potentielle kandidatlande ved at bygge videre på tidligere positive erfaringer og vellykkede formater, gøre fuld brug af Parlamentets eksisterende demokratistøtteværktøjer og </w:t>
      </w:r>
      <w:r w:rsidR="00762775" w:rsidRPr="0084442B">
        <w:noBreakHyphen/>
        <w:t>initiativer og ved at fremme øget parlamentarisk kontrol med EU-tiltrædelsesprocessen og dertil relaterede reformer;</w:t>
      </w:r>
    </w:p>
    <w:p w14:paraId="0BBC7C42" w14:textId="0E6CE35A" w:rsidR="00762775" w:rsidRPr="0084442B" w:rsidRDefault="00AB24E1" w:rsidP="00762775">
      <w:pPr>
        <w:pStyle w:val="NormalHanging12a"/>
      </w:pPr>
      <w:r>
        <w:t>59</w:t>
      </w:r>
      <w:r w:rsidR="00762775" w:rsidRPr="0084442B">
        <w:t>.</w:t>
      </w:r>
      <w:r w:rsidR="00762775" w:rsidRPr="0084442B">
        <w:tab/>
        <w:t xml:space="preserve">indskærper, at der er behov for valgreformer, som sikrer frie, retfærdige og demokratiske valg i overensstemmelse med internationale standarder; understreger, at </w:t>
      </w:r>
      <w:proofErr w:type="spellStart"/>
      <w:r w:rsidR="00762775" w:rsidRPr="0084442B">
        <w:t>benchmarks</w:t>
      </w:r>
      <w:proofErr w:type="spellEnd"/>
      <w:r w:rsidR="00762775" w:rsidRPr="0084442B">
        <w:t xml:space="preserve"> for pluralisme, partipolitisk integritet, gennemsigtighed i parti- og mediefinansiering samt retsvæsenets og mediernes uafhængighed er forudsætninger for finansiel støtte og fremskridt; opfordrer EU og medlemsstaterne til at benytte deltagelsesbaserede instrumenter med inddragelse af borgere, parlamenter, civilsamfundet og unge til at udveksle synspunkter, øge den gensidige forståelse og vække ansvarsfølelse forud for den formelle tiltrædelse;</w:t>
      </w:r>
    </w:p>
    <w:p w14:paraId="58F7A8EC" w14:textId="025AB3C3" w:rsidR="00762775" w:rsidRPr="0084442B" w:rsidRDefault="00AB24E1" w:rsidP="00762775">
      <w:pPr>
        <w:pStyle w:val="NormalHanging12a"/>
      </w:pPr>
      <w:r>
        <w:lastRenderedPageBreak/>
        <w:t>60</w:t>
      </w:r>
      <w:r w:rsidR="00762775" w:rsidRPr="0084442B">
        <w:t>.</w:t>
      </w:r>
      <w:r w:rsidR="00762775" w:rsidRPr="0084442B">
        <w:tab/>
        <w:t>er foruroliget over de omfattende og ildesindede desinformationskampagner, som Rusland og andre aktører i årevis kontinuerligt har ført, og som er blevet optrappet, siden Rusland indledte sin angrebskrig mod Ukraine; bemærker, at kandidatlandene, de potentielle kandidatlande og EU's nabolande helt åbenlyst har været måltavle for russisk informationsmanipulation og indblanding, og at et af målene hermed er at miskreditere EU og mindske opfattelsen af, at EU-integration er værdifuldt;</w:t>
      </w:r>
    </w:p>
    <w:p w14:paraId="3018415F" w14:textId="6CAEFEED" w:rsidR="00762775" w:rsidRPr="0084442B" w:rsidRDefault="00AB24E1" w:rsidP="00762775">
      <w:pPr>
        <w:pStyle w:val="NormalHanging12a"/>
      </w:pPr>
      <w:r>
        <w:t>61</w:t>
      </w:r>
      <w:r w:rsidR="00762775" w:rsidRPr="0084442B">
        <w:t>.</w:t>
      </w:r>
      <w:r w:rsidR="00762775" w:rsidRPr="0084442B">
        <w:tab/>
        <w:t xml:space="preserve">opfordrer til en dybere EU-dialog med civilsamfundet og til øget støtte til uafhængige undersøgende medier, faktatjekkende aktører og civilsamfundsorganisationer, der arbejder med </w:t>
      </w:r>
      <w:proofErr w:type="spellStart"/>
      <w:r w:rsidR="00762775" w:rsidRPr="0084442B">
        <w:t>mediekendskab</w:t>
      </w:r>
      <w:proofErr w:type="spellEnd"/>
      <w:r w:rsidR="00762775" w:rsidRPr="0084442B">
        <w:t xml:space="preserve"> med henblik på effektivt at bekæmpe desinformation og udenlandsk informationsmanipulation og indblanding; påpeger, at det er nødvendigt fortsat at støtte og arbejde tæt sammen med alle udvidelseslande, der er udsat for massiv udenlandsk indblanding i deres proces for konvergens med EU og i deres valgprocesser; opfordrer til at trække på erfaringerne fra EU's partnerskabsmission i Moldova; understreger, hvor vigtigt det er at vurdere og forbedre effektiviteten af de EU-instrumenter, der har til formål at bistå kandidatlandene i deres kamp mod udenlandsk informationsmanipulation og indblanding; bifalder Kommissionens planer om at udvide det foreslåede europæiske demokratiskjold til også at omfatte tiltrædelseslandene, hvilket vil styrke deres kapacitet til at sætte ind over for trusler såsom udenlandsk informationsmanipulation og indblanding og desinformationskampagner; opfordrer Kommissionen og EU-Udenrigstjenesten til at uddybe samarbejdet med sårbare udvidelseslande om informationsmodstandsdygtighed, </w:t>
      </w:r>
      <w:proofErr w:type="spellStart"/>
      <w:r w:rsidR="00762775" w:rsidRPr="0084442B">
        <w:t>cybersikkerhed</w:t>
      </w:r>
      <w:proofErr w:type="spellEnd"/>
      <w:r w:rsidR="00762775" w:rsidRPr="0084442B">
        <w:t xml:space="preserve"> og hybridtrusler; opfordrer EU-Udenrigstjenesten og EU-delegationerne i tredjelande til yderligere at styrke deres respektive kapacitet til at bekæmpe og modvirke desinformation og propaganda imod EU's fælles udenrigs- og sikkerhedspolitik, bl.a. ved at investere i oplysningskampagner til bekæmpelse af udenlandsk påvirkning;</w:t>
      </w:r>
    </w:p>
    <w:p w14:paraId="2D90B8F9" w14:textId="1076C80F" w:rsidR="00762775" w:rsidRPr="0084442B" w:rsidRDefault="00AB24E1" w:rsidP="00762775">
      <w:pPr>
        <w:pStyle w:val="NormalHanging12a"/>
      </w:pPr>
      <w:r>
        <w:t>62</w:t>
      </w:r>
      <w:r w:rsidR="00762775" w:rsidRPr="0084442B">
        <w:t>.</w:t>
      </w:r>
      <w:r w:rsidR="00762775" w:rsidRPr="0084442B">
        <w:tab/>
        <w:t>bemærker med bekymring, at Rusland i stigende grad har fremstillet sig selv som en global forsvarer af "traditionelle værdier" ved at instrumentalisere den russisk</w:t>
      </w:r>
      <w:r w:rsidR="00762775" w:rsidRPr="0084442B">
        <w:noBreakHyphen/>
        <w:t>ortodokse kirke til at sprede desinformation og udøve "blød magt", navnlig i landene i det tidligere Sovjetunionen; understreger, at sådanne taktikker er beregnet til at undergrave demokratiet, den sociale samhørighed og de europavenlige samfundsstrømninger; opfordrer til, at der i EU's fælles udenrigs- og sikkerhedspolitik indarbejdes konkrete modforanstaltninger mod denne påvirkning, herunder trosbaseret diplomati, strategisk kommunikation og støtte til trossamfund, som har været udsat for sovjetisk undertrykkelse;</w:t>
      </w:r>
    </w:p>
    <w:p w14:paraId="2414EBAB" w14:textId="77777777" w:rsidR="00762775" w:rsidRPr="0084442B" w:rsidRDefault="00762775" w:rsidP="00762775">
      <w:pPr>
        <w:pStyle w:val="Normal12Hanging"/>
        <w:jc w:val="center"/>
        <w:rPr>
          <w:szCs w:val="24"/>
          <w:lang w:val="da-DK"/>
        </w:rPr>
      </w:pPr>
      <w:r w:rsidRPr="0084442B">
        <w:rPr>
          <w:lang w:val="da-DK"/>
        </w:rPr>
        <w:t>°</w:t>
      </w:r>
    </w:p>
    <w:p w14:paraId="51A1D656" w14:textId="77777777" w:rsidR="00762775" w:rsidRPr="0084442B" w:rsidRDefault="00762775" w:rsidP="00762775">
      <w:pPr>
        <w:pStyle w:val="Normal12Hanging"/>
        <w:jc w:val="center"/>
        <w:rPr>
          <w:szCs w:val="24"/>
          <w:lang w:val="da-DK"/>
        </w:rPr>
      </w:pPr>
      <w:r w:rsidRPr="0084442B">
        <w:rPr>
          <w:lang w:val="da-DK"/>
        </w:rPr>
        <w:t>°</w:t>
      </w:r>
      <w:r w:rsidRPr="0084442B">
        <w:rPr>
          <w:lang w:val="da-DK"/>
        </w:rPr>
        <w:tab/>
        <w:t>°</w:t>
      </w:r>
    </w:p>
    <w:p w14:paraId="48A88B91" w14:textId="37E59887" w:rsidR="002D770F" w:rsidRPr="0084442B" w:rsidRDefault="00AB24E1" w:rsidP="002D770F">
      <w:pPr>
        <w:pStyle w:val="NormalHanging12a"/>
      </w:pPr>
      <w:r>
        <w:t>63</w:t>
      </w:r>
      <w:r w:rsidR="00762775" w:rsidRPr="0084442B">
        <w:t>.</w:t>
      </w:r>
      <w:r w:rsidR="00762775" w:rsidRPr="0084442B">
        <w:tab/>
        <w:t>pålægger sin formand at sende denne beslutning til Rådet, Kommissionen, næstformanden i Kommissionen/Unionens højtstående repræsentant for udenrigsanliggender og sikkerhedspolitik, medlemsstaternes regeringer og parlamenter og udvidelseslandenes regeringer og parlamenter.</w:t>
      </w:r>
    </w:p>
    <w:p w14:paraId="53A1E04E" w14:textId="6A0983C2" w:rsidR="00E365E1" w:rsidRPr="0084442B" w:rsidRDefault="00E365E1" w:rsidP="00511AA7"/>
    <w:sectPr w:rsidR="00E365E1" w:rsidRPr="0084442B" w:rsidSect="002D77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75116" w14:textId="77777777" w:rsidR="00511AA7" w:rsidRPr="002D770F" w:rsidRDefault="00511AA7">
      <w:r w:rsidRPr="002D770F">
        <w:separator/>
      </w:r>
    </w:p>
  </w:endnote>
  <w:endnote w:type="continuationSeparator" w:id="0">
    <w:p w14:paraId="5E39DDD0" w14:textId="77777777" w:rsidR="00511AA7" w:rsidRPr="002D770F" w:rsidRDefault="00511AA7">
      <w:r w:rsidRPr="002D77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56E0" w14:textId="77777777" w:rsidR="00511AA7" w:rsidRPr="002D770F" w:rsidRDefault="00511AA7">
      <w:r w:rsidRPr="002D770F">
        <w:separator/>
      </w:r>
    </w:p>
  </w:footnote>
  <w:footnote w:type="continuationSeparator" w:id="0">
    <w:p w14:paraId="4B51EAD3" w14:textId="77777777" w:rsidR="00511AA7" w:rsidRPr="002D770F" w:rsidRDefault="00511AA7">
      <w:r w:rsidRPr="002D770F">
        <w:continuationSeparator/>
      </w:r>
    </w:p>
  </w:footnote>
  <w:footnote w:id="1">
    <w:p w14:paraId="4729B14F" w14:textId="221C0363"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C, C/2024/4173, 2.8.2024, ELI: </w:t>
      </w:r>
      <w:hyperlink r:id="rId1" w:history="1">
        <w:r w:rsidRPr="002D770F">
          <w:rPr>
            <w:rStyle w:val="Hyperlink"/>
            <w:sz w:val="24"/>
            <w:lang w:val="da-DK"/>
          </w:rPr>
          <w:t>http://data.europa.eu/eli/C/2024/4173/oj</w:t>
        </w:r>
      </w:hyperlink>
      <w:r w:rsidRPr="002D770F">
        <w:rPr>
          <w:sz w:val="24"/>
          <w:lang w:val="da-DK"/>
        </w:rPr>
        <w:t xml:space="preserve">. </w:t>
      </w:r>
    </w:p>
  </w:footnote>
  <w:footnote w:id="2">
    <w:p w14:paraId="2583F79F" w14:textId="3E5938D6"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107 af 28.4.2009, s. 166, ELI: </w:t>
      </w:r>
      <w:hyperlink r:id="rId2" w:history="1">
        <w:r w:rsidRPr="002D770F">
          <w:rPr>
            <w:rStyle w:val="Hyperlink"/>
            <w:sz w:val="24"/>
            <w:lang w:val="da-DK"/>
          </w:rPr>
          <w:t>http://data.europa.eu/eli/agree_internation/2009/332/oj</w:t>
        </w:r>
      </w:hyperlink>
      <w:r w:rsidRPr="002D770F">
        <w:rPr>
          <w:sz w:val="24"/>
          <w:lang w:val="da-DK"/>
        </w:rPr>
        <w:t xml:space="preserve">. </w:t>
      </w:r>
    </w:p>
  </w:footnote>
  <w:footnote w:id="3">
    <w:p w14:paraId="52BF5305" w14:textId="3C7CC22D"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164 af 30.6.2015, s. 2, ELI: </w:t>
      </w:r>
      <w:hyperlink r:id="rId3" w:history="1">
        <w:r w:rsidRPr="002D770F">
          <w:rPr>
            <w:rStyle w:val="Hyperlink"/>
            <w:sz w:val="24"/>
            <w:lang w:val="da-DK"/>
          </w:rPr>
          <w:t>http://data.europa.eu/eli/agree_internation/2015/997/oj</w:t>
        </w:r>
      </w:hyperlink>
      <w:r w:rsidRPr="002D770F">
        <w:rPr>
          <w:sz w:val="24"/>
          <w:lang w:val="da-DK"/>
        </w:rPr>
        <w:t xml:space="preserve">. </w:t>
      </w:r>
    </w:p>
  </w:footnote>
  <w:footnote w:id="4">
    <w:p w14:paraId="10E0D2DE" w14:textId="31244AC8"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261 af 30.8.2014, s. 4, ELI: </w:t>
      </w:r>
      <w:hyperlink r:id="rId4" w:history="1">
        <w:r w:rsidRPr="002D770F">
          <w:rPr>
            <w:rStyle w:val="Hyperlink"/>
            <w:sz w:val="24"/>
            <w:lang w:val="da-DK"/>
          </w:rPr>
          <w:t>http://data.europa.eu/eli/agree_internation/2014/494/oj</w:t>
        </w:r>
      </w:hyperlink>
      <w:r w:rsidRPr="002D770F">
        <w:rPr>
          <w:sz w:val="24"/>
          <w:lang w:val="da-DK"/>
        </w:rPr>
        <w:t xml:space="preserve">. </w:t>
      </w:r>
    </w:p>
  </w:footnote>
  <w:footnote w:id="5">
    <w:p w14:paraId="1C063F48" w14:textId="6B4ABA2F"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71 af 16.3.2016, s. 3, ELI: </w:t>
      </w:r>
      <w:hyperlink r:id="rId5" w:history="1">
        <w:r w:rsidRPr="002D770F">
          <w:rPr>
            <w:rStyle w:val="Hyperlink"/>
            <w:sz w:val="24"/>
            <w:lang w:val="da-DK"/>
          </w:rPr>
          <w:t>http://data.europa.eu/eli/agree_internation/2016/342/oj</w:t>
        </w:r>
      </w:hyperlink>
      <w:r w:rsidRPr="002D770F">
        <w:rPr>
          <w:sz w:val="24"/>
          <w:lang w:val="da-DK"/>
        </w:rPr>
        <w:t xml:space="preserve">. </w:t>
      </w:r>
    </w:p>
  </w:footnote>
  <w:footnote w:id="6">
    <w:p w14:paraId="36B65C36" w14:textId="19E2BFD6"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260 af 30.8.2014, s. 4, ELI: </w:t>
      </w:r>
      <w:hyperlink r:id="rId6" w:history="1">
        <w:r w:rsidRPr="002D770F">
          <w:rPr>
            <w:rStyle w:val="Hyperlink"/>
            <w:sz w:val="24"/>
            <w:lang w:val="da-DK"/>
          </w:rPr>
          <w:t>http://data.europa.eu/eli/agree_internation/2014/492/oj</w:t>
        </w:r>
      </w:hyperlink>
      <w:r w:rsidRPr="002D770F">
        <w:rPr>
          <w:sz w:val="24"/>
          <w:lang w:val="da-DK"/>
        </w:rPr>
        <w:t xml:space="preserve">. </w:t>
      </w:r>
    </w:p>
  </w:footnote>
  <w:footnote w:id="7">
    <w:p w14:paraId="0CFC6028" w14:textId="5C090DD9"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108 af 29.4.2010, s. 3, ELI: </w:t>
      </w:r>
      <w:hyperlink r:id="rId7" w:history="1">
        <w:r w:rsidRPr="002D770F">
          <w:rPr>
            <w:rStyle w:val="Hyperlink"/>
            <w:sz w:val="24"/>
            <w:lang w:val="da-DK"/>
          </w:rPr>
          <w:t>http://data.europa.eu/eli/agree_internation/2010/224/oj</w:t>
        </w:r>
      </w:hyperlink>
      <w:r w:rsidRPr="002D770F">
        <w:rPr>
          <w:sz w:val="24"/>
          <w:lang w:val="da-DK"/>
        </w:rPr>
        <w:t xml:space="preserve">. </w:t>
      </w:r>
    </w:p>
  </w:footnote>
  <w:footnote w:id="8">
    <w:p w14:paraId="49019E85" w14:textId="796A490A"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w:t>
      </w:r>
      <w:r w:rsidRPr="002D770F">
        <w:rPr>
          <w:sz w:val="24"/>
          <w:lang w:val="da-DK"/>
        </w:rPr>
        <w:t xml:space="preserve">84 </w:t>
      </w:r>
      <w:r w:rsidR="00090179">
        <w:rPr>
          <w:sz w:val="24"/>
          <w:lang w:val="da-DK"/>
        </w:rPr>
        <w:t xml:space="preserve">af 20.3.2004, </w:t>
      </w:r>
      <w:r w:rsidRPr="002D770F">
        <w:rPr>
          <w:sz w:val="24"/>
          <w:lang w:val="da-DK"/>
        </w:rPr>
        <w:t xml:space="preserve">s. 13, ELI: </w:t>
      </w:r>
      <w:hyperlink r:id="rId8" w:history="1">
        <w:r w:rsidRPr="002D770F">
          <w:rPr>
            <w:rStyle w:val="Hyperlink"/>
            <w:sz w:val="24"/>
            <w:lang w:val="da-DK"/>
          </w:rPr>
          <w:t>http://data.europa.eu/eli/agree_internation/2004/239(2)/oj</w:t>
        </w:r>
      </w:hyperlink>
      <w:r w:rsidRPr="002D770F">
        <w:rPr>
          <w:sz w:val="24"/>
          <w:lang w:val="da-DK"/>
        </w:rPr>
        <w:t xml:space="preserve">. </w:t>
      </w:r>
    </w:p>
  </w:footnote>
  <w:footnote w:id="9">
    <w:p w14:paraId="5E2B32CD" w14:textId="01F6FC28"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278 af 18.10.2013, s. 16, ELI: </w:t>
      </w:r>
      <w:hyperlink r:id="rId9" w:history="1">
        <w:r w:rsidRPr="002D770F">
          <w:rPr>
            <w:rStyle w:val="Hyperlink"/>
            <w:sz w:val="24"/>
            <w:lang w:val="da-DK"/>
          </w:rPr>
          <w:t>http://data.europa.eu/eli/agree_internation/2013/490/oj</w:t>
        </w:r>
      </w:hyperlink>
      <w:r w:rsidRPr="002D770F">
        <w:rPr>
          <w:sz w:val="24"/>
          <w:lang w:val="da-DK"/>
        </w:rPr>
        <w:t xml:space="preserve">. </w:t>
      </w:r>
    </w:p>
  </w:footnote>
  <w:footnote w:id="10">
    <w:p w14:paraId="3A48BE30" w14:textId="1FE23164"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EFT L 361 af 31.12.1977, s. 29, ELI: </w:t>
      </w:r>
      <w:hyperlink r:id="rId10" w:history="1">
        <w:r w:rsidRPr="002D770F">
          <w:rPr>
            <w:rStyle w:val="Hyperlink"/>
            <w:sz w:val="24"/>
            <w:lang w:val="da-DK"/>
          </w:rPr>
          <w:t>http://data.europa.eu/eli/agree_internation/1964/732/oj</w:t>
        </w:r>
      </w:hyperlink>
      <w:r w:rsidRPr="002D770F">
        <w:rPr>
          <w:sz w:val="24"/>
          <w:lang w:val="da-DK"/>
        </w:rPr>
        <w:t xml:space="preserve">. </w:t>
      </w:r>
    </w:p>
  </w:footnote>
  <w:footnote w:id="11">
    <w:p w14:paraId="13B4F781" w14:textId="2A8E87BF"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161 af 29.5.2014, s. 3, ELI: </w:t>
      </w:r>
      <w:hyperlink r:id="rId11" w:history="1">
        <w:r w:rsidRPr="002D770F">
          <w:rPr>
            <w:rStyle w:val="Hyperlink"/>
            <w:sz w:val="24"/>
            <w:lang w:val="da-DK"/>
          </w:rPr>
          <w:t>http://data.europa.eu/eli/agree_internation/2014/295/oj</w:t>
        </w:r>
      </w:hyperlink>
      <w:r w:rsidRPr="002D770F">
        <w:rPr>
          <w:sz w:val="24"/>
          <w:lang w:val="da-DK"/>
        </w:rPr>
        <w:t xml:space="preserve">. </w:t>
      </w:r>
    </w:p>
  </w:footnote>
  <w:footnote w:id="12">
    <w:p w14:paraId="2087CEF5" w14:textId="78DB6E59"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Vedtagne tekster, P10_TA(2025)0094. </w:t>
      </w:r>
    </w:p>
  </w:footnote>
  <w:footnote w:id="13">
    <w:p w14:paraId="151B3E3C" w14:textId="53FE699E"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P10_TA(2025)0093.</w:t>
      </w:r>
    </w:p>
  </w:footnote>
  <w:footnote w:id="14">
    <w:p w14:paraId="512F443C" w14:textId="0250FED3"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P10_TA(2025)0155.</w:t>
      </w:r>
    </w:p>
  </w:footnote>
  <w:footnote w:id="15">
    <w:p w14:paraId="1D5993BB" w14:textId="2E974E9A"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P10_TA(2025)0156.</w:t>
      </w:r>
    </w:p>
  </w:footnote>
  <w:footnote w:id="16">
    <w:p w14:paraId="10852FEC" w14:textId="46471905"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P10_TA(2025)0157.</w:t>
      </w:r>
    </w:p>
  </w:footnote>
  <w:footnote w:id="17">
    <w:p w14:paraId="608C330B" w14:textId="48479B5B"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P10_TA(2025)0130.</w:t>
      </w:r>
    </w:p>
  </w:footnote>
  <w:footnote w:id="18">
    <w:p w14:paraId="7D8F23AE" w14:textId="247C4CA0"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P10_TA(2025)0175.</w:t>
      </w:r>
    </w:p>
  </w:footnote>
  <w:footnote w:id="19">
    <w:p w14:paraId="7758BF9F" w14:textId="0A874034"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P10_TA(2025)0131.</w:t>
      </w:r>
    </w:p>
  </w:footnote>
  <w:footnote w:id="20">
    <w:p w14:paraId="22BC28E1" w14:textId="5947BE1D"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P10_TA(2025)0158.</w:t>
      </w:r>
    </w:p>
  </w:footnote>
  <w:footnote w:id="21">
    <w:p w14:paraId="27790BCB" w14:textId="536300E4"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P10_TA(2025)0092.</w:t>
      </w:r>
    </w:p>
  </w:footnote>
  <w:footnote w:id="22">
    <w:p w14:paraId="69C62C3B" w14:textId="05574841"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C, C/2024/6555, 12.11.2024, ELI: </w:t>
      </w:r>
      <w:hyperlink r:id="rId12" w:history="1">
        <w:r w:rsidRPr="002D770F">
          <w:rPr>
            <w:rStyle w:val="Hyperlink"/>
            <w:sz w:val="24"/>
            <w:lang w:val="da-DK"/>
          </w:rPr>
          <w:t>http://data.europa.eu/eli/C/2024/6555/oj</w:t>
        </w:r>
      </w:hyperlink>
      <w:r w:rsidRPr="002D770F">
        <w:rPr>
          <w:sz w:val="24"/>
          <w:lang w:val="da-DK"/>
        </w:rPr>
        <w:t>.</w:t>
      </w:r>
    </w:p>
  </w:footnote>
  <w:footnote w:id="23">
    <w:p w14:paraId="729BCA31" w14:textId="20D7F717"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C, C/2024/6746, 26.11.2024, ELI: </w:t>
      </w:r>
      <w:hyperlink r:id="rId13" w:history="1">
        <w:r w:rsidRPr="002D770F">
          <w:rPr>
            <w:rStyle w:val="Hyperlink"/>
            <w:sz w:val="24"/>
            <w:lang w:val="da-DK"/>
          </w:rPr>
          <w:t>http://data.europa.eu/eli/C/2024/6746/oj</w:t>
        </w:r>
      </w:hyperlink>
      <w:r w:rsidRPr="002D770F">
        <w:rPr>
          <w:sz w:val="24"/>
          <w:lang w:val="da-DK"/>
        </w:rPr>
        <w:t xml:space="preserve">. </w:t>
      </w:r>
    </w:p>
  </w:footnote>
  <w:footnote w:id="24">
    <w:p w14:paraId="5DA8B62E" w14:textId="5B9EEF97" w:rsidR="00762775" w:rsidRPr="002D770F" w:rsidRDefault="00762775" w:rsidP="002D770F">
      <w:pPr>
        <w:pStyle w:val="FootnoteText"/>
        <w:ind w:left="567" w:hanging="567"/>
        <w:rPr>
          <w:b/>
          <w:i/>
          <w:sz w:val="24"/>
          <w:lang w:val="da-DK"/>
        </w:rPr>
      </w:pPr>
      <w:r w:rsidRPr="002D770F">
        <w:rPr>
          <w:rStyle w:val="FootnoteReference"/>
          <w:rFonts w:eastAsiaTheme="majorEastAsia"/>
          <w:sz w:val="24"/>
          <w:lang w:val="da-DK"/>
        </w:rPr>
        <w:footnoteRef/>
      </w:r>
      <w:r w:rsidR="002D770F" w:rsidRPr="002D770F">
        <w:rPr>
          <w:rStyle w:val="Emphasis"/>
          <w:rFonts w:ascii="Times New Roman" w:hAnsi="Times New Roman"/>
          <w:sz w:val="24"/>
          <w:lang w:val="da-DK"/>
        </w:rPr>
        <w:t xml:space="preserve"> </w:t>
      </w:r>
      <w:r w:rsidR="002D770F" w:rsidRPr="002D770F">
        <w:rPr>
          <w:rStyle w:val="Emphasis"/>
          <w:rFonts w:ascii="Times New Roman" w:hAnsi="Times New Roman"/>
          <w:sz w:val="24"/>
          <w:lang w:val="da-DK"/>
        </w:rPr>
        <w:tab/>
      </w:r>
      <w:r w:rsidRPr="00182E30">
        <w:rPr>
          <w:rStyle w:val="Emphasis"/>
          <w:rFonts w:ascii="Times New Roman" w:hAnsi="Times New Roman"/>
          <w:b w:val="0"/>
          <w:bCs/>
          <w:i w:val="0"/>
          <w:iCs w:val="0"/>
          <w:sz w:val="24"/>
          <w:lang w:val="da-DK"/>
        </w:rPr>
        <w:t>EUT C 167 af 11.5.2023, s. 105.</w:t>
      </w:r>
    </w:p>
  </w:footnote>
  <w:footnote w:id="25">
    <w:p w14:paraId="2C61F0A2" w14:textId="560DFD13"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330 af 20.9.2021, s. 1, ELI: </w:t>
      </w:r>
      <w:hyperlink r:id="rId14" w:history="1">
        <w:r w:rsidRPr="002D770F">
          <w:rPr>
            <w:rStyle w:val="Hyperlink"/>
            <w:sz w:val="24"/>
            <w:lang w:val="da-DK"/>
          </w:rPr>
          <w:t>http://data.europa.eu/eli/reg/2021/1529/oj</w:t>
        </w:r>
      </w:hyperlink>
      <w:r w:rsidRPr="002D770F">
        <w:rPr>
          <w:sz w:val="24"/>
          <w:lang w:val="da-DK"/>
        </w:rPr>
        <w:t xml:space="preserve">. </w:t>
      </w:r>
    </w:p>
  </w:footnote>
  <w:footnote w:id="26">
    <w:p w14:paraId="44593C3C" w14:textId="6B10A513"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2024/1449, 24.5.2024, ELI: </w:t>
      </w:r>
      <w:hyperlink r:id="rId15" w:history="1">
        <w:r w:rsidRPr="002D770F">
          <w:rPr>
            <w:rStyle w:val="Hyperlink"/>
            <w:sz w:val="24"/>
            <w:lang w:val="da-DK"/>
          </w:rPr>
          <w:t>http://data.europa.eu/eli/reg/2024/1449/oj</w:t>
        </w:r>
      </w:hyperlink>
      <w:r w:rsidRPr="002D770F">
        <w:rPr>
          <w:sz w:val="24"/>
          <w:lang w:val="da-DK"/>
        </w:rPr>
        <w:t xml:space="preserve">. </w:t>
      </w:r>
    </w:p>
  </w:footnote>
  <w:footnote w:id="27">
    <w:p w14:paraId="2E68AB48" w14:textId="3BBAE449"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L, 2024/792, 29.2.2024, ELI: </w:t>
      </w:r>
      <w:hyperlink r:id="rId16" w:history="1">
        <w:r w:rsidRPr="002D770F">
          <w:rPr>
            <w:rStyle w:val="Hyperlink"/>
            <w:sz w:val="24"/>
            <w:lang w:val="da-DK"/>
          </w:rPr>
          <w:t>http://data.europa.eu/eli/reg/2024/792/oj</w:t>
        </w:r>
      </w:hyperlink>
      <w:r w:rsidRPr="002D770F">
        <w:rPr>
          <w:sz w:val="24"/>
          <w:lang w:val="da-DK"/>
        </w:rPr>
        <w:t xml:space="preserve">. </w:t>
      </w:r>
    </w:p>
  </w:footnote>
  <w:footnote w:id="28">
    <w:p w14:paraId="007FA8B3" w14:textId="74F4964D" w:rsidR="00762775" w:rsidRPr="002D770F" w:rsidRDefault="00762775" w:rsidP="002D770F">
      <w:pPr>
        <w:pStyle w:val="FootnoteText"/>
        <w:ind w:left="567" w:hanging="567"/>
        <w:rPr>
          <w:iCs/>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EUT L, 2025/535, 21.3.2025, ELI:</w:t>
      </w:r>
      <w:r w:rsidRPr="002D770F">
        <w:rPr>
          <w:i/>
          <w:sz w:val="24"/>
          <w:lang w:val="da-DK"/>
        </w:rPr>
        <w:t> </w:t>
      </w:r>
      <w:hyperlink r:id="rId17" w:tgtFrame="_blank" w:tooltip="Giver adgang til dokumentet via dets ELI-URI." w:history="1">
        <w:r w:rsidRPr="002D770F">
          <w:rPr>
            <w:rStyle w:val="Hyperlink"/>
            <w:sz w:val="24"/>
            <w:lang w:val="da-DK"/>
          </w:rPr>
          <w:t>http://data.europa.eu/eli/reg/2025/535/oj</w:t>
        </w:r>
      </w:hyperlink>
      <w:r w:rsidRPr="002D770F">
        <w:rPr>
          <w:sz w:val="24"/>
          <w:lang w:val="da-DK"/>
        </w:rPr>
        <w:t>.</w:t>
      </w:r>
    </w:p>
  </w:footnote>
  <w:footnote w:id="29">
    <w:p w14:paraId="3C778FB4" w14:textId="65FCD237"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EUT C 362 af 8.9.2021, s. 114.</w:t>
      </w:r>
    </w:p>
  </w:footnote>
  <w:footnote w:id="30">
    <w:p w14:paraId="51D0BA77" w14:textId="00C9AD6A"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Vedtagne tekster, P10_TA(2025)0248.</w:t>
      </w:r>
    </w:p>
  </w:footnote>
  <w:footnote w:id="31">
    <w:p w14:paraId="4F8E56DF" w14:textId="49D59EEF" w:rsidR="00762775" w:rsidRPr="002D770F" w:rsidRDefault="00762775" w:rsidP="002D770F">
      <w:pPr>
        <w:pStyle w:val="FootnoteText"/>
        <w:ind w:left="567" w:hanging="567"/>
        <w:rPr>
          <w:sz w:val="24"/>
          <w:lang w:val="da-DK"/>
        </w:rPr>
      </w:pPr>
      <w:r w:rsidRPr="002D770F">
        <w:rPr>
          <w:rStyle w:val="FootnoteReference"/>
          <w:sz w:val="24"/>
          <w:lang w:val="da-DK"/>
        </w:rPr>
        <w:footnoteRef/>
      </w:r>
      <w:r w:rsidR="002D770F" w:rsidRPr="002D770F">
        <w:rPr>
          <w:sz w:val="24"/>
          <w:lang w:val="da-DK"/>
        </w:rPr>
        <w:t xml:space="preserve"> </w:t>
      </w:r>
      <w:r w:rsidR="002D770F" w:rsidRPr="002D770F">
        <w:rPr>
          <w:sz w:val="24"/>
          <w:lang w:val="da-DK"/>
        </w:rPr>
        <w:tab/>
      </w:r>
      <w:r w:rsidRPr="002D770F">
        <w:rPr>
          <w:sz w:val="24"/>
          <w:lang w:val="da-DK"/>
        </w:rPr>
        <w:t xml:space="preserve">EUT C, C/2025/2251, 29.4.2025, ELI: </w:t>
      </w:r>
      <w:hyperlink r:id="rId18" w:history="1">
        <w:r w:rsidRPr="002D770F">
          <w:rPr>
            <w:rStyle w:val="Hyperlink"/>
            <w:sz w:val="24"/>
            <w:lang w:val="da-DK"/>
          </w:rPr>
          <w:t>http://data.europa.eu/eli/C/2025/2251/oj</w:t>
        </w:r>
      </w:hyperlink>
      <w:r w:rsidRPr="002D770F">
        <w:rPr>
          <w:sz w:val="24"/>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4085675">
    <w:abstractNumId w:val="9"/>
  </w:num>
  <w:num w:numId="2" w16cid:durableId="126171747">
    <w:abstractNumId w:val="9"/>
  </w:num>
  <w:num w:numId="3" w16cid:durableId="608244841">
    <w:abstractNumId w:val="7"/>
  </w:num>
  <w:num w:numId="4" w16cid:durableId="1514219245">
    <w:abstractNumId w:val="7"/>
  </w:num>
  <w:num w:numId="5" w16cid:durableId="1249386413">
    <w:abstractNumId w:val="6"/>
  </w:num>
  <w:num w:numId="6" w16cid:durableId="1518544851">
    <w:abstractNumId w:val="6"/>
  </w:num>
  <w:num w:numId="7" w16cid:durableId="1888759759">
    <w:abstractNumId w:val="5"/>
  </w:num>
  <w:num w:numId="8" w16cid:durableId="1832527606">
    <w:abstractNumId w:val="5"/>
  </w:num>
  <w:num w:numId="9" w16cid:durableId="2025396036">
    <w:abstractNumId w:val="4"/>
  </w:num>
  <w:num w:numId="10" w16cid:durableId="458496618">
    <w:abstractNumId w:val="4"/>
  </w:num>
  <w:num w:numId="11" w16cid:durableId="815534115">
    <w:abstractNumId w:val="8"/>
  </w:num>
  <w:num w:numId="12" w16cid:durableId="1768503462">
    <w:abstractNumId w:val="8"/>
  </w:num>
  <w:num w:numId="13" w16cid:durableId="1050108140">
    <w:abstractNumId w:val="3"/>
  </w:num>
  <w:num w:numId="14" w16cid:durableId="1476795708">
    <w:abstractNumId w:val="3"/>
  </w:num>
  <w:num w:numId="15" w16cid:durableId="842206319">
    <w:abstractNumId w:val="2"/>
  </w:num>
  <w:num w:numId="16" w16cid:durableId="2096969549">
    <w:abstractNumId w:val="2"/>
  </w:num>
  <w:num w:numId="17" w16cid:durableId="1476919657">
    <w:abstractNumId w:val="1"/>
  </w:num>
  <w:num w:numId="18" w16cid:durableId="1053697087">
    <w:abstractNumId w:val="1"/>
  </w:num>
  <w:num w:numId="19" w16cid:durableId="523323893">
    <w:abstractNumId w:val="0"/>
  </w:num>
  <w:num w:numId="20" w16cid:durableId="1203900958">
    <w:abstractNumId w:val="0"/>
  </w:num>
  <w:num w:numId="21" w16cid:durableId="118302931">
    <w:abstractNumId w:val="9"/>
  </w:num>
  <w:num w:numId="22" w16cid:durableId="666903774">
    <w:abstractNumId w:val="7"/>
  </w:num>
  <w:num w:numId="23" w16cid:durableId="339550649">
    <w:abstractNumId w:val="6"/>
  </w:num>
  <w:num w:numId="24" w16cid:durableId="468673580">
    <w:abstractNumId w:val="5"/>
  </w:num>
  <w:num w:numId="25" w16cid:durableId="131562519">
    <w:abstractNumId w:val="4"/>
  </w:num>
  <w:num w:numId="26" w16cid:durableId="1818760162">
    <w:abstractNumId w:val="8"/>
  </w:num>
  <w:num w:numId="27" w16cid:durableId="2145780061">
    <w:abstractNumId w:val="3"/>
  </w:num>
  <w:num w:numId="28" w16cid:durableId="303513159">
    <w:abstractNumId w:val="2"/>
  </w:num>
  <w:num w:numId="29" w16cid:durableId="508451701">
    <w:abstractNumId w:val="1"/>
  </w:num>
  <w:num w:numId="30" w16cid:durableId="1441295567">
    <w:abstractNumId w:val="0"/>
  </w:num>
  <w:num w:numId="31" w16cid:durableId="883179858">
    <w:abstractNumId w:val="9"/>
  </w:num>
  <w:num w:numId="32" w16cid:durableId="1145470855">
    <w:abstractNumId w:val="7"/>
  </w:num>
  <w:num w:numId="33" w16cid:durableId="133639274">
    <w:abstractNumId w:val="6"/>
  </w:num>
  <w:num w:numId="34" w16cid:durableId="646084232">
    <w:abstractNumId w:val="5"/>
  </w:num>
  <w:num w:numId="35" w16cid:durableId="253519347">
    <w:abstractNumId w:val="4"/>
  </w:num>
  <w:num w:numId="36" w16cid:durableId="453140682">
    <w:abstractNumId w:val="8"/>
  </w:num>
  <w:num w:numId="37" w16cid:durableId="1304503343">
    <w:abstractNumId w:val="3"/>
  </w:num>
  <w:num w:numId="38" w16cid:durableId="1960721624">
    <w:abstractNumId w:val="2"/>
  </w:num>
  <w:num w:numId="39" w16cid:durableId="165902077">
    <w:abstractNumId w:val="1"/>
  </w:num>
  <w:num w:numId="40" w16cid:durableId="955647306">
    <w:abstractNumId w:val="0"/>
  </w:num>
  <w:num w:numId="41" w16cid:durableId="1806006131">
    <w:abstractNumId w:val="10"/>
  </w:num>
  <w:num w:numId="42" w16cid:durableId="1484391756">
    <w:abstractNumId w:val="10"/>
  </w:num>
  <w:num w:numId="43" w16cid:durableId="893852911">
    <w:abstractNumId w:val="10"/>
  </w:num>
  <w:num w:numId="44" w16cid:durableId="839809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DA"/>
    <w:docVar w:name="dvnumam" w:val="0"/>
    <w:docVar w:name="dvpe" w:val="778.144"/>
    <w:docVar w:name="dvrapporteur" w:val="Ordfører: "/>
    <w:docVar w:name="dvtitre" w:val="Europa-Parlamentets beslutning af xx. marts 2026 om EU's udvidelsesstrategi(2025/2110(INI))"/>
  </w:docVars>
  <w:rsids>
    <w:rsidRoot w:val="00511AA7"/>
    <w:rsid w:val="00002272"/>
    <w:rsid w:val="00064002"/>
    <w:rsid w:val="000677B9"/>
    <w:rsid w:val="000831BA"/>
    <w:rsid w:val="00090179"/>
    <w:rsid w:val="000A42CC"/>
    <w:rsid w:val="000E7DD9"/>
    <w:rsid w:val="0010095E"/>
    <w:rsid w:val="00125B37"/>
    <w:rsid w:val="00182E30"/>
    <w:rsid w:val="00187494"/>
    <w:rsid w:val="001B48AB"/>
    <w:rsid w:val="001F32AE"/>
    <w:rsid w:val="002767FF"/>
    <w:rsid w:val="002B18FE"/>
    <w:rsid w:val="002B5493"/>
    <w:rsid w:val="002B618D"/>
    <w:rsid w:val="002D770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AA7"/>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775"/>
    <w:rsid w:val="00762C74"/>
    <w:rsid w:val="00786EC0"/>
    <w:rsid w:val="007D1690"/>
    <w:rsid w:val="007E22AD"/>
    <w:rsid w:val="00817416"/>
    <w:rsid w:val="00842779"/>
    <w:rsid w:val="0084442B"/>
    <w:rsid w:val="00865F67"/>
    <w:rsid w:val="00881A7B"/>
    <w:rsid w:val="008840E5"/>
    <w:rsid w:val="00887B3E"/>
    <w:rsid w:val="008A616C"/>
    <w:rsid w:val="008C2AC6"/>
    <w:rsid w:val="00930C23"/>
    <w:rsid w:val="0093193B"/>
    <w:rsid w:val="00946C22"/>
    <w:rsid w:val="009509D8"/>
    <w:rsid w:val="00950B64"/>
    <w:rsid w:val="00981893"/>
    <w:rsid w:val="00A1687D"/>
    <w:rsid w:val="00A43E52"/>
    <w:rsid w:val="00A4678D"/>
    <w:rsid w:val="00A52491"/>
    <w:rsid w:val="00A778C7"/>
    <w:rsid w:val="00A80A69"/>
    <w:rsid w:val="00AB24E1"/>
    <w:rsid w:val="00AB3A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F2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E57B1"/>
  <w15:chartTrackingRefBased/>
  <w15:docId w15:val="{074AE712-E2EC-4408-9575-4E74E20E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2775"/>
    <w:pPr>
      <w:spacing w:after="240"/>
      <w:ind w:left="567" w:hanging="567"/>
    </w:pPr>
  </w:style>
  <w:style w:type="paragraph" w:customStyle="1" w:styleId="EPComma">
    <w:name w:val="EPComma"/>
    <w:basedOn w:val="Normal"/>
    <w:rsid w:val="00762775"/>
    <w:pPr>
      <w:spacing w:before="480" w:after="240"/>
    </w:pPr>
  </w:style>
  <w:style w:type="character" w:styleId="Hyperlink">
    <w:name w:val="Hyperlink"/>
    <w:basedOn w:val="DefaultParagraphFont"/>
    <w:rsid w:val="00762775"/>
    <w:rPr>
      <w:color w:val="0000FF"/>
      <w:u w:val="single"/>
    </w:rPr>
  </w:style>
  <w:style w:type="character" w:styleId="Emphasis">
    <w:name w:val="Emphasis"/>
    <w:basedOn w:val="DefaultParagraphFont"/>
    <w:uiPriority w:val="20"/>
    <w:qFormat/>
    <w:rsid w:val="00762775"/>
    <w:rPr>
      <w:rFonts w:asciiTheme="minorHAnsi" w:hAnsiTheme="minorHAnsi" w:hint="default"/>
      <w:b/>
      <w:bCs w:val="0"/>
      <w:i/>
      <w:iCs/>
    </w:rPr>
  </w:style>
  <w:style w:type="character" w:customStyle="1" w:styleId="Normal12HangingChar">
    <w:name w:val="Normal12Hanging Char"/>
    <w:link w:val="Normal12Hanging"/>
    <w:locked/>
    <w:rsid w:val="00762775"/>
    <w:rPr>
      <w:sz w:val="24"/>
    </w:rPr>
  </w:style>
  <w:style w:type="paragraph" w:customStyle="1" w:styleId="Normal12Hanging">
    <w:name w:val="Normal12Hanging"/>
    <w:basedOn w:val="Normal"/>
    <w:link w:val="Normal12HangingChar"/>
    <w:rsid w:val="00762775"/>
    <w:pPr>
      <w:spacing w:after="240"/>
      <w:ind w:left="567" w:hanging="567"/>
    </w:pPr>
    <w:rPr>
      <w:lang w:val="en-GB"/>
    </w:rPr>
  </w:style>
  <w:style w:type="character" w:customStyle="1" w:styleId="NormalHanging12aChar">
    <w:name w:val="NormalHanging12a Char"/>
    <w:link w:val="NormalHanging12a"/>
    <w:rsid w:val="00762775"/>
    <w:rPr>
      <w:sz w:val="24"/>
      <w:lang w:val="da-DK"/>
    </w:rPr>
  </w:style>
  <w:style w:type="paragraph" w:styleId="Revision">
    <w:name w:val="Revision"/>
    <w:hidden/>
    <w:uiPriority w:val="99"/>
    <w:semiHidden/>
    <w:rsid w:val="001B48AB"/>
    <w:rPr>
      <w:sz w:val="24"/>
      <w:lang w:val="da-DK"/>
    </w:rPr>
  </w:style>
  <w:style w:type="character" w:styleId="FollowedHyperlink">
    <w:name w:val="FollowedHyperlink"/>
    <w:basedOn w:val="DefaultParagraphFont"/>
    <w:rsid w:val="001B48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6962</Words>
  <Characters>39689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2026-04-21T09:18:00Z</dcterms:created>
  <dcterms:modified xsi:type="dcterms:W3CDTF">2026-04-21T09:18:00Z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P10_TA-PROV(2026)0077_A10-0016_2026_</vt:lpwstr>
  </property>
  <property fmtid="{D5CDD505-2E9C-101B-9397-08002B2CF9AE}" pid="4" name="&lt;Type&gt;">
    <vt:lpwstr>RR</vt:lpwstr>
  </property>
</Properties>
</file>