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1F2" w14:paraId="76ED0674" w14:textId="77777777" w:rsidTr="0010095E">
        <w:trPr>
          <w:trHeight w:hRule="exact" w:val="1418"/>
        </w:trPr>
        <w:tc>
          <w:tcPr>
            <w:tcW w:w="6804" w:type="dxa"/>
            <w:shd w:val="clear" w:color="auto" w:fill="auto"/>
            <w:vAlign w:val="center"/>
          </w:tcPr>
          <w:p w14:paraId="105B6B33" w14:textId="77777777" w:rsidR="00751A4A" w:rsidRPr="007E41F2" w:rsidRDefault="009D362D" w:rsidP="0010095E">
            <w:pPr>
              <w:pStyle w:val="EPName"/>
            </w:pPr>
            <w:r w:rsidRPr="007E41F2">
              <w:t>Ευρωπαϊκό Κοινοβούλιο</w:t>
            </w:r>
          </w:p>
          <w:p w14:paraId="1E2C37D4" w14:textId="77777777" w:rsidR="00751A4A" w:rsidRPr="007E41F2" w:rsidRDefault="005F1B17" w:rsidP="005F1B17">
            <w:pPr>
              <w:pStyle w:val="EPTerm"/>
              <w:rPr>
                <w:rStyle w:val="HideTWBExt"/>
                <w:noProof w:val="0"/>
                <w:vanish w:val="0"/>
                <w:color w:val="auto"/>
              </w:rPr>
            </w:pPr>
            <w:r w:rsidRPr="007E41F2">
              <w:t>2024</w:t>
            </w:r>
            <w:r w:rsidR="00817416" w:rsidRPr="007E41F2">
              <w:t>-202</w:t>
            </w:r>
            <w:r w:rsidRPr="007E41F2">
              <w:t>9</w:t>
            </w:r>
          </w:p>
        </w:tc>
        <w:tc>
          <w:tcPr>
            <w:tcW w:w="2268" w:type="dxa"/>
            <w:shd w:val="clear" w:color="auto" w:fill="auto"/>
          </w:tcPr>
          <w:p w14:paraId="2166919D" w14:textId="77777777" w:rsidR="00751A4A" w:rsidRPr="007E41F2" w:rsidRDefault="00187494" w:rsidP="0010095E">
            <w:pPr>
              <w:pStyle w:val="EPLogo"/>
            </w:pPr>
            <w:r w:rsidRPr="007E41F2">
              <w:rPr>
                <w:noProof/>
                <w:lang w:eastAsia="ja-JP"/>
              </w:rPr>
              <w:drawing>
                <wp:inline distT="0" distB="0" distL="0" distR="0" wp14:anchorId="7A70F7BB" wp14:editId="5ADCAA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1D88D9" w14:textId="77777777" w:rsidR="00D058B8" w:rsidRPr="007E41F2" w:rsidRDefault="00D058B8" w:rsidP="004C5D52">
      <w:pPr>
        <w:pStyle w:val="LineTop"/>
      </w:pPr>
    </w:p>
    <w:p w14:paraId="4E17DEA6" w14:textId="77777777" w:rsidR="00680577" w:rsidRPr="007E41F2" w:rsidRDefault="009D362D" w:rsidP="00680577">
      <w:pPr>
        <w:pStyle w:val="EPBodyTA1"/>
      </w:pPr>
      <w:r w:rsidRPr="007E41F2">
        <w:t>ΚΕΙΜΕΝΑ ΠΟΥ ΕΓΚΡΙΘΗΚΑΝ</w:t>
      </w:r>
    </w:p>
    <w:p w14:paraId="04C55CDA" w14:textId="77777777" w:rsidR="00D058B8" w:rsidRPr="007E41F2" w:rsidRDefault="00D058B8" w:rsidP="00D058B8">
      <w:pPr>
        <w:pStyle w:val="LineBottom"/>
      </w:pPr>
    </w:p>
    <w:p w14:paraId="2287C2CE" w14:textId="114BC0A7" w:rsidR="009D362D" w:rsidRPr="007E41F2" w:rsidRDefault="009D362D" w:rsidP="009D362D">
      <w:pPr>
        <w:pStyle w:val="ATHeading1"/>
      </w:pPr>
      <w:bookmarkStart w:id="0" w:name="TANumber"/>
      <w:r w:rsidRPr="007E41F2">
        <w:t>P10_TA(2026)00</w:t>
      </w:r>
      <w:r w:rsidR="00065EF1" w:rsidRPr="007E41F2">
        <w:t>77</w:t>
      </w:r>
      <w:bookmarkEnd w:id="0"/>
    </w:p>
    <w:p w14:paraId="4D4927BC" w14:textId="77777777" w:rsidR="009D362D" w:rsidRPr="007E41F2" w:rsidRDefault="009D362D" w:rsidP="009D362D">
      <w:pPr>
        <w:pStyle w:val="ATHeading2"/>
      </w:pPr>
      <w:bookmarkStart w:id="1" w:name="title"/>
      <w:r w:rsidRPr="007E41F2">
        <w:t>Στρατηγική διεύρυνσης της ΕΕ</w:t>
      </w:r>
      <w:bookmarkEnd w:id="1"/>
    </w:p>
    <w:p w14:paraId="0A863B68" w14:textId="77777777" w:rsidR="009D362D" w:rsidRPr="007E41F2" w:rsidRDefault="009D362D" w:rsidP="009D362D">
      <w:pPr>
        <w:rPr>
          <w:i/>
          <w:vanish/>
        </w:rPr>
      </w:pPr>
      <w:r w:rsidRPr="007E41F2">
        <w:rPr>
          <w:i/>
        </w:rPr>
        <w:fldChar w:fldCharType="begin"/>
      </w:r>
      <w:r w:rsidRPr="007E41F2">
        <w:rPr>
          <w:i/>
        </w:rPr>
        <w:instrText xml:space="preserve"> TC"(</w:instrText>
      </w:r>
      <w:bookmarkStart w:id="2" w:name="DocNumber"/>
      <w:r w:rsidRPr="007E41F2">
        <w:rPr>
          <w:i/>
        </w:rPr>
        <w:instrText>A10-0016/2026</w:instrText>
      </w:r>
      <w:bookmarkEnd w:id="2"/>
      <w:r w:rsidRPr="007E41F2">
        <w:rPr>
          <w:i/>
        </w:rPr>
        <w:instrText xml:space="preserve"> - Εισηγητής: Petras Auštrevičius)"\l3 \n&gt; \* MERGEFORMAT </w:instrText>
      </w:r>
      <w:r w:rsidRPr="007E41F2">
        <w:rPr>
          <w:i/>
        </w:rPr>
        <w:fldChar w:fldCharType="end"/>
      </w:r>
    </w:p>
    <w:p w14:paraId="5AA1ABAB" w14:textId="77777777" w:rsidR="009D362D" w:rsidRPr="007E41F2" w:rsidRDefault="009D362D" w:rsidP="009D362D">
      <w:pPr>
        <w:rPr>
          <w:vanish/>
        </w:rPr>
      </w:pPr>
      <w:bookmarkStart w:id="3" w:name="Commission"/>
      <w:r w:rsidRPr="007E41F2">
        <w:rPr>
          <w:vanish/>
        </w:rPr>
        <w:t>Επιτροπή Εξωτερικών Υποθέσεων</w:t>
      </w:r>
      <w:bookmarkEnd w:id="3"/>
    </w:p>
    <w:p w14:paraId="0743A361" w14:textId="77777777" w:rsidR="009D362D" w:rsidRPr="007E41F2" w:rsidRDefault="009D362D" w:rsidP="009D362D">
      <w:pPr>
        <w:rPr>
          <w:vanish/>
        </w:rPr>
      </w:pPr>
      <w:bookmarkStart w:id="4" w:name="PE"/>
      <w:r w:rsidRPr="007E41F2">
        <w:rPr>
          <w:vanish/>
        </w:rPr>
        <w:t>PE778.144</w:t>
      </w:r>
      <w:bookmarkEnd w:id="4"/>
    </w:p>
    <w:p w14:paraId="48DF7510" w14:textId="7A468772" w:rsidR="009D362D" w:rsidRPr="007E41F2" w:rsidRDefault="009D362D" w:rsidP="009D362D">
      <w:pPr>
        <w:pStyle w:val="ATHeading3"/>
      </w:pPr>
      <w:bookmarkStart w:id="5" w:name="Sujet"/>
      <w:r w:rsidRPr="007E41F2">
        <w:t xml:space="preserve">Ψήφισμα του Ευρωπαϊκού Κοινοβουλίου της </w:t>
      </w:r>
      <w:r w:rsidR="0046607D" w:rsidRPr="007E41F2">
        <w:t>11</w:t>
      </w:r>
      <w:r w:rsidR="00007A9B" w:rsidRPr="007E41F2">
        <w:t>ης</w:t>
      </w:r>
      <w:r w:rsidRPr="007E41F2">
        <w:t xml:space="preserve"> </w:t>
      </w:r>
      <w:r w:rsidR="006D79BB" w:rsidRPr="007E41F2">
        <w:t xml:space="preserve">Μαρτίου </w:t>
      </w:r>
      <w:r w:rsidRPr="007E41F2">
        <w:t>2026 σχετικά με τη στρατηγική διεύρυνσης της ΕΕ</w:t>
      </w:r>
      <w:bookmarkEnd w:id="5"/>
      <w:r w:rsidRPr="007E41F2">
        <w:t xml:space="preserve"> </w:t>
      </w:r>
      <w:bookmarkStart w:id="6" w:name="References"/>
      <w:r w:rsidRPr="007E41F2">
        <w:t>(2025/2110(INI))</w:t>
      </w:r>
      <w:bookmarkEnd w:id="6"/>
    </w:p>
    <w:p w14:paraId="58A7DA4F" w14:textId="77777777" w:rsidR="003D673A" w:rsidRPr="007E41F2" w:rsidRDefault="003D673A" w:rsidP="003D673A">
      <w:pPr>
        <w:pStyle w:val="EPComma"/>
      </w:pPr>
      <w:r w:rsidRPr="007E41F2">
        <w:rPr>
          <w:i/>
        </w:rPr>
        <w:t>Το Ευρωπαϊκό Κοινοβούλιο</w:t>
      </w:r>
      <w:r w:rsidRPr="007E41F2">
        <w:t>,</w:t>
      </w:r>
    </w:p>
    <w:p w14:paraId="3A6EF08D" w14:textId="77777777" w:rsidR="003D673A" w:rsidRPr="007E41F2" w:rsidRDefault="003D673A" w:rsidP="003D673A">
      <w:pPr>
        <w:pStyle w:val="NormalHanging12a"/>
      </w:pPr>
      <w:r w:rsidRPr="007E41F2">
        <w:t>–</w:t>
      </w:r>
      <w:r w:rsidRPr="007E41F2">
        <w:tab/>
        <w:t>έχοντας υπόψη τη Συνθήκη για την Ευρωπαϊκή Ένωση (ΣΕΕ) και ιδίως το άρθρο 49,</w:t>
      </w:r>
    </w:p>
    <w:p w14:paraId="4D0F219F" w14:textId="5E82516A" w:rsidR="003D673A" w:rsidRPr="007E41F2" w:rsidRDefault="003D673A" w:rsidP="003D673A">
      <w:pPr>
        <w:pStyle w:val="NormalHanging12a"/>
      </w:pPr>
      <w:r w:rsidRPr="007E41F2">
        <w:t>–</w:t>
      </w:r>
      <w:r w:rsidRPr="007E41F2">
        <w:tab/>
        <w:t>έχοντας υπόψη τη Συνθήκη για τη λειτουργία της Ευρωπαϊκής Ένωσης,</w:t>
      </w:r>
    </w:p>
    <w:p w14:paraId="5889A6C7" w14:textId="77777777" w:rsidR="003D673A" w:rsidRPr="007E41F2" w:rsidRDefault="003D673A" w:rsidP="003D673A">
      <w:pPr>
        <w:pStyle w:val="NormalHanging12a"/>
      </w:pPr>
      <w:r w:rsidRPr="007E41F2">
        <w:t>–</w:t>
      </w:r>
      <w:r w:rsidRPr="007E41F2">
        <w:tab/>
        <w:t>έχοντας υπόψη τα συμπεράσματα του Ευρωπαϊκού Συμβουλίου της 23ης και 24ης Ιουνίου 2022, της 29ης και 30ής Ιουνίου 2023, της 26ης και 27ης Οκτωβρίου 2023, της 14ης και 15ης Δεκεμβρίου 2023, της 27ης Ιουνίου 2024 και της 17ης Δεκεμβρίου 2024, καθώς και τα συμπεράσματα της Προεδρίας του Ευρωπαϊκού Συμβουλίου της Κοπεγχάγης της 21ης και 22ας Ιουνίου 1993, γνωστά και ως κριτήρια της Κοπεγχάγης,</w:t>
      </w:r>
    </w:p>
    <w:p w14:paraId="33D00E37" w14:textId="77777777" w:rsidR="003D673A" w:rsidRPr="007E41F2" w:rsidRDefault="003D673A" w:rsidP="003D673A">
      <w:pPr>
        <w:pStyle w:val="NormalHanging12a"/>
      </w:pPr>
      <w:r w:rsidRPr="007E41F2">
        <w:t>–</w:t>
      </w:r>
      <w:r w:rsidRPr="007E41F2">
        <w:tab/>
        <w:t>έχοντας υπόψη το ψήφισμα του Ευρωπαϊκού Κοινοβουλίου της 13ης Δεκεμβρίου 2023 σχετικά με τα 30 χρόνια από τη θέσπιση των κριτηρίων της Κοπεγχάγης — περαιτέρω ώθηση στην πολιτική διεύρυνσης της ΕΕ</w:t>
      </w:r>
      <w:r w:rsidRPr="007E41F2">
        <w:rPr>
          <w:rStyle w:val="FootnoteReference"/>
        </w:rPr>
        <w:footnoteReference w:id="1"/>
      </w:r>
      <w:r w:rsidRPr="007E41F2">
        <w:t>,</w:t>
      </w:r>
    </w:p>
    <w:p w14:paraId="4FBE195D" w14:textId="7B2ECB2A" w:rsidR="003D673A" w:rsidRPr="007E41F2" w:rsidRDefault="003D673A" w:rsidP="003D673A">
      <w:pPr>
        <w:pStyle w:val="NormalHanging12a"/>
      </w:pPr>
      <w:r w:rsidRPr="007E41F2">
        <w:t>–</w:t>
      </w:r>
      <w:r w:rsidRPr="007E41F2">
        <w:tab/>
        <w:t>έχοντας υπόψη τις συμφωνίες σύνδεσης της ΕΕ με την Αλβανία</w:t>
      </w:r>
      <w:r w:rsidRPr="007E41F2">
        <w:rPr>
          <w:rStyle w:val="FootnoteReference"/>
        </w:rPr>
        <w:footnoteReference w:id="2"/>
      </w:r>
      <w:r w:rsidRPr="007E41F2">
        <w:t>, τη Βοσνία και Ερζεγοβίνη</w:t>
      </w:r>
      <w:r w:rsidRPr="007E41F2">
        <w:rPr>
          <w:rStyle w:val="FootnoteReference"/>
        </w:rPr>
        <w:footnoteReference w:id="3"/>
      </w:r>
      <w:r w:rsidRPr="007E41F2">
        <w:t>, τη Γεωργία</w:t>
      </w:r>
      <w:r w:rsidRPr="007E41F2">
        <w:rPr>
          <w:rStyle w:val="FootnoteReference"/>
        </w:rPr>
        <w:footnoteReference w:id="4"/>
      </w:r>
      <w:r w:rsidRPr="007E41F2">
        <w:t>, το Κόσοβο</w:t>
      </w:r>
      <w:r w:rsidRPr="007E41F2">
        <w:rPr>
          <w:rStyle w:val="FootnoteReference"/>
        </w:rPr>
        <w:footnoteReference w:id="5"/>
      </w:r>
      <w:r w:rsidRPr="007E41F2">
        <w:t>, τη Δημοκρατία της Μολδαβίας</w:t>
      </w:r>
      <w:r w:rsidRPr="007E41F2">
        <w:rPr>
          <w:rStyle w:val="FootnoteReference"/>
        </w:rPr>
        <w:footnoteReference w:id="6"/>
      </w:r>
      <w:r w:rsidRPr="007E41F2">
        <w:t xml:space="preserve"> (</w:t>
      </w:r>
      <w:r w:rsidR="006D79BB" w:rsidRPr="007E41F2">
        <w:t>«</w:t>
      </w:r>
      <w:r w:rsidRPr="007E41F2">
        <w:t>Μολδαβία</w:t>
      </w:r>
      <w:r w:rsidR="006D79BB" w:rsidRPr="007E41F2">
        <w:t>»</w:t>
      </w:r>
      <w:r w:rsidRPr="007E41F2">
        <w:t xml:space="preserve">), </w:t>
      </w:r>
      <w:r w:rsidRPr="007E41F2">
        <w:lastRenderedPageBreak/>
        <w:t>το Μαυροβούνιο</w:t>
      </w:r>
      <w:r w:rsidRPr="007E41F2">
        <w:rPr>
          <w:rStyle w:val="FootnoteReference"/>
        </w:rPr>
        <w:footnoteReference w:id="7"/>
      </w:r>
      <w:r w:rsidRPr="007E41F2">
        <w:t>, τη Βόρεια Μακεδονία</w:t>
      </w:r>
      <w:r w:rsidRPr="007E41F2">
        <w:rPr>
          <w:rStyle w:val="FootnoteReference"/>
        </w:rPr>
        <w:footnoteReference w:id="8"/>
      </w:r>
      <w:r w:rsidRPr="007E41F2">
        <w:t>, τη Σερβία</w:t>
      </w:r>
      <w:r w:rsidRPr="007E41F2">
        <w:rPr>
          <w:rStyle w:val="FootnoteReference"/>
        </w:rPr>
        <w:footnoteReference w:id="9"/>
      </w:r>
      <w:r w:rsidRPr="007E41F2">
        <w:t>, την Τουρκία</w:t>
      </w:r>
      <w:r w:rsidRPr="007E41F2">
        <w:rPr>
          <w:rStyle w:val="FootnoteReference"/>
        </w:rPr>
        <w:footnoteReference w:id="10"/>
      </w:r>
      <w:r w:rsidRPr="007E41F2">
        <w:t xml:space="preserve"> και την Ουκρανία</w:t>
      </w:r>
      <w:r w:rsidRPr="007E41F2">
        <w:rPr>
          <w:rStyle w:val="FootnoteReference"/>
        </w:rPr>
        <w:footnoteReference w:id="11"/>
      </w:r>
      <w:r w:rsidRPr="007E41F2">
        <w:t>,</w:t>
      </w:r>
    </w:p>
    <w:p w14:paraId="4ADFE644" w14:textId="39B5957E" w:rsidR="003D673A" w:rsidRPr="007E41F2" w:rsidRDefault="003D673A" w:rsidP="003D673A">
      <w:pPr>
        <w:pStyle w:val="NormalHanging12a"/>
      </w:pPr>
      <w:r w:rsidRPr="007E41F2">
        <w:t>–</w:t>
      </w:r>
      <w:r w:rsidRPr="007E41F2">
        <w:tab/>
        <w:t>έχοντας υπόψη την ανακοίνωση της Επιτροπής, της 4ης Νοεμβρίου 2025, με τίτλο «Ανακοίνωση του 2025 σχετικά με την πολιτική διεύρυνσης της ΕΕ» (COM(202</w:t>
      </w:r>
      <w:r w:rsidR="00642708" w:rsidRPr="00642708">
        <w:t>5</w:t>
      </w:r>
      <w:r w:rsidRPr="007E41F2">
        <w:t>)0690), και τις προηγούμενες ετήσιες ανακοινώσεις σχετικά με το θέμα αυτό,</w:t>
      </w:r>
    </w:p>
    <w:p w14:paraId="0A91A49C" w14:textId="77777777" w:rsidR="003D673A" w:rsidRPr="007E41F2" w:rsidRDefault="003D673A" w:rsidP="003D673A">
      <w:pPr>
        <w:pStyle w:val="NormalHanging12a"/>
      </w:pPr>
      <w:r w:rsidRPr="007E41F2">
        <w:t>–</w:t>
      </w:r>
      <w:r w:rsidRPr="007E41F2">
        <w:tab/>
        <w:t>έχοντας υπόψη τα ψηφίσματα του Ευρωπαϊκού Κοινοβουλίου σχετικά με τις εκθέσεις της Επιτροπής του 2023 και του 2024 για το Κόσοβο</w:t>
      </w:r>
      <w:r w:rsidRPr="007E41F2">
        <w:rPr>
          <w:rStyle w:val="FootnoteReference"/>
          <w:bCs/>
          <w:iCs/>
        </w:rPr>
        <w:footnoteReference w:id="12"/>
      </w:r>
      <w:r w:rsidRPr="007E41F2">
        <w:t>, τη Σερβία</w:t>
      </w:r>
      <w:r w:rsidRPr="007E41F2">
        <w:rPr>
          <w:rStyle w:val="FootnoteReference"/>
          <w:bCs/>
          <w:iCs/>
        </w:rPr>
        <w:footnoteReference w:id="13"/>
      </w:r>
      <w:r w:rsidRPr="007E41F2">
        <w:t>, την Αλβανία</w:t>
      </w:r>
      <w:r w:rsidRPr="007E41F2">
        <w:rPr>
          <w:rStyle w:val="FootnoteReference"/>
          <w:bCs/>
          <w:iCs/>
        </w:rPr>
        <w:footnoteReference w:id="14"/>
      </w:r>
      <w:r w:rsidRPr="007E41F2">
        <w:t>, τη Βοσνία και Ερζεγοβίνη</w:t>
      </w:r>
      <w:r w:rsidRPr="007E41F2">
        <w:rPr>
          <w:rStyle w:val="FootnoteReference"/>
        </w:rPr>
        <w:footnoteReference w:id="15"/>
      </w:r>
      <w:r w:rsidRPr="007E41F2">
        <w:t>, τη Βόρεια Μακεδονία</w:t>
      </w:r>
      <w:r w:rsidRPr="007E41F2">
        <w:rPr>
          <w:rStyle w:val="FootnoteReference"/>
          <w:bCs/>
          <w:iCs/>
        </w:rPr>
        <w:footnoteReference w:id="16"/>
      </w:r>
      <w:r w:rsidRPr="007E41F2">
        <w:t>, το Μαυροβούνιο</w:t>
      </w:r>
      <w:r w:rsidRPr="007E41F2">
        <w:rPr>
          <w:rStyle w:val="FootnoteReference"/>
          <w:bCs/>
          <w:iCs/>
        </w:rPr>
        <w:footnoteReference w:id="17"/>
      </w:r>
      <w:r w:rsidRPr="007E41F2">
        <w:t>, την Ουκρανία</w:t>
      </w:r>
      <w:r w:rsidRPr="007E41F2">
        <w:rPr>
          <w:rStyle w:val="FootnoteReference"/>
          <w:bCs/>
          <w:iCs/>
        </w:rPr>
        <w:footnoteReference w:id="18"/>
      </w:r>
      <w:r w:rsidRPr="007E41F2">
        <w:t>, τη Μολδαβία</w:t>
      </w:r>
      <w:r w:rsidRPr="007E41F2">
        <w:rPr>
          <w:rStyle w:val="FootnoteReference"/>
          <w:bCs/>
          <w:iCs/>
        </w:rPr>
        <w:footnoteReference w:id="19"/>
      </w:r>
      <w:r w:rsidRPr="007E41F2">
        <w:t>, τη Γεωργία</w:t>
      </w:r>
      <w:r w:rsidRPr="007E41F2">
        <w:rPr>
          <w:rStyle w:val="FootnoteReference"/>
          <w:bCs/>
          <w:iCs/>
        </w:rPr>
        <w:footnoteReference w:id="20"/>
      </w:r>
      <w:r w:rsidRPr="007E41F2">
        <w:t xml:space="preserve"> και την Τουρκία</w:t>
      </w:r>
      <w:r w:rsidRPr="007E41F2">
        <w:rPr>
          <w:rStyle w:val="FootnoteReference"/>
          <w:bCs/>
          <w:iCs/>
        </w:rPr>
        <w:footnoteReference w:id="21"/>
      </w:r>
      <w:r w:rsidRPr="007E41F2">
        <w:t>,</w:t>
      </w:r>
    </w:p>
    <w:p w14:paraId="1064A95A" w14:textId="77777777" w:rsidR="003D673A" w:rsidRPr="007E41F2" w:rsidRDefault="003D673A" w:rsidP="003D673A">
      <w:pPr>
        <w:pStyle w:val="NormalHanging12a"/>
        <w:rPr>
          <w:bCs/>
          <w:iCs/>
        </w:rPr>
      </w:pPr>
      <w:r w:rsidRPr="007E41F2">
        <w:t>–</w:t>
      </w:r>
      <w:r w:rsidRPr="007E41F2">
        <w:tab/>
        <w:t>έχοντας υπόψη το ψήφισμα του Ευρωπαϊκού Κοινοβουλίου της 13ης Μαρτίου 2024 σχετικά με τη σύσφιξη των σχέσεων μεταξύ της ΕΕ και της Αρμενίας και την ανάγκη για ειρηνευτική συμφωνία μεταξύ του Αζερμπαϊτζάν και της Αρμενίας</w:t>
      </w:r>
      <w:r w:rsidRPr="007E41F2">
        <w:rPr>
          <w:rStyle w:val="FootnoteReference"/>
          <w:bCs/>
          <w:iCs/>
        </w:rPr>
        <w:footnoteReference w:id="22"/>
      </w:r>
      <w:r w:rsidRPr="007E41F2">
        <w:t>,</w:t>
      </w:r>
    </w:p>
    <w:p w14:paraId="00C18969" w14:textId="77777777" w:rsidR="003D673A" w:rsidRPr="007E41F2" w:rsidRDefault="003D673A" w:rsidP="003D673A">
      <w:pPr>
        <w:pStyle w:val="NormalHanging12a"/>
      </w:pPr>
      <w:r w:rsidRPr="007E41F2">
        <w:t>–</w:t>
      </w:r>
      <w:r w:rsidRPr="007E41F2">
        <w:tab/>
        <w:t>έχοντας υπόψη το ψήφισμα του Ευρωπαϊκού Κοινοβουλίου της 29ης Φεβρουαρίου 2024 σχετικά με την εμβάθυνση της ολοκλήρωσης της ΕΕ ενόψει της μελλοντικής διεύρυνσης</w:t>
      </w:r>
      <w:r w:rsidRPr="007E41F2">
        <w:rPr>
          <w:rStyle w:val="FootnoteReference"/>
        </w:rPr>
        <w:footnoteReference w:id="23"/>
      </w:r>
      <w:r w:rsidRPr="007E41F2">
        <w:t>,</w:t>
      </w:r>
    </w:p>
    <w:p w14:paraId="1BC13EF7" w14:textId="77777777" w:rsidR="003D673A" w:rsidRPr="007E41F2" w:rsidRDefault="003D673A" w:rsidP="003D673A">
      <w:pPr>
        <w:pStyle w:val="NormalHanging12a"/>
      </w:pPr>
      <w:r w:rsidRPr="007E41F2">
        <w:t>–</w:t>
      </w:r>
      <w:r w:rsidRPr="007E41F2">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14:paraId="5F993796" w14:textId="77777777" w:rsidR="003D673A" w:rsidRPr="007E41F2" w:rsidRDefault="003D673A" w:rsidP="003D673A">
      <w:pPr>
        <w:pStyle w:val="NormalHanging12a"/>
      </w:pPr>
      <w:r w:rsidRPr="007E41F2">
        <w:t>–</w:t>
      </w:r>
      <w:r w:rsidRPr="007E41F2">
        <w:tab/>
        <w:t xml:space="preserve">έχοντας υπόψη τη σύσταση του Ευρωπαϊκού Κοινοβουλίου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w:t>
      </w:r>
      <w:r w:rsidRPr="007E41F2">
        <w:lastRenderedPageBreak/>
        <w:t>σχετικά με τη νέα στρατηγική της ΕΕ για τη διεύρυνση</w:t>
      </w:r>
      <w:r w:rsidRPr="007E41F2">
        <w:rPr>
          <w:vertAlign w:val="superscript"/>
        </w:rPr>
        <w:footnoteReference w:id="24"/>
      </w:r>
      <w:r w:rsidRPr="007E41F2">
        <w:t>,</w:t>
      </w:r>
    </w:p>
    <w:p w14:paraId="13F66121" w14:textId="77777777" w:rsidR="003D673A" w:rsidRPr="007E41F2" w:rsidRDefault="003D673A" w:rsidP="003D673A">
      <w:pPr>
        <w:pStyle w:val="NormalHanging12a"/>
        <w:rPr>
          <w:iCs/>
        </w:rPr>
      </w:pPr>
      <w:r w:rsidRPr="007E41F2">
        <w:t>–</w:t>
      </w:r>
      <w:r w:rsidRPr="007E41F2">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sidRPr="007E41F2">
        <w:rPr>
          <w:rStyle w:val="FootnoteReference"/>
          <w:iCs/>
        </w:rPr>
        <w:footnoteReference w:id="25"/>
      </w:r>
      <w:r w:rsidRPr="007E41F2">
        <w:t>,</w:t>
      </w:r>
    </w:p>
    <w:p w14:paraId="6DF8F2DF" w14:textId="77777777" w:rsidR="003D673A" w:rsidRPr="007E41F2" w:rsidRDefault="003D673A" w:rsidP="003D673A">
      <w:pPr>
        <w:pStyle w:val="NormalHanging12a"/>
        <w:rPr>
          <w:iCs/>
        </w:rPr>
      </w:pPr>
      <w:r w:rsidRPr="007E41F2">
        <w:t>–</w:t>
      </w:r>
      <w:r w:rsidRPr="007E41F2">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7E41F2">
        <w:rPr>
          <w:rStyle w:val="FootnoteReference"/>
          <w:iCs/>
        </w:rPr>
        <w:footnoteReference w:id="26"/>
      </w:r>
      <w:r w:rsidRPr="007E41F2">
        <w:t>,</w:t>
      </w:r>
    </w:p>
    <w:p w14:paraId="028A4496" w14:textId="77777777" w:rsidR="003D673A" w:rsidRPr="007E41F2" w:rsidRDefault="003D673A" w:rsidP="003D673A">
      <w:pPr>
        <w:pStyle w:val="NormalHanging12a"/>
        <w:rPr>
          <w:iCs/>
        </w:rPr>
      </w:pPr>
      <w:r w:rsidRPr="007E41F2">
        <w:t>–</w:t>
      </w:r>
      <w:r w:rsidRPr="007E41F2">
        <w:tab/>
        <w:t>έχοντας υπόψη τον κανονισμό (ΕΕ) 2024/792 του Ευρωπαϊκού Κοινοβουλίου και του Συμβουλίου, της 29ης Φεβρουαρίου 2024, για τη θέσπιση του Μέσου Διευκόλυνσης για την Ουκρανία</w:t>
      </w:r>
      <w:r w:rsidRPr="007E41F2">
        <w:rPr>
          <w:rStyle w:val="FootnoteReference"/>
        </w:rPr>
        <w:footnoteReference w:id="27"/>
      </w:r>
      <w:r w:rsidRPr="007E41F2">
        <w:t>,</w:t>
      </w:r>
    </w:p>
    <w:p w14:paraId="0D75CD71" w14:textId="77777777" w:rsidR="003D673A" w:rsidRPr="007E41F2" w:rsidRDefault="003D673A" w:rsidP="003D673A">
      <w:pPr>
        <w:pStyle w:val="NormalHanging12a"/>
      </w:pPr>
      <w:r w:rsidRPr="007E41F2">
        <w:t>–</w:t>
      </w:r>
      <w:r w:rsidRPr="007E41F2">
        <w:tab/>
        <w:t>έχοντας υπόψη τον κανονισμό (ΕΕ) 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r w:rsidRPr="007E41F2">
        <w:rPr>
          <w:rStyle w:val="FootnoteReference"/>
        </w:rPr>
        <w:footnoteReference w:id="28"/>
      </w:r>
      <w:r w:rsidRPr="007E41F2">
        <w:t>,</w:t>
      </w:r>
    </w:p>
    <w:p w14:paraId="7B571C33" w14:textId="77777777" w:rsidR="003D673A" w:rsidRPr="007E41F2" w:rsidRDefault="003D673A" w:rsidP="003D673A">
      <w:pPr>
        <w:pStyle w:val="NormalHanging12a"/>
        <w:rPr>
          <w:iCs/>
        </w:rPr>
      </w:pPr>
      <w:r w:rsidRPr="007E41F2">
        <w:t>–</w:t>
      </w:r>
      <w:r w:rsidRPr="007E41F2">
        <w:tab/>
        <w:t>έχοντας υπόψη τα συμπεράσματα της Προεδρίας του Ευρωπαϊκού Συμβουλίου της Θεσσαλονίκης της 19ης και 20ής Ιουνίου 2003,</w:t>
      </w:r>
    </w:p>
    <w:p w14:paraId="57E1D18E" w14:textId="0DCE79C3" w:rsidR="003D673A" w:rsidRPr="007E41F2" w:rsidRDefault="003D673A" w:rsidP="003D673A">
      <w:pPr>
        <w:pStyle w:val="NormalHanging12a"/>
        <w:rPr>
          <w:iCs/>
        </w:rPr>
      </w:pPr>
      <w:r w:rsidRPr="007E41F2">
        <w:t>–</w:t>
      </w:r>
      <w:r w:rsidRPr="007E41F2">
        <w:tab/>
        <w:t xml:space="preserve">έχοντας υπόψη τις δηλώσεις των συνόδων κορυφής ΕΕ-Δυτικών Βαλκανίων της 17ης Μαΐου 2018 στη Σόφια, της 6ης Μαΐου 2020 στο Ζάγκρεμπ, της 6ης Οκτωβρίου 2021 στο </w:t>
      </w:r>
      <w:proofErr w:type="spellStart"/>
      <w:r w:rsidR="00EF58A3" w:rsidRPr="000F1942">
        <w:rPr>
          <w:iCs/>
          <w:lang w:val="en-IE"/>
        </w:rPr>
        <w:t>Brdo</w:t>
      </w:r>
      <w:proofErr w:type="spellEnd"/>
      <w:r w:rsidR="00EF58A3" w:rsidRPr="00EF58A3">
        <w:rPr>
          <w:iCs/>
        </w:rPr>
        <w:t xml:space="preserve"> </w:t>
      </w:r>
      <w:proofErr w:type="spellStart"/>
      <w:r w:rsidRPr="007E41F2">
        <w:t>pri</w:t>
      </w:r>
      <w:proofErr w:type="spellEnd"/>
      <w:r w:rsidRPr="007E41F2">
        <w:t xml:space="preserve"> </w:t>
      </w:r>
      <w:proofErr w:type="spellStart"/>
      <w:r w:rsidRPr="007E41F2">
        <w:t>Kranju</w:t>
      </w:r>
      <w:proofErr w:type="spellEnd"/>
      <w:r w:rsidRPr="007E41F2">
        <w:t>, της 6ης Δεκεμβρίου 2022 στα Τίρανα, της 13ης Δεκεμβρίου 2023 στις Βρυξέλλες και της 18ης Δεκεμβρίου 2024 στις Βρυξέλλες,</w:t>
      </w:r>
    </w:p>
    <w:p w14:paraId="0D310656" w14:textId="77777777" w:rsidR="003D673A" w:rsidRPr="007E41F2" w:rsidRDefault="003D673A" w:rsidP="003D673A">
      <w:pPr>
        <w:pStyle w:val="NormalHanging12a"/>
        <w:rPr>
          <w:iCs/>
        </w:rPr>
      </w:pPr>
      <w:r w:rsidRPr="007E41F2">
        <w:t>–</w:t>
      </w:r>
      <w:r w:rsidRPr="007E41F2">
        <w:tab/>
        <w:t>έχοντας υπόψη τη διαδικασία του Βερολίνου που δρομολογήθηκε στις 28 Αυγούστου 2014,</w:t>
      </w:r>
    </w:p>
    <w:p w14:paraId="2CCCCB3D" w14:textId="77777777" w:rsidR="003D673A" w:rsidRPr="007E41F2" w:rsidRDefault="003D673A" w:rsidP="003D673A">
      <w:pPr>
        <w:pStyle w:val="NormalHanging12a"/>
        <w:rPr>
          <w:iCs/>
        </w:rPr>
      </w:pPr>
      <w:r w:rsidRPr="007E41F2">
        <w:t>–</w:t>
      </w:r>
      <w:r w:rsidRPr="007E41F2">
        <w:tab/>
        <w:t>έχοντας υπόψη την κοινή δήλωση της συνόδου κορυφής της Ανατολικής Εταιρικής Σχέσης της 7ης Μαΐου 2009 στην Πράγα, της 29ης και 30ής Σεπτεμβρίου 2011 στη Βαρσοβία, της 28ης και 29ης Νοεμβρίου 2013 στο Βίλνιους, της 21ης και 22ας Μαΐου 2015 στη Ρίγα, της 24ης Νοεμβρίου 2017 στις Βρυξέλλες και της 15ης Δεκεμβρίου 2021 στις Βρυξέλλες,</w:t>
      </w:r>
    </w:p>
    <w:p w14:paraId="479DAD44" w14:textId="77777777" w:rsidR="003D673A" w:rsidRPr="007E41F2" w:rsidRDefault="003D673A" w:rsidP="003D673A">
      <w:pPr>
        <w:pStyle w:val="NormalHanging12a"/>
      </w:pPr>
      <w:r w:rsidRPr="007E41F2">
        <w:t>–</w:t>
      </w:r>
      <w:r w:rsidRPr="007E41F2">
        <w:tab/>
        <w:t>έχοντας υπόψη τη σύσταση του Ευρωπαϊκού Κοινοβουλίου της 19ης Ιουνίου 2020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την Ανατολική Εταιρική Σχέση, ενόψει της συνόδου κορυφής του Ιουνίου 2020</w:t>
      </w:r>
      <w:r w:rsidRPr="007E41F2">
        <w:rPr>
          <w:rStyle w:val="FootnoteReference"/>
        </w:rPr>
        <w:footnoteReference w:id="29"/>
      </w:r>
      <w:r w:rsidRPr="007E41F2">
        <w:t>,</w:t>
      </w:r>
    </w:p>
    <w:p w14:paraId="070CD5D6" w14:textId="77777777" w:rsidR="003D673A" w:rsidRPr="007E41F2" w:rsidRDefault="003D673A" w:rsidP="003D673A">
      <w:pPr>
        <w:pStyle w:val="NormalHanging12a"/>
        <w:rPr>
          <w:bCs/>
        </w:rPr>
      </w:pPr>
      <w:r w:rsidRPr="007E41F2">
        <w:t>–</w:t>
      </w:r>
      <w:r w:rsidRPr="007E41F2">
        <w:tab/>
        <w:t xml:space="preserve">έχοντας υπόψη το ψήφισμα του Ευρωπαϊκού Κοινοβουλίου της 22ας Οκτωβρίου 2025 σχετικά με την πόλωση και την εντεινόμενη καταστολή στη Σερβία έναν χρόνο μετά την τραγωδία του </w:t>
      </w:r>
      <w:proofErr w:type="spellStart"/>
      <w:r w:rsidRPr="007E41F2">
        <w:t>Novi</w:t>
      </w:r>
      <w:proofErr w:type="spellEnd"/>
      <w:r w:rsidRPr="007E41F2">
        <w:t xml:space="preserve"> </w:t>
      </w:r>
      <w:proofErr w:type="spellStart"/>
      <w:r w:rsidRPr="007E41F2">
        <w:t>Sad</w:t>
      </w:r>
      <w:proofErr w:type="spellEnd"/>
      <w:r w:rsidRPr="007E41F2">
        <w:rPr>
          <w:rStyle w:val="FootnoteReference"/>
          <w:bCs/>
        </w:rPr>
        <w:footnoteReference w:id="30"/>
      </w:r>
      <w:r w:rsidRPr="007E41F2">
        <w:t>,</w:t>
      </w:r>
    </w:p>
    <w:p w14:paraId="127414D6" w14:textId="77777777" w:rsidR="003D673A" w:rsidRPr="007E41F2" w:rsidRDefault="003D673A" w:rsidP="003D673A">
      <w:pPr>
        <w:pStyle w:val="NormalHanging12a"/>
        <w:rPr>
          <w:bCs/>
        </w:rPr>
      </w:pPr>
      <w:r w:rsidRPr="007E41F2">
        <w:t>–</w:t>
      </w:r>
      <w:r w:rsidRPr="007E41F2">
        <w:tab/>
        <w:t xml:space="preserve">έχοντας υπόψη το ψήφισμα του Ευρωπαϊκού Κοινοβουλίου της 13ης Φεβρουαρίου </w:t>
      </w:r>
      <w:r w:rsidRPr="007E41F2">
        <w:lastRenderedPageBreak/>
        <w:t>2025 σχετικά με την περαιτέρω επιδείνωση της πολιτικής κατάστασης στη Γεωργία</w:t>
      </w:r>
      <w:r w:rsidRPr="007E41F2">
        <w:rPr>
          <w:rStyle w:val="FootnoteReference"/>
        </w:rPr>
        <w:footnoteReference w:id="31"/>
      </w:r>
      <w:r w:rsidRPr="007E41F2">
        <w:t>,</w:t>
      </w:r>
    </w:p>
    <w:p w14:paraId="0A502206" w14:textId="4B8B6FB4" w:rsidR="003D673A" w:rsidRPr="007E41F2" w:rsidRDefault="003D673A" w:rsidP="003D673A">
      <w:pPr>
        <w:pStyle w:val="NormalHanging12a"/>
        <w:rPr>
          <w:iCs/>
        </w:rPr>
      </w:pPr>
      <w:r w:rsidRPr="007E41F2">
        <w:t>–</w:t>
      </w:r>
      <w:r w:rsidRPr="007E41F2">
        <w:tab/>
        <w:t>έχοντας υπόψη την κοινή ανακοίνωση της Επιτροπής και του Ύπατου Εκπροσώπου της Ένωσης για Θέματα Εξωτερικής Πολιτικής και Πολιτικής Ασφαλείας, της 29ης</w:t>
      </w:r>
      <w:r w:rsidR="00EF58A3">
        <w:rPr>
          <w:lang w:val="en-GB"/>
        </w:rPr>
        <w:t> </w:t>
      </w:r>
      <w:r w:rsidRPr="007E41F2">
        <w:t>Νοεμβρίου 2023, σχετικά με την κατάσταση των πολιτικών, οικονομικών και εμπορικών σχέσεων ΕΕ-Τουρκίας (JOIN(202</w:t>
      </w:r>
      <w:r w:rsidR="00642708" w:rsidRPr="00642708">
        <w:t>3</w:t>
      </w:r>
      <w:r w:rsidRPr="007E41F2">
        <w:t>)0050),</w:t>
      </w:r>
    </w:p>
    <w:p w14:paraId="3F35F036" w14:textId="4D350BCF" w:rsidR="003D673A" w:rsidRPr="007E41F2" w:rsidRDefault="003D673A" w:rsidP="003D673A">
      <w:pPr>
        <w:pStyle w:val="NormalHanging12a"/>
        <w:rPr>
          <w:iCs/>
        </w:rPr>
      </w:pPr>
      <w:r w:rsidRPr="007E41F2">
        <w:t>–</w:t>
      </w:r>
      <w:r w:rsidRPr="007E41F2">
        <w:tab/>
        <w:t>έχοντας υπόψη τη γνωμοδότηση της Ευρωπαϊκής Επιτροπής των Περιφερειών, της 2ας</w:t>
      </w:r>
      <w:r w:rsidR="00861AFC" w:rsidRPr="007E41F2">
        <w:rPr>
          <w:lang w:val="en-GB"/>
        </w:rPr>
        <w:t> </w:t>
      </w:r>
      <w:r w:rsidRPr="007E41F2">
        <w:t>Απριλίου 2025, με θέμα «Δέσμη μέτρων του 2024 για τη διεύρυνση — Δυτικά Βαλκάνια και Τουρκία»,</w:t>
      </w:r>
    </w:p>
    <w:p w14:paraId="134D0BA8" w14:textId="77777777" w:rsidR="003D673A" w:rsidRPr="007E41F2" w:rsidRDefault="003D673A" w:rsidP="003D673A">
      <w:pPr>
        <w:pStyle w:val="NormalHanging12a"/>
        <w:rPr>
          <w:bCs/>
          <w:iCs/>
        </w:rPr>
      </w:pPr>
      <w:r w:rsidRPr="007E41F2">
        <w:t>–</w:t>
      </w:r>
      <w:r w:rsidRPr="007E41F2">
        <w:tab/>
        <w:t>έχοντας υπόψη την ειδική έκθεση 01/2022 του Ευρωπαϊκού Ελεγκτικού Συνεδρίου, της 10ης Ιανουαρίου 2022, με τίτλο «Ενωσιακή στήριξη για το κράτος δικαίου στα Δυτικά Βαλκάνια: παρά τις προσπάθειες, εξακολουθούν να υπάρχουν θεμελιώδη προβλήματα»,</w:t>
      </w:r>
    </w:p>
    <w:p w14:paraId="0DC4DCD0" w14:textId="77777777" w:rsidR="003D673A" w:rsidRPr="007E41F2" w:rsidRDefault="003D673A" w:rsidP="003D673A">
      <w:pPr>
        <w:pStyle w:val="NormalHanging12a"/>
      </w:pPr>
      <w:r w:rsidRPr="007E41F2">
        <w:t>–</w:t>
      </w:r>
      <w:r w:rsidRPr="007E41F2">
        <w:tab/>
        <w:t>έχοντας υπόψη τις εκθέσεις της Επιτροπής για το κράτος δικαίου για τα έτη 2024 και 2025,</w:t>
      </w:r>
    </w:p>
    <w:p w14:paraId="5457D48E" w14:textId="77777777" w:rsidR="003D673A" w:rsidRPr="007E41F2" w:rsidRDefault="003D673A" w:rsidP="003D673A">
      <w:pPr>
        <w:pStyle w:val="NormalHanging12a"/>
      </w:pPr>
      <w:r w:rsidRPr="007E41F2">
        <w:t>–</w:t>
      </w:r>
      <w:r w:rsidRPr="007E41F2">
        <w:tab/>
      </w:r>
      <w:bookmarkStart w:id="7" w:name="_Hlk209882928"/>
      <w:r w:rsidRPr="007E41F2">
        <w:t>έχοντας υπόψη το άρθρο 55 του Κανονισμού του,</w:t>
      </w:r>
    </w:p>
    <w:p w14:paraId="48821FE1" w14:textId="77777777" w:rsidR="003D673A" w:rsidRPr="007E41F2" w:rsidRDefault="003D673A" w:rsidP="003D673A">
      <w:pPr>
        <w:pStyle w:val="NormalHanging12a"/>
      </w:pPr>
      <w:r w:rsidRPr="007E41F2">
        <w:t>–</w:t>
      </w:r>
      <w:r w:rsidRPr="007E41F2">
        <w:tab/>
        <w:t>έχοντας υπόψη την έκθεση της Επιτροπής Εξωτερικών Υποθέσεων (A10-0016/2026),</w:t>
      </w:r>
      <w:bookmarkEnd w:id="7"/>
    </w:p>
    <w:p w14:paraId="430DE1D7" w14:textId="77777777" w:rsidR="003D673A" w:rsidRPr="007E41F2" w:rsidRDefault="003D673A" w:rsidP="003D673A">
      <w:pPr>
        <w:pStyle w:val="NormalHanging12a"/>
      </w:pPr>
      <w:r w:rsidRPr="007E41F2">
        <w:t>Α.</w:t>
      </w:r>
      <w:r w:rsidRPr="007E41F2">
        <w:tab/>
        <w:t>λαμβάνοντας υπόψη ότι η διαδικασία διεύρυνσης της ΕΕ έχει σημειώσει σημαντική πρόοδο τα τελευταία χρόνια σε ορισμένες υποψήφιες χώρες· λαμβάνοντας υπόψη ότι εννέα από τις δέκα χώρες που φιλοδοξούν επί του παρόντος να προσχωρήσουν στην ΕΕ έχουν καθεστώς υποψήφιας χώρας, και ορισμένες από αυτές το έχουν εδώ και πολλά χρόνια· λαμβάνοντας υπόψη ότι η έναρξη των ενταξιακών διαπραγματεύσεων με την Ουκρανία και τη Μολδαβία έχει συμβάλει σε μια νέα δυναμική της πολιτικής διεύρυνσης·</w:t>
      </w:r>
    </w:p>
    <w:p w14:paraId="069DCC8D" w14:textId="77777777" w:rsidR="003D673A" w:rsidRPr="007E41F2" w:rsidRDefault="003D673A" w:rsidP="003D673A">
      <w:pPr>
        <w:pStyle w:val="NormalHanging12a"/>
      </w:pPr>
      <w:r w:rsidRPr="007E41F2">
        <w:t>Β.</w:t>
      </w:r>
      <w:r w:rsidRPr="007E41F2">
        <w:tab/>
        <w:t>λαμβάνοντας υπόψη ότι η διεύρυνση είναι ένα από τα ισχυρότερα εργαλεία εξωτερικής πολιτικής και γεωπολιτικής της ΕΕ και παραμένει βασικός μοχλός μακροπρόθεσμης ασφάλειας, ειρήνης, σταθερότητας και ευημερίας στην Ευρώπη με βάση κοινές δημοκρατικές αξίες· λαμβάνοντας υπόψη ότι η διεύρυνση αποτελεί ιστορική και μοναδική ευκαιρία με σημαντικά κοινωνικοοικονομικά και πολιτικά πλεονεκτήματα, καθώς και πλεονεκτήματα στον τομέα της ασφάλειας, τόσο για την ΕΕ όσο και για τις χώρες της διεύρυνσης·</w:t>
      </w:r>
    </w:p>
    <w:p w14:paraId="6EBCEFB9" w14:textId="77777777" w:rsidR="003D673A" w:rsidRPr="007E41F2" w:rsidRDefault="003D673A" w:rsidP="003D673A">
      <w:pPr>
        <w:pStyle w:val="NormalHanging12a"/>
      </w:pPr>
      <w:r w:rsidRPr="007E41F2">
        <w:t>Γ.</w:t>
      </w:r>
      <w:r w:rsidRPr="007E41F2">
        <w:tab/>
        <w:t>λαμβάνοντας υπόψη ότι, σύμφωνα με την τελευταία έκθεση του Ευρωβαρόμετρου σχετικά με τη διεύρυνση, το 56 % των πολιτών της ΕΕ υποστηρίζει την περαιτέρω διεύρυνση της Ευρωπαϊκής Ένωσης, με την Ουκρανία να είναι η πιο δημοφιλής υποψήφια χώρα για ένταξη, εφόσον πληροί όλα τα κριτήρια ένταξης στην ΕΕ·</w:t>
      </w:r>
    </w:p>
    <w:p w14:paraId="61457661" w14:textId="77777777" w:rsidR="003D673A" w:rsidRPr="007E41F2" w:rsidRDefault="003D673A" w:rsidP="003D673A">
      <w:pPr>
        <w:pStyle w:val="NormalHanging12a"/>
      </w:pPr>
      <w:r w:rsidRPr="007E41F2">
        <w:t>Δ.</w:t>
      </w:r>
      <w:r w:rsidRPr="007E41F2">
        <w:tab/>
        <w:t>λαμβάνοντας υπόψη ότι, σύμφωνα με την έκθεση του Ευρωβαρόμετρου, οι προηγούμενοι γύροι διεύρυνσης θεωρείται ότι απέφεραν τα μεγαλύτερα οφέλη στους τομείς της οικονομικής ανάπτυξης και της ανταγωνιστικότητας, ακολουθούμενοι από την ενισχυμένη παγκόσμια επιρροή της Ένωσης και την ενισχυμένη ασφάλεια και άμυνα·</w:t>
      </w:r>
    </w:p>
    <w:p w14:paraId="40DB4FEA" w14:textId="77777777" w:rsidR="003D673A" w:rsidRPr="007E41F2" w:rsidRDefault="003D673A" w:rsidP="003D673A">
      <w:pPr>
        <w:pStyle w:val="NormalHanging12a"/>
      </w:pPr>
      <w:r w:rsidRPr="007E41F2">
        <w:t>Ε.</w:t>
      </w:r>
      <w:r w:rsidRPr="007E41F2">
        <w:tab/>
        <w:t xml:space="preserve">λαμβάνοντας υπόψη ότι η διαδικασία προσχώρησης στην ΕΕ αποφέρει από μόνη της απτά αποτελέσματα, με την ΕΕ να παραμένει ο κύριος πολιτικός, οικονομικός και </w:t>
      </w:r>
      <w:r w:rsidRPr="007E41F2">
        <w:lastRenderedPageBreak/>
        <w:t>εμπορικός εταίρος των χωρών της διεύρυνσης· λαμβάνοντας υπόψη ότι ο συνολικός όγκος των εμπορικών συναλλαγών των Δυτικών Βαλκανίων με την ΕΕ αυξήθηκε κατά 62 % μετά την έναρξη ισχύος των συμφωνιών σταθεροποίησης και σύνδεσης· λαμβάνοντας υπόψη ότι οι σφαιρικές και σε βάθος συμφωνίες ελεύθερων συναλλαγών είχαν μετασχηματιστικό αντίκτυπο στη Μολδαβία και την Ουκρανία όσον αφορά τόσο το εμπόριο όσο και την οικονομική ανάπτυξη, αυξάνοντας τις εμπορικές τους συναλλαγές κατά 65,4 % και 64,7 % αντίστοιχα·</w:t>
      </w:r>
    </w:p>
    <w:p w14:paraId="38959455" w14:textId="77777777" w:rsidR="003D673A" w:rsidRPr="007E41F2" w:rsidRDefault="003D673A" w:rsidP="003D673A">
      <w:pPr>
        <w:pStyle w:val="NormalHanging12a"/>
      </w:pPr>
      <w:r w:rsidRPr="007E41F2">
        <w:t>ΣΤ.</w:t>
      </w:r>
      <w:r w:rsidRPr="007E41F2">
        <w:tab/>
        <w:t>λαμβάνοντας υπόψη ότι ο επιθετικός πόλεμος πλήρους κλίμακας της Ρωσίας κατά της Ουκρανίας συνιστά σοβαρή απειλή για την ασφάλεια στην ευρωπαϊκή ήπειρο και πέραν αυτής, γεγονός που καταδεικνύει ότι η μη διεύρυνση συνεπάγεται σημαντικό στρατηγικό κόστος και υπονομεύει την ασφάλεια και τη σταθερότητα σε ολόκληρη την ήπειρό μας· λαμβάνοντας υπόψη ότι η στασιμότητα της διαδικασίας διεύρυνσης τα τελευταία χρόνια έχει δημιουργήσει ένα κενό, ανοίγοντας έτσι το πεδίο για τη Ρωσία, την Κίνα και άλλους επιζήμιους παράγοντες εκτός ΕΕ· λαμβάνοντας υπόψη ότι η Ρωσία παρεμβαίνει σκόπιμα στις χώρες της Ανατολικής Εταιρικής Σχέσης και των Δυτικών Βαλκανίων μέσω επιχειρήσεων υβριδικών απειλών, συμπεριλαμβανομένων εκλογικών παρεμβάσεων και εκστρατειών χειραγώγησης των πληροφοριών και παρεμβάσεων από το εξωτερικό (FIMI), επιδιώκοντας να παρεμποδίσει τη διαδικασία προσχώρησης στην ΕΕ στις χώρες αυτές και θέτοντας σε κίνδυνο την ασφάλεια τόσο των εν λόγω περιοχών, μέσω της παράνομης κατοχής τμημάτων του εδάφους τριών υποψήφιων χωρών, όσο και ολόκληρης της ηπείρου·</w:t>
      </w:r>
    </w:p>
    <w:p w14:paraId="5D684FED" w14:textId="77777777" w:rsidR="003D673A" w:rsidRPr="007E41F2" w:rsidRDefault="003D673A" w:rsidP="003D673A">
      <w:pPr>
        <w:pStyle w:val="NormalHanging12a"/>
      </w:pPr>
      <w:r w:rsidRPr="007E41F2">
        <w:t>Ζ.</w:t>
      </w:r>
      <w:r w:rsidRPr="007E41F2">
        <w:tab/>
        <w:t>λαμβάνοντας υπόψη ότι η επιρροή της Κίνας εξαπλώνεται επικίνδυνα, με προγράμματα οικονομικής εξάρτησης και συνεργασίες στον τομέα της ασφάλειας, ιδίως στα Δυτικά Βαλκάνια και στη Γεωργία, καθώς συνεχίζει να εκμεταλλεύεται την πολιτική αστάθεια και τις θεσμικές αδυναμίες σε διάφορες χώρες της διεύρυνσης, προκειμένου να υπονομεύσει την πορεία τους προς την ένταξη στην ΕΕ και τη δημοκρατική διακυβέρνησή τους·</w:t>
      </w:r>
    </w:p>
    <w:p w14:paraId="05CF2924" w14:textId="77777777" w:rsidR="003D673A" w:rsidRPr="007E41F2" w:rsidRDefault="003D673A" w:rsidP="003D673A">
      <w:pPr>
        <w:pStyle w:val="NormalHanging12a"/>
      </w:pPr>
      <w:r w:rsidRPr="007E41F2">
        <w:t>Η.</w:t>
      </w:r>
      <w:r w:rsidRPr="007E41F2">
        <w:tab/>
        <w:t>λαμβάνοντας υπόψη ότι η διεύρυνση είναι μια αξιοκρατική διαδικασία, της οποίας η μη αναστρέψιμη πρόοδος όσον αφορά το κράτος δικαίου, τη δημοκρατία και τις θεμελιώδεις αξίες παραμένει ο βασικός ακρογωνιαίος λίθος· λαμβάνοντας υπόψη ότι η προσχώρηση κάθε χώρας στην ΕΕ προϋποθέτει διαρκείς, εις βάθος και μη αναστρέψιμες μεταρρυθμίσεις σε θεμελιώδεις τομείς, αρχής γενομένης από το κράτος δικαίου και τη λειτουργία των δημοκρατικών θεσμών· λαμβάνοντας υπόψη ότι η ποιότητα των αναγκαίων μεταρρυθμίσεων που αναλαμβάνει μια χώρα καθορίζει το χρονοδιάγραμμα προσχώρησης·</w:t>
      </w:r>
    </w:p>
    <w:p w14:paraId="776A0F16" w14:textId="77777777" w:rsidR="003D673A" w:rsidRPr="007E41F2" w:rsidRDefault="003D673A" w:rsidP="003D673A">
      <w:pPr>
        <w:pStyle w:val="NormalHanging12a"/>
      </w:pPr>
      <w:r w:rsidRPr="007E41F2">
        <w:t>Θ.</w:t>
      </w:r>
      <w:r w:rsidRPr="007E41F2">
        <w:tab/>
        <w:t>λαμβάνοντας υπόψη ότι η ΕΕ εξακολουθεί να είναι ο μεγαλύτερος πάροχος επενδυτικής και χρηματοδοτικής βοήθειας μέσω του Μηχανισμού Προενταξιακής Βοήθειας ΜΠΒ ΙΙΙ, του οικονομικού και επενδυτικού σχεδίου για τα Δυτικά Βαλκάνια, της διευκόλυνσης για τα Δυτικά Βαλκάνια, της διευκόλυνσης για την Ουκρανία, της διευκόλυνσης για τη Μολδαβία, του Μηχανισμού Γειτονίας, Ανάπτυξης και Διεθνούς Συνεργασίας – Παγκόσμια Ευρώπη (NDICI-</w:t>
      </w:r>
      <w:proofErr w:type="spellStart"/>
      <w:r w:rsidRPr="007E41F2">
        <w:t>Global</w:t>
      </w:r>
      <w:proofErr w:type="spellEnd"/>
      <w:r w:rsidRPr="007E41F2">
        <w:t xml:space="preserve"> Europe), και της μακροοικονομικής χρηματοδοτικής συνδρομής·</w:t>
      </w:r>
    </w:p>
    <w:p w14:paraId="3AD1A3FF" w14:textId="77777777" w:rsidR="003D673A" w:rsidRPr="007E41F2" w:rsidRDefault="003D673A" w:rsidP="003D673A">
      <w:pPr>
        <w:pStyle w:val="NormalHanging12a"/>
      </w:pPr>
      <w:r w:rsidRPr="007E41F2">
        <w:t>Ι.</w:t>
      </w:r>
      <w:r w:rsidRPr="007E41F2">
        <w:tab/>
        <w:t>λαμβάνοντας υπόψη ότι η ευθυγράμμιση των υποψήφιων χωρών με την κοινή εξωτερική πολιτική και πολιτική ασφάλειας (ΚΕΠΠΑ) της ΕΕ παραμένει μία από τις βασικές προϋποθέσεις για την προσχώρηση στην ΕΕ·</w:t>
      </w:r>
    </w:p>
    <w:p w14:paraId="178D41C9" w14:textId="77777777" w:rsidR="003D673A" w:rsidRPr="007E41F2" w:rsidRDefault="003D673A" w:rsidP="003D673A">
      <w:pPr>
        <w:pStyle w:val="NormalHanging12a"/>
      </w:pPr>
      <w:r w:rsidRPr="007E41F2">
        <w:t>ΙΑ.</w:t>
      </w:r>
      <w:r w:rsidRPr="007E41F2">
        <w:tab/>
        <w:t xml:space="preserve">λαμβάνοντας υπόψη ότι η διαδικασία λήψης αποφάσεων σχετικά με τη διεύρυνση </w:t>
      </w:r>
      <w:r w:rsidRPr="007E41F2">
        <w:lastRenderedPageBreak/>
        <w:t>ορίζεται στο άρθρο 49 ΣΕΕ και στα διαπραγματευτικά πλαίσια που καταρτίζονται για κάθε υποψήφια χώρα·</w:t>
      </w:r>
    </w:p>
    <w:p w14:paraId="21216ED3" w14:textId="77777777" w:rsidR="003D673A" w:rsidRPr="007E41F2" w:rsidRDefault="003D673A" w:rsidP="003D673A">
      <w:pPr>
        <w:pStyle w:val="NormalHanging12a"/>
      </w:pPr>
      <w:r w:rsidRPr="007E41F2">
        <w:t>ΙΒ.</w:t>
      </w:r>
      <w:r w:rsidRPr="007E41F2">
        <w:tab/>
        <w:t>λαμβάνοντας υπόψη ότι το Κοινοβούλιο παραμένει αξιόπιστος εταίρος των υπό ένταξη χωρών και υπέρμαχος της διαδικασίας διεύρυνσης επιτρέποντας θεσμικές και κοινωνικοοικονομικές μεταρρυθμίσεις προς όφελος των πολιτών·</w:t>
      </w:r>
    </w:p>
    <w:p w14:paraId="1AA54DFA" w14:textId="77777777" w:rsidR="003D673A" w:rsidRPr="007E41F2" w:rsidRDefault="003D673A" w:rsidP="003D673A">
      <w:pPr>
        <w:pStyle w:val="NormalHanging12a"/>
        <w:rPr>
          <w:b/>
          <w:i/>
          <w:iCs/>
        </w:rPr>
      </w:pPr>
      <w:r w:rsidRPr="007E41F2">
        <w:rPr>
          <w:b/>
          <w:i/>
        </w:rPr>
        <w:t>Γεωστρατηγική διάσταση της διεύρυνσης</w:t>
      </w:r>
    </w:p>
    <w:p w14:paraId="52AD2192" w14:textId="2713D502" w:rsidR="003D673A" w:rsidRPr="007E41F2" w:rsidRDefault="007E41F2" w:rsidP="007E41F2">
      <w:pPr>
        <w:pStyle w:val="Normal12Hanging"/>
        <w:ind w:hanging="570"/>
        <w:rPr>
          <w:lang w:val="el-GR"/>
        </w:rPr>
      </w:pPr>
      <w:r w:rsidRPr="007E41F2">
        <w:rPr>
          <w:lang w:val="el-GR"/>
        </w:rPr>
        <w:t>1.</w:t>
      </w:r>
      <w:r w:rsidRPr="007E41F2">
        <w:rPr>
          <w:lang w:val="el-GR"/>
        </w:rPr>
        <w:tab/>
      </w:r>
      <w:r w:rsidR="003D673A" w:rsidRPr="007E41F2">
        <w:rPr>
          <w:rStyle w:val="NormalHanging12aChar"/>
        </w:rPr>
        <w:t>επαναλαμβάνει ότι η διεύρυνση αποτελεί στρατηγική απάντηση στη νέα γεωπολιτική πραγματικότητα και επένδυση υψίστης σημασίας για την ασφάλεια και τη σταθερότητα της ΕΕ έναντι του επιθετικού πολέμου πλήρους κλίμακας της Ρωσίας κατά της Ουκρανίας, τις επαναλαμβανόμενες παραβιάσεις των συνόρων, τις υβριδικές επιθέσεις και άλλες εχθρικές ενέργειες κατά των γειτόνων της, καθώς και άλλες κοινές γεωπολιτικές προκλήσεις, που απαιτούν μακροπρόθεσμο πολιτικό δημοκρατικό όραμα, τολμηρές ενέργειες και θαρραλέα μέτρα για την ολοκλήρωση του ευρωπαϊκού εγχειρήματος</w:t>
      </w:r>
      <w:r w:rsidR="003D673A" w:rsidRPr="007E41F2">
        <w:rPr>
          <w:lang w:val="el-GR"/>
        </w:rPr>
        <w:t>·</w:t>
      </w:r>
    </w:p>
    <w:p w14:paraId="56EDCF41" w14:textId="5215BD81" w:rsidR="003D673A" w:rsidRPr="007E41F2" w:rsidRDefault="007E41F2" w:rsidP="007E41F2">
      <w:pPr>
        <w:pStyle w:val="NormalHanging12a"/>
        <w:ind w:hanging="570"/>
      </w:pPr>
      <w:r w:rsidRPr="007E41F2">
        <w:t>2.</w:t>
      </w:r>
      <w:r w:rsidRPr="007E41F2">
        <w:tab/>
      </w:r>
      <w:r w:rsidR="003D673A" w:rsidRPr="007E41F2">
        <w:t>επαναλαμβάνει ότι η διεύρυνση είναι αμοιβαία επωφελής τόσο για τα σημερινά όσο και για τα μελλοντικά κράτη μέλη· τονίζει την επείγουσα πολιτική ανάγκη να καταδειχθεί η ενεργή προσήλωση της ΕΕ στη διαδικασία διεύρυνσης, μεταξύ άλλων με σκοπό τη διασφάλιση της αξιοπιστίας της ΕΕ έναντι των χωρών της διεύρυνσης και των κοινωνιών τους· επιμένει ότι η διεύρυνση της ΕΕ θα ενισχύσει την ασφάλεια και την οικονομία της Ευρώπης· τονίζει για μια ακόμη φορά ότι το μέλλον των Δυτικών Βαλκανίων, της Ουκρανίας και της Μολδαβίας βρίσκεται εντός της ΕΕ, σύμφωνα με τις προσδοκίες των λαών τους· υπογραμμίζει ότι το κόστος της μη διεύρυνσης υπερβαίνει το κόστος της ολοκλήρωσης της διαδικασίας και θα μπορούσε να δημιουργήσει γεωπολιτικές «γκρίζες ζώνες» εκτεθειμένες σε κακόβουλες επιρροές από χώρες εκτός ΕΕ που επιδιώκουν να αυξήσουν την πολιτική, οικονομική και στρατηγική επιρροή τους·</w:t>
      </w:r>
    </w:p>
    <w:p w14:paraId="7C34DC0F" w14:textId="724166E8" w:rsidR="003D673A" w:rsidRPr="007E41F2" w:rsidRDefault="007E41F2" w:rsidP="007E41F2">
      <w:pPr>
        <w:pStyle w:val="NormalHanging12a"/>
        <w:ind w:hanging="570"/>
      </w:pPr>
      <w:r w:rsidRPr="007E41F2">
        <w:t>3.</w:t>
      </w:r>
      <w:r w:rsidRPr="007E41F2">
        <w:tab/>
      </w:r>
      <w:r w:rsidR="003D673A" w:rsidRPr="007E41F2">
        <w:t>υπογραμμίζει ότι η προσχώρηση αποτελεί βασικό μέσο για την προώθηση της διαρκούς ειρήνης, της δημοκρατίας, του κράτους δικαίου και των θεμελιωδών δικαιωμάτων, για την ενίσχυση της περιφερειακής συμφιλίωσης και σταθερότητας, καθώς και για την προστασία των υποψηφίων χωρών και των γειτονικών χωρών της ΕΕ από κακόβουλες ξένες παρεμβάσεις, ιδίως από τη Ρωσία· θεωρεί ότι η πολιτική διεύρυνσης είναι απαραίτητη για την επιρροή της ΕΕ σε περιόδους αυξημένης γεωπολιτικής αστάθειας· τονίζει ότι η ευημερία και η ασφάλεια της ΕΕ βασίζονται στην ικανότητά της να υπερασπίζεται τη δημοκρατία, το κράτος δικαίου, τα ανθρώπινα δικαιώματα και τη βασιζόμενη σε κανόνες πολυμερή τάξη· υπενθυμίζει τους κοινούς πολιτιστικούς, ιστορικούς και ανθρώπινους δεσμούς μεταξύ των χωρών της διεύρυνσης και των κρατών μελών·</w:t>
      </w:r>
    </w:p>
    <w:p w14:paraId="12EB176D" w14:textId="77777777" w:rsidR="003D673A" w:rsidRPr="007E41F2" w:rsidRDefault="003D673A" w:rsidP="00065EF1">
      <w:pPr>
        <w:pStyle w:val="NormalHanging12a"/>
        <w:ind w:left="0" w:firstLine="0"/>
        <w:rPr>
          <w:b/>
          <w:bCs/>
          <w:i/>
        </w:rPr>
      </w:pPr>
      <w:r w:rsidRPr="007E41F2">
        <w:rPr>
          <w:b/>
          <w:i/>
        </w:rPr>
        <w:t>Στρατηγικές προτεραιότητες της διεύρυνσης της ΕΕ: αξιοκρατική διαδικασία και προϋποθέσεις</w:t>
      </w:r>
    </w:p>
    <w:p w14:paraId="5FEE5A55" w14:textId="28E19C99" w:rsidR="003D673A" w:rsidRPr="007E41F2" w:rsidRDefault="007E41F2" w:rsidP="007E41F2">
      <w:pPr>
        <w:pStyle w:val="NormalHanging12a"/>
        <w:ind w:hanging="570"/>
      </w:pPr>
      <w:r w:rsidRPr="007E41F2">
        <w:t>4.</w:t>
      </w:r>
      <w:r w:rsidRPr="007E41F2">
        <w:tab/>
      </w:r>
      <w:r w:rsidR="003D673A" w:rsidRPr="007E41F2">
        <w:t xml:space="preserve">εκφράζει την ικανοποίησή του για την πρόοδο που έχει σημειωθεί τα τελευταία χρόνια, η οποία καθιστά πιθανή τη διεύρυνση της ΕΕ στο εγγύς μέλλον· συγχαίρει το Μαυροβούνιο και την Αλβανία για τη σημαντική πρόοδό τους, σημειώνοντας τις φιλοδοξίες τους να ολοκληρώσουν τις διαπραγματεύσεις έως το τέλος του 2026 και το τέλος του 2027 αντίστοιχα· παροτρύνει τα θεσμικά όργανα της ΕΕ, ιδίως το Συμβούλιο, να ανταποκριθούν στη φιλοδοξία αυτή, να άρουν τα εμπόδια από την πλευρά της ΕΕ </w:t>
      </w:r>
      <w:r w:rsidR="003D673A" w:rsidRPr="007E41F2">
        <w:lastRenderedPageBreak/>
        <w:t>και, ως εκ τούτου, να ενισχύσουν την αξιοπιστία και την προβλεψιμότητα της διαδικασίας, τηρώντας παράλληλα πλήρως την αρχή της «αυστηρά αξιοκρατικής» διαδικασίας· εκφράζει την ικανοποίησή του για το γεγονός ότι η Βοσνία και Ερζεγοβίνη έχει καθεστώς υποψήφιας χώρας και ενθαρρύνει τη χώρα να λάβει περαιτέρω μέτρα όσον αφορά τις μεταρρυθμίσεις·</w:t>
      </w:r>
    </w:p>
    <w:p w14:paraId="560C4F63" w14:textId="03C14786" w:rsidR="003D673A" w:rsidRPr="007E41F2" w:rsidRDefault="007E41F2" w:rsidP="007E41F2">
      <w:pPr>
        <w:pStyle w:val="NormalHanging12a"/>
        <w:ind w:hanging="570"/>
      </w:pPr>
      <w:r w:rsidRPr="007E41F2">
        <w:t>5.</w:t>
      </w:r>
      <w:r w:rsidRPr="007E41F2">
        <w:tab/>
      </w:r>
      <w:r w:rsidR="003D673A" w:rsidRPr="007E41F2">
        <w:t>επαινεί την αξιοσημείωτη ανθεκτικότητα και προσήλωση της Ουκρανίας στην ευρωπαϊκή της πορεία, παρά τον επιθετικό πόλεμο της Ρωσίας· καλεί την ΕΕ και τα κράτη μέλη της να συνεχίσουν να στηρίζουν την Ουκρανία και εκφράζει τη λύπη του για την αδυναμία του Συμβουλίου να συμφωνήσει σχετικά με τη χρήση δεσμευμένων ρωσικών περιουσιακών στοιχείων· επαινεί τη Μολδαβία για τη σημαντική της πρόοδο στην πορεία προσχώρησής της στην ΕΕ και την επιτυχή ολοκλήρωση της διαδικασίας ελέγχου παρά τις συνεχείς υβριδικές απειλές· ζητεί την ταχεία έναρξη των διαπραγματεύσεων με την Ουκρανία και τη Μολδαβία και παροτρύνει την ουγγρική κυβέρνηση να σταματήσει να εμποδίζει τις διαπραγματεύσεις·</w:t>
      </w:r>
    </w:p>
    <w:p w14:paraId="314E6102" w14:textId="6BA067F6" w:rsidR="003D673A" w:rsidRPr="007E41F2" w:rsidRDefault="007E41F2" w:rsidP="007E41F2">
      <w:pPr>
        <w:pStyle w:val="NormalHanging12a"/>
        <w:ind w:hanging="570"/>
      </w:pPr>
      <w:r w:rsidRPr="007E41F2">
        <w:t>6.</w:t>
      </w:r>
      <w:r w:rsidRPr="007E41F2">
        <w:tab/>
      </w:r>
      <w:r w:rsidR="003D673A" w:rsidRPr="007E41F2">
        <w:t>επαναλαμβάνει ότι, σύμφωνα με το άρθρο 49 ΣΕΕ, κάθε ευρωπαϊκό κράτος μπορεί να ζητήσει να γίνει μέλος της ΕΕ, υπό την προϋπόθεση ότι σέβεται τις αξίες που ορίζονται στο άρθρο 2 ΣΕΕ, συμπεριλαμβανομένων της ανθρώπινης αξιοπρέπειας, της ελευθερίας, της δημοκρατίας, της ισότητας, του κράτους δικαίου και των ανθρωπίνων δικαιωμάτων, μεταξύ άλλων των δικαιωμάτων των μειονοτήτων· σημειώνει την αυξημένη στήριξη για την ένταξη στην ΕΕ σε αρκετές χώρες που προετοιμάζονταν προηγουμένως να προσχωρήσουν στην ΕΕ, συμπεριλαμβανομένης της Ισλανδίας, η οποία προτίθεται να διεξαγάγει δημοψήφισμα έως το 2027 για την επανέναρξη των συνομιλιών προσχώρησης, και ενθαρρύνει την ηγεσία της ΕΕ να συνεχίσει να οικοδομεί στενότερους δεσμούς με τις χώρες αυτές· σημειώνει ότι, στις 26 Μαρτίου 2025, το Κοινοβούλιο της Αρμενίας ενέκρινε νόμο που υποστηρίζει επίσημα την προσχώρηση στην ΕΕ και καλεί την κυβέρνηση της χώρας να ξεκινήσει τη διαδικασία προσχώρησης στην ΕΕ, θεωρεί δε ότι οι συνεχείς μεταρρυθμίσεις για την εδραίωση της δημοκρατίας στην Αρμενία θα μπορούσαν να ανοίξουν μια μετασχηματιστική φάση στις σχέσεις ΕΕ–Αρμενίας· χαιρετίζει ενδεχόμενες πρωτοβουλίες της Γροιλανδίας για την ενίσχυση των πολιτικών, θεσμικών και οικονομικών δεσμών της με την ΕΕ, εν μέσω αυξανόμενης στήριξης για την προσχώρηση στην ΕΕ·</w:t>
      </w:r>
    </w:p>
    <w:p w14:paraId="26EC4D9D" w14:textId="55990D4F" w:rsidR="003D673A" w:rsidRPr="007E41F2" w:rsidRDefault="007E41F2" w:rsidP="007E41F2">
      <w:pPr>
        <w:pStyle w:val="NormalHanging12a"/>
        <w:ind w:hanging="570"/>
      </w:pPr>
      <w:r w:rsidRPr="007E41F2">
        <w:t>7.</w:t>
      </w:r>
      <w:r w:rsidRPr="007E41F2">
        <w:tab/>
      </w:r>
      <w:r w:rsidR="003D673A" w:rsidRPr="007E41F2">
        <w:t>υπενθυμίζει ότι οι προηγούμενοι γύροι διεύρυνσης συνέβαλαν σημαντικά στην οικονομική ανάπτυξη τόσο των νέων όσο και των παλαιών κρατών μελών· υπογραμμίζει ότι η ελεύθερη κυκλοφορία βελτίωσε τις προοπτικές απασχόλησης και τους μισθούς και μείωσε τη φτώχεια μέσω εμβασμάτων· τονίζει ότι η διεύρυνση είχε θετικό αντίκτυπο στο βιοτικό επίπεδο μέσω της βελτίωσης της εργατικής νομοθεσίας, της υγείας και της ασφάλειας, της ισότητας των φύλων, των ψηφιακών υπηρεσιών, της εκπαίδευσης και της απαγόρευσης των διακρίσεων·</w:t>
      </w:r>
    </w:p>
    <w:p w14:paraId="526A493D" w14:textId="4B7EABFE" w:rsidR="003D673A" w:rsidRPr="007E41F2" w:rsidRDefault="007E41F2" w:rsidP="007E41F2">
      <w:pPr>
        <w:pStyle w:val="NormalHanging12a"/>
        <w:ind w:hanging="570"/>
      </w:pPr>
      <w:r w:rsidRPr="007E41F2">
        <w:t>8.</w:t>
      </w:r>
      <w:r w:rsidRPr="007E41F2">
        <w:tab/>
      </w:r>
      <w:r w:rsidR="003D673A" w:rsidRPr="007E41F2">
        <w:t>επαναλαμβάνει ότι η προσχώρηση πρέπει να παραμείνει αξιοκρατική και αναστρέψιμη διαδικασία, όπου κάθε υποψήφια χώρα αξιολογείται με βάση τα κριτήρια της Κοπεγχάγης, την ευθυγράμμιση με το κεκτημένο της ΕΕ και όλες τις πρόσθετες προϋποθέσεις του πλαισίου διεύρυνσης· τονίζει ότι η πορεία κάθε χώρας προς την ένταξη στην ΕΕ πρέπει να αξιολογείται με βάση τις επιδόσεις της εκάστοτε χώρας και ότι καμία χώρα δεν θα πρέπει να συνδέεται με άλλη ή να αντιμετωπίζεται ως μέρος ενός συνόλου· υπογραμμίζει ότι δεν μπορούν να υπάρξουν περικοπές στις αξίες και στις θεμελιώδεις αρχές της ΕΕ·</w:t>
      </w:r>
    </w:p>
    <w:p w14:paraId="528894C2" w14:textId="7F7F236B" w:rsidR="003D673A" w:rsidRPr="007E41F2" w:rsidRDefault="007E41F2" w:rsidP="007E41F2">
      <w:pPr>
        <w:pStyle w:val="NormalHanging12a"/>
        <w:ind w:hanging="570"/>
      </w:pPr>
      <w:r w:rsidRPr="007E41F2">
        <w:t>9.</w:t>
      </w:r>
      <w:r w:rsidRPr="007E41F2">
        <w:tab/>
      </w:r>
      <w:r w:rsidR="003D673A" w:rsidRPr="007E41F2">
        <w:t xml:space="preserve">τονίζει ότι, ενώ η διαδικασία θα πρέπει να γίνει πιο σταδιακή και δυναμική, με σαφείς </w:t>
      </w:r>
      <w:r w:rsidR="003D673A" w:rsidRPr="007E41F2">
        <w:lastRenderedPageBreak/>
        <w:t>μεταρρυθμιστικούς στόχους, χάρτες πορείας και ενδιάμεσα χρονοδιαγράμματα, δεν μπορεί να υπάρξει ταχεία διαδικασία, καθώς αυτό θα μπορούσε να επηρεάσει την ακεραιότητα της διαδικασίας προσχώρησης· σημειώνει ότι αρκετές υποψήφιες χώρες έχουν ήδη θέσει φιλόδοξους στόχους για την ολοκλήρωση των διαπραγματεύσεων, οι οποίοι θα πρέπει να ενθαρρύνονται όταν συνοδεύονται από απτές μεταρρυθμίσεις·</w:t>
      </w:r>
    </w:p>
    <w:p w14:paraId="5CBFAA05" w14:textId="6ECE682B" w:rsidR="003D673A" w:rsidRPr="007E41F2" w:rsidRDefault="007E41F2" w:rsidP="007E41F2">
      <w:pPr>
        <w:pStyle w:val="NormalHanging12a"/>
        <w:ind w:hanging="570"/>
      </w:pPr>
      <w:r w:rsidRPr="007E41F2">
        <w:t>10.</w:t>
      </w:r>
      <w:r w:rsidRPr="007E41F2">
        <w:tab/>
      </w:r>
      <w:r w:rsidR="003D673A" w:rsidRPr="007E41F2">
        <w:t>τονίζει ότι το κράτος δικαίου, οι δημοκρατικές μεταρρυθμίσεις, η ελευθερία των μέσων ενημέρωσης και τα θεμελιώδη δικαιώματα, συμπεριλαμβανομένων των δικαιωμάτων των μειονοτήτων, πρέπει να παραμείνουν στην πρώτη γραμμή της διεύρυνσης· τονίζει τη σημασία της ανεξαρτησίας της δικαιοσύνης, της καταπολέμησης της διαφθοράς, της συμμετοχής και της στήριξης της κοινωνίας των πολιτών και ενός ευνοϊκού περιβάλλοντος χωρίς εκφοβισμό ως κρίσιμων προϋποθέσεων για τη βιώσιμη πρόοδο προς την ένταξη στην ΕΕ, ιδίως σε μια περίοδο αυξανόμενων αυταρχικών τάσεων· τονίζει ότι η πρόοδος όσον αφορά τις θεμελιώδεις αρχές πρέπει να καθοδηγεί όλα τα διαπραγματευτικά κεφάλαια·</w:t>
      </w:r>
    </w:p>
    <w:p w14:paraId="3FEA6FF6" w14:textId="4EB0C6FB" w:rsidR="003D673A" w:rsidRPr="007E41F2" w:rsidRDefault="007E41F2" w:rsidP="007E41F2">
      <w:pPr>
        <w:pStyle w:val="NormalHanging12a"/>
        <w:ind w:hanging="570"/>
      </w:pPr>
      <w:r w:rsidRPr="007E41F2">
        <w:t>11.</w:t>
      </w:r>
      <w:r w:rsidRPr="007E41F2">
        <w:tab/>
      </w:r>
      <w:r w:rsidR="003D673A" w:rsidRPr="007E41F2">
        <w:t>υπογραμμίζει την ανάγκη να επιτευχθεί και να ενσωματωθεί η ισότητα των φύλων, μεταξύ άλλων με την εξάλειψη της έμφυλης και της ενδοοικογενειακής βίας, να προστατευθούν τα δικαιώματα των παιδιών και η πρόσβασή τους σε ποιοτική εκπαίδευση και να εφαρμοστεί πλήρως η αρχή της απαγόρευσης των διακρίσεων, μεταξύ άλλων κατά της κοινότητας ΛΟΑΤΚΙ+ και των ατόμων με αναπηρία, καθ’ όλη τη διάρκεια της διαδικασίας προσχώρησης· τονίζει ότι τα ανθρώπινα δικαιώματα πρέπει να διασφαλίζονται όχι μόνο μέσω της νομοθεσίας αλλά και μέσω της συνεπούς εφαρμογής στην πράξη· τονίζει την ανάγκη όλες οι χώρες της διεύρυνσης να διασφαλίσουν την πραγματική εκπροσώπηση των μειονοτήτων σε όλα τα επίπεδα διακυβέρνησης, να διατηρήσουν την πολιτιστική και γλωσσική ταυτότητα των μειονοτήτων, να διασφαλίσουν την πρόσβαση σε ποιοτική εκπαίδευση σε μειονοτικές γλώσσες και να καταπολεμήσουν αποτελεσματικά τη ρητορική μίσους και τα εγκλήματα μίσους·</w:t>
      </w:r>
    </w:p>
    <w:p w14:paraId="1FD60AA8" w14:textId="45FB246A" w:rsidR="003D673A" w:rsidRPr="007E41F2" w:rsidRDefault="007E41F2" w:rsidP="007E41F2">
      <w:pPr>
        <w:pStyle w:val="NormalHanging12a"/>
        <w:ind w:hanging="570"/>
      </w:pPr>
      <w:r w:rsidRPr="007E41F2">
        <w:t>12.</w:t>
      </w:r>
      <w:r w:rsidRPr="007E41F2">
        <w:tab/>
      </w:r>
      <w:r w:rsidR="003D673A" w:rsidRPr="007E41F2">
        <w:t>καλεί την Επιτροπή να συμπεριλάβει στην ετήσια έκθεσή της για το κράτος δικαίου όλες τις χώρες της διεύρυνσης που δεν καλύπτονται επί του παρόντος από την εν λόγω έκθεση· εκφράζει ιδιαίτερη ανησυχία για τις συνεχιζόμενες ελλείψεις και τη στασιμότητα στις διαδικασίες μεταρρύθμισης του δικαστικού συστήματος, τις προσπάθειες αντιστροφής της προόδου στην καταπολέμηση της διαφθοράς, την περιορισμένη πρόοδο που έχει σημειωθεί στις μεταρρυθμίσεις της δημόσιας διοίκησης και την ανεπαρκή ευθυγράμμιση της εκλογικής νομοθεσίας με τα ευρωπαϊκά πρότυπα, καθώς και για την κοινωνική πόλωση, τη συρρίκνωση του χώρου της κοινωνίας των πολιτών και την καταστολή του δικαιώματος του συνέρχεσθαι ειρηνικώς σε ορισμένες από τις χώρες της διεύρυνσης·</w:t>
      </w:r>
    </w:p>
    <w:p w14:paraId="7163A426" w14:textId="4E0236BF" w:rsidR="003D673A" w:rsidRPr="007E41F2" w:rsidRDefault="007E41F2" w:rsidP="007E41F2">
      <w:pPr>
        <w:pStyle w:val="NormalHanging12a"/>
        <w:ind w:hanging="570"/>
      </w:pPr>
      <w:r w:rsidRPr="007E41F2">
        <w:t>13.</w:t>
      </w:r>
      <w:r w:rsidRPr="007E41F2">
        <w:tab/>
      </w:r>
      <w:r w:rsidR="003D673A" w:rsidRPr="007E41F2">
        <w:t>υπογραμμίζει ότι δεν υπάρχει θέση στην ΕΕ ή στις χώρες που επιθυμούν να γίνουν κράτη μέλη της ΕΕ για εμπρηστική ρητορική, άρνηση γενοκτονίας ή εξύμνηση εγκληματιών πολέμου από οποιαδήποτε πλευρά· τονίζει ότι η αντιμετώπιση του παρελθόντος είναι απαραίτητη για μια πραγματική συμφιλίωση, η οποία είναι ζωτικής σημασίας για την ευημερία των κοινωνιών και την ολοκλήρωση·</w:t>
      </w:r>
    </w:p>
    <w:p w14:paraId="169D2CD5" w14:textId="78757B25" w:rsidR="003D673A" w:rsidRPr="007E41F2" w:rsidRDefault="007E41F2" w:rsidP="007E41F2">
      <w:pPr>
        <w:pStyle w:val="NormalHanging12a"/>
        <w:ind w:hanging="570"/>
      </w:pPr>
      <w:r w:rsidRPr="007E41F2">
        <w:t>14.</w:t>
      </w:r>
      <w:r w:rsidRPr="007E41F2">
        <w:tab/>
      </w:r>
      <w:r w:rsidR="003D673A" w:rsidRPr="007E41F2">
        <w:t xml:space="preserve">ενθαρρύνει τις χώρες της διεύρυνσης να συνεχίσουν να εφαρμόζουν με αποφασιστικότητα και σε εύθετο χρόνο τις αναγκαίες μεταρρυθμίσεις και να επιτύχουν απτή και μη αναστρέψιμη πρόοδο, αρχής γενομένης από τις θεμελιώδεις αρχές· επιμένει ότι πρέπει να καταβάλλονται διαρκώς προσπάθειες για την προώθηση της πολυφωνίας των μέσων μαζικής ενημέρωσης, την προάσπιση των δικαιωμάτων των </w:t>
      </w:r>
      <w:r w:rsidR="003D673A" w:rsidRPr="007E41F2">
        <w:lastRenderedPageBreak/>
        <w:t>δημοσιογράφων, τη διαφύλαξη του περιβάλλοντος για την ερευνητική δημοσιογραφία και τη διασφάλιση της ελευθερίας έκφρασης σε όλες τις χώρες της διεύρυνσης, ενώ παράλληλα πρέπει να εφαρμόζονται αποτελεσματικοί μηχανισμοί για την αντιμετώπιση της ρητορικής μίσους, των εκστρατειών δυσφήμισης, της παρενόχλησης, των απειλών και των επιθέσεων κατά δημοσιογράφων· επιμένει ότι πρέπει να διερευνώνται και να διώκονται ποινικά τα αδικήματα αυτά, ενώ παράλληλα πρέπει να αντιμετωπίζονται η συγκέντρωση των μέσων ενημέρωσης, οι πολιτικές και οικονομικές πιέσεις και η έλλειψη διαφάνειας όσον αφορά τη χρηματοδότηση και την ιδιοκτησία των μέσων ενημέρωσης·</w:t>
      </w:r>
    </w:p>
    <w:p w14:paraId="26CDB7EE" w14:textId="702938D0" w:rsidR="003D673A" w:rsidRPr="007E41F2" w:rsidRDefault="007E41F2" w:rsidP="007E41F2">
      <w:pPr>
        <w:pStyle w:val="NormalHanging12a"/>
        <w:ind w:hanging="570"/>
      </w:pPr>
      <w:r w:rsidRPr="007E41F2">
        <w:t>15.</w:t>
      </w:r>
      <w:r w:rsidRPr="007E41F2">
        <w:tab/>
      </w:r>
      <w:r w:rsidR="003D673A" w:rsidRPr="007E41F2">
        <w:t>τονίζει την ανάγκη να ενισχυθούν η συμμετοχή των πολιτών και η συμβολή της κοινωνίας των πολιτών στη διαδικασία διεύρυνσης· υπογραμμίζει τον ρόλο των οργανώσεων της κοινωνίας των πολιτών με αποδεδειγμένο ιστορικό επιδόσεων και τομεακή εμπειρογνωσία στον έλεγχο, τη διαπραγμάτευση, την εφαρμογή και την παρακολούθηση των μεταρρυθμίσεων, τη διασφάλιση της διαφάνειας, της λογοδοσίας και της εμπιστοσύνης του κοινού στη διαδικασία προσχώρησης· τονίζει τη σημασία της συνεχούς στήριξης του έργου τους και ενός ασφαλούς περιβάλλοντος λειτουργίας· ζητεί να αυξηθεί η ευαισθητοποίηση σε εθνικό επίπεδο σχετικά με τη σημασία της στήριξης της κοινωνίας των πολιτών και η κρατική στήριξη για τις δραστηριότητές της, μεταξύ άλλων με σκοπό την προετοιμασία για τις αλλαγές στη χρηματοδότηση μετά την προσχώρηση στην ΕΕ·</w:t>
      </w:r>
    </w:p>
    <w:p w14:paraId="3D15E30D" w14:textId="26E311A9" w:rsidR="003D673A" w:rsidRPr="007E41F2" w:rsidRDefault="007E41F2" w:rsidP="007E41F2">
      <w:pPr>
        <w:pStyle w:val="NormalHanging12a"/>
        <w:ind w:hanging="570"/>
      </w:pPr>
      <w:r w:rsidRPr="007E41F2">
        <w:t>16.</w:t>
      </w:r>
      <w:r w:rsidRPr="007E41F2">
        <w:tab/>
      </w:r>
      <w:r w:rsidR="003D673A" w:rsidRPr="007E41F2">
        <w:t>επαναλαμβάνει τη θέση του ότι η ευθυγράμμιση με την ΚΕΠΠΑ της ΕΕ αποτελεί ουσιαστικό δείκτη του σαφούς γεωστρατηγικού προσανατολισμού μιας υποψήφιας χώρας, της προσήλωσής της στις θεμελιώδεις αξίες και αρχές της ΕΕ και της ετοιμότητάς της για μελλοντική ένταξη στην ΕΕ·</w:t>
      </w:r>
    </w:p>
    <w:p w14:paraId="0BB44F67" w14:textId="1D8F8B63" w:rsidR="003D673A" w:rsidRPr="007E41F2" w:rsidRDefault="007E41F2" w:rsidP="007E41F2">
      <w:pPr>
        <w:pStyle w:val="NormalHanging12a"/>
        <w:ind w:hanging="570"/>
      </w:pPr>
      <w:r w:rsidRPr="007E41F2">
        <w:t>17.</w:t>
      </w:r>
      <w:r w:rsidRPr="007E41F2">
        <w:tab/>
      </w:r>
      <w:r w:rsidR="003D673A" w:rsidRPr="007E41F2">
        <w:t>σημειώνει ότι ορισμένες υποψήφιες χώρες, και πρωτίστως η Ουκρανία, συμβάλλουν ήδη στην ευρωπαϊκή ασφάλεια και άμυνα· εκφράζει τον βαθύτατο σεβασμό και την ευγνωμοσύνη του στον λαό της Ουκρανίας, ο οποίος καταβάλλει καθημερινά το υψηλότερο τίμημα για τη διατήρηση του ευρωπαϊκού τρόπου ζωής·</w:t>
      </w:r>
    </w:p>
    <w:p w14:paraId="1F56E88E" w14:textId="3486419A" w:rsidR="003D673A" w:rsidRPr="007E41F2" w:rsidRDefault="007E41F2" w:rsidP="007E41F2">
      <w:pPr>
        <w:pStyle w:val="NormalHanging12a"/>
        <w:ind w:hanging="570"/>
      </w:pPr>
      <w:r w:rsidRPr="007E41F2">
        <w:t>18.</w:t>
      </w:r>
      <w:r w:rsidRPr="007E41F2">
        <w:tab/>
      </w:r>
      <w:r w:rsidR="003D673A" w:rsidRPr="007E41F2">
        <w:t xml:space="preserve">εκφράζει την ικανοποίησή του για την επιτυχή επανέναρξη του διαλόγου για την ΚΕΠΠΑ με τους εταίρους των Δυτικών Βαλκανίων και υπογραμμίζει τη σημασία αυτών των εταιρικών σχέσεων για την ειρήνη και την ασφάλεια· παροτρύνει όλες τις υποψήφιες και δυνάμει υποψήφιες χώρες να δώσουν προτεραιότητα στην ταχεία και πλήρη ευθυγράμμιση με την ΚΕΠΠΑ και επαναλαμβάνει ότι η προσχώρηση μιας χώρας μπορεί να προχωρήσει μόνο αφού ευθυγραμμιστεί πλήρως με την ΚΕΠΠΑ, μεταξύ άλλων με την υιοθέτηση και την εφαρμογή περιοριστικών μέτρων και την ευθυγράμμιση με την κοινή πολιτική θεωρήσεων· </w:t>
      </w:r>
      <w:bookmarkStart w:id="8" w:name="_Hlk217046534"/>
      <w:r w:rsidR="003D673A" w:rsidRPr="007E41F2">
        <w:t xml:space="preserve">σημειώνει ότι οι πιο ανησυχητικές εξελίξεις και η οπισθοδρόμηση της δημοκρατίας συνεχίζουν να παρατηρούνται στις χώρες της διεύρυνσης με τον χαμηλότερο βαθμό ευθυγράμμισης με την ΚΕΠΠΑ και σε χώρες των οποίων η διαδικασία προσχώρησης στην ΕΕ έχει ουσιαστικά αδρανήσει, ιδίως στη Σερβία, τη Γεωργία και την Τουρκία· παροτρύνει την ΕΕ και τα κράτη μέλη να καταβάλουν κάθε δυνατή προσπάθεια για να αποτρέψουν άλλες χώρες της διεύρυνσης από το να ακολουθήσουν το παράδειγμα αυτών των χωρών· </w:t>
      </w:r>
      <w:bookmarkEnd w:id="8"/>
      <w:r w:rsidR="003D673A" w:rsidRPr="007E41F2">
        <w:t xml:space="preserve">τονίζει ότι η συστηματική απόκλιση από την ευθυγράμμιση με την ΚΕΠΠΑ αποτελεί θεμελιώδες εμπόδιο για την προσχώρηση στην ΕΕ· αναμένει από τις υποψήφιες και δυνάμει υποψήφιες χώρες να ευθυγραμμιστούν επίσης πλήρως με την κοινή πολιτική ασφάλειας και άμυνας (ΚΠΑΑ), συμπεριλαμβανομένων των αρχών, των στόχων και των αποστολών της, ως βασική συνιστώσα της διαδικασίας προσχώρησης· ενθαρρύνει το Συμβούλιο Εξωτερικών Υποθέσεων να καλέσει τους υπουργούς Εξωτερικών των </w:t>
      </w:r>
      <w:r w:rsidR="003D673A" w:rsidRPr="007E41F2">
        <w:lastRenderedPageBreak/>
        <w:t>χωρών της διεύρυνσης που είναι 100 % ευθυγραμμισμένες με την ΚΕΠΠΑ να παραστούν στις συνόδους κορυφής του ως προσκεκλημένοι·</w:t>
      </w:r>
    </w:p>
    <w:p w14:paraId="642443A9" w14:textId="2D51C1D8" w:rsidR="003D673A" w:rsidRPr="007E41F2" w:rsidRDefault="007E41F2" w:rsidP="007E41F2">
      <w:pPr>
        <w:pStyle w:val="NormalHanging12a"/>
        <w:ind w:hanging="570"/>
      </w:pPr>
      <w:r w:rsidRPr="007E41F2">
        <w:t>19.</w:t>
      </w:r>
      <w:r w:rsidRPr="007E41F2">
        <w:tab/>
      </w:r>
      <w:r w:rsidR="003D673A" w:rsidRPr="007E41F2">
        <w:t>σημειώνει ότι είναι σημαντικό να ενισχυθεί ο ρόλος των υποψηφίων χωρών στην ευρωπαϊκή ασφάλεια και άμυνα και υποστηρίζει την αξιοκρατική συμμετοχή τους σε επιλεγμένα αμυντικά μέσα, προγράμματα και έργα της ΕΕ, καθώς και να τους χορηγηθεί καθεστώς παρατηρητή στον Ευρωπαϊκό Οργανισμό Άμυνας· ζητεί να συμπεριληφθούν στη συζήτηση και να δεσμευτούν να παράσχουν εγγυήσεις ασφάλειας στην Ουκρανία· αναγνωρίζει τη συμβολή αρκετών υποψήφιων χωρών στις αποστολές ΚΕΠΑΑ της ΕΕ καθώς και τον αγώνα τους κατά της χειραγώγησης των πληροφοριών και των παρεμβάσεων από το εξωτερικό και των υβριδικών απειλών κατά της ΕΕ, και υπογραμμίζει ότι η στενότερη ολοκλήρωση ενισχύει τη συλλογική ασφάλεια και ανθεκτικότητα στις υβριδικές απειλές·</w:t>
      </w:r>
    </w:p>
    <w:p w14:paraId="5E448D73" w14:textId="0CE0F633" w:rsidR="003D673A" w:rsidRPr="007E41F2" w:rsidRDefault="007E41F2" w:rsidP="007E41F2">
      <w:pPr>
        <w:pStyle w:val="NormalHanging12a"/>
        <w:ind w:hanging="570"/>
      </w:pPr>
      <w:r w:rsidRPr="007E41F2">
        <w:t>20.</w:t>
      </w:r>
      <w:r w:rsidRPr="007E41F2">
        <w:tab/>
      </w:r>
      <w:r w:rsidR="003D673A" w:rsidRPr="007E41F2">
        <w:t>τονίζει ότι η μη ευθυγράμμιση με την ΚΕΠΠΑ ενέχει κινδύνους για την ασφάλεια της ΕΕ, όπως η παροχή στους πολίτες χωρών εκτός ΕΕ της δυνατότητας να αποκτήσουν το δικαίωμα να πραγματοποιούν ταξίδια χωρίς την υποχρέωση θεώρησης στην ΕΕ, η χορήγηση σε αυτούς της ιθαγένειας υποψήφιας χώρας ή η περαιτέρω αύξηση της εξάρτησης από την Κίνα· επιμένει ότι πρέπει να υπάρχουν σαφείς προϋποθέσεις όσον αφορά τη συνεργασία με γεωπολιτικούς αντιπάλους που επιδιώκουν να υπονομεύσουν τη βασισμένη σε κανόνες διεθνή τάξη και να αποδυναμώσουν την Ευρώπη·</w:t>
      </w:r>
    </w:p>
    <w:p w14:paraId="06F35391" w14:textId="2632FB57" w:rsidR="003D673A" w:rsidRPr="007E41F2" w:rsidRDefault="007E41F2" w:rsidP="007E41F2">
      <w:pPr>
        <w:pStyle w:val="NormalHanging12a"/>
        <w:ind w:hanging="570"/>
      </w:pPr>
      <w:r w:rsidRPr="007E41F2">
        <w:t>21.</w:t>
      </w:r>
      <w:r w:rsidRPr="007E41F2">
        <w:tab/>
      </w:r>
      <w:r w:rsidR="003D673A" w:rsidRPr="007E41F2">
        <w:t>τονίζει ότι η περιφερειακή συνεργασία, ιδίως στα Δυτικά Βαλκάνια, αποτελεί προϋπόθεση για την προσχώρηση στην ΕΕ· τονίζει ότι η συμφιλίωση, η οποία οδηγεί σε σχέσεις καλής γειτονίας, είναι καίριας σημασίας για την επιτυχή προσχώρηση στην ΕΕ· υπογραμμίζει, επιπλέον, ότι τα εκκρεμή διμερή ζητήματα μεταξύ χωρών της ΕΕ και τρίτων χωρών θα πρέπει να επιλύονται σε διμερές επίπεδο, σύμφωνα με το διεθνές δίκαιο, και δεν θα πρέπει να χρησιμοποιούνται για να εμποδίζουν τη διεύρυνση· προειδοποιεί ότι οι υπερβολικές καθυστερήσεις μπορούν να επηρεάσουν αρνητικά τόσο την κοινή γνώμη όσο και την πολιτική δέσμευση στις υποψήφιες χώρες·</w:t>
      </w:r>
    </w:p>
    <w:p w14:paraId="3FD98C89" w14:textId="38015552" w:rsidR="003D673A" w:rsidRPr="007E41F2" w:rsidRDefault="007E41F2" w:rsidP="007E41F2">
      <w:pPr>
        <w:pStyle w:val="NormalHanging12a"/>
        <w:ind w:hanging="570"/>
      </w:pPr>
      <w:r w:rsidRPr="007E41F2">
        <w:t>22.</w:t>
      </w:r>
      <w:r w:rsidRPr="007E41F2">
        <w:tab/>
      </w:r>
      <w:r w:rsidR="003D673A" w:rsidRPr="007E41F2">
        <w:t>υπενθυμίζει ότι η διαδικασία προσχώρησης στην ΕΕ εξαρτάται από την εκπλήρωση των προϋποθέσεων που περιγράφονται στα πλαίσια των διαπραγματεύσεων της ΕΕ, την προώθηση σχέσεων καλής γειτονίας και τον σεβασμό των διμερών και διεθνών συμφωνιών, σύμφωνα με τα κριτήρια της Κοπεγχάγης και με βάση τις επιδόσεις της ίδιας της χώρας· καλεί το Συμβούλιο να αποτρέψει την παρεμπόδιση της προόδου από διμερή ζητήματα που δεν σχετίζονται με τα κριτήρια της Κοπεγχάγης·</w:t>
      </w:r>
    </w:p>
    <w:p w14:paraId="17F139B7" w14:textId="1D393DB7" w:rsidR="003D673A" w:rsidRPr="007E41F2" w:rsidRDefault="007E41F2" w:rsidP="007E41F2">
      <w:pPr>
        <w:pStyle w:val="NormalHanging12a"/>
        <w:ind w:hanging="570"/>
      </w:pPr>
      <w:r w:rsidRPr="007E41F2">
        <w:t>23.</w:t>
      </w:r>
      <w:r w:rsidRPr="007E41F2">
        <w:tab/>
      </w:r>
      <w:r w:rsidR="003D673A" w:rsidRPr="007E41F2">
        <w:t>υπογραμμίζει τη σημασία του διαλόγου Βελιγραδίου-</w:t>
      </w:r>
      <w:proofErr w:type="spellStart"/>
      <w:r w:rsidR="003D673A" w:rsidRPr="007E41F2">
        <w:t>Πρίστινας</w:t>
      </w:r>
      <w:proofErr w:type="spellEnd"/>
      <w:r w:rsidR="003D673A" w:rsidRPr="007E41F2">
        <w:t>, ο οποίος είναι ζωτικής σημασίας προκειμένου η Σερβία και το Κόσοβο να προχωρήσουν στις αντίστοιχες ευρωπαϊκές πορείες τους και θα συμβάλει στην περιφερειακή σταθερότητα και ευημερία, καθώς και τη σημασία της συνεχούς καλόπιστης εφαρμογής της συμφωνίας των Πρεσπών μεταξύ της Βόρειας Μακεδονίας και της Ελλάδας και της συνθήκης φιλίας, καλής γειτονίας και συνεργασίας μεταξύ της Βόρειας Μακεδονίας και της Βουλγαρίας, σύμφωνα με το διαπραγματευτικό πλαίσιο της ΕΕ·</w:t>
      </w:r>
    </w:p>
    <w:p w14:paraId="1C3FE212" w14:textId="1D95F734" w:rsidR="003D673A" w:rsidRPr="007E41F2" w:rsidRDefault="007E41F2" w:rsidP="007E41F2">
      <w:pPr>
        <w:pStyle w:val="NormalHanging12a"/>
        <w:ind w:hanging="570"/>
      </w:pPr>
      <w:r w:rsidRPr="007E41F2">
        <w:t>24.</w:t>
      </w:r>
      <w:r w:rsidRPr="007E41F2">
        <w:tab/>
      </w:r>
      <w:r w:rsidR="003D673A" w:rsidRPr="007E41F2">
        <w:t xml:space="preserve">επαναλαμβάνει τη θέση του σχετικά με τη σημασία του ανοίγματος και της δημοσίευσης πολεμικών και κομμουνιστικών ιστορικών αρχείων, ώστε να καταστεί περαιτέρω δυνατή η αναζήτηση της αλήθειας και η συμφιλίωση και να ενισχυθεί η δημοκρατική διακυβέρνηση· επισημαίνει τη σημασία της πλήρους εφαρμογής των εγχώριων και διεθνών δικαστικών αποφάσεων, της τήρησης των διεθνών υποχρεώσεων σχετικά με τα εγκλήματα πολέμου και τους αγνοούμενους και της αντιμετώπισης της </w:t>
      </w:r>
      <w:r w:rsidR="003D673A" w:rsidRPr="007E41F2">
        <w:lastRenderedPageBreak/>
        <w:t>εξύμνησης των εγκληματιών πολέμου και του ιστορικού αναθεωρητισμού·</w:t>
      </w:r>
    </w:p>
    <w:p w14:paraId="59D0960B" w14:textId="5DC9B0F1" w:rsidR="003D673A" w:rsidRPr="007E41F2" w:rsidRDefault="007E41F2" w:rsidP="007E41F2">
      <w:pPr>
        <w:pStyle w:val="NormalHanging12a"/>
        <w:ind w:hanging="570"/>
      </w:pPr>
      <w:r w:rsidRPr="007E41F2">
        <w:t>25.</w:t>
      </w:r>
      <w:r w:rsidRPr="007E41F2">
        <w:tab/>
      </w:r>
      <w:r w:rsidR="003D673A" w:rsidRPr="007E41F2">
        <w:t>υπογραμμίζει ότι η αξιοκρατική προσέγγιση μπορεί να συνεπάγεται το πάγωμα ή την αντιστροφή των διαπραγματεύσεων προσχώρησης σε περίπτωση οπισθοδρόμησης ως προς τις θεμελιώδεις αξίες, με τις διαπραγματεύσεις να επαναλαμβάνονται μόνο μετά την επίτευξη επαρκούς προόδου όσον αφορά τις μεταρρυθμίσεις· υπογραμμίζει ότι οι χώρες με χαμηλές επιδόσεις όσον αφορά τη δημοκρατική διακυβέρνηση πρέπει να αντιμετωπίζουν συνέπειες προκειμένου να διασφαλίζεται ότι η διαδικασία προσχώρησης παραμένει πραγματικά αξιοκρατική· επαναλαμβάνει ότι η ΕΕ πρέπει να στηρίζει προορατικά τους δημοκρατικούς πυλώνες στις υποψήφιες χώρες για την ενίσχυση της σταθερότητας και της δυναμικής των μεταρρυθμίσεων·</w:t>
      </w:r>
    </w:p>
    <w:p w14:paraId="3219051B" w14:textId="54B2789B" w:rsidR="003D673A" w:rsidRPr="007E41F2" w:rsidRDefault="007E41F2" w:rsidP="007E41F2">
      <w:pPr>
        <w:pStyle w:val="NormalHanging12a"/>
        <w:ind w:hanging="570"/>
      </w:pPr>
      <w:r w:rsidRPr="007E41F2">
        <w:t>26.</w:t>
      </w:r>
      <w:r w:rsidRPr="007E41F2">
        <w:tab/>
      </w:r>
      <w:r w:rsidR="003D673A" w:rsidRPr="007E41F2">
        <w:t>ζητεί διεξοδική αξιολόγηση της πολιτικής διεύρυνσης, η οποία θα καλύπτει τόσο το περιεχόμενο όσο και την ουσία, προκειμένου να αξιολογηθούν οι λόγοι για τους οποίους ορισμένες χώρες της διεύρυνσης έχουν σημειώσει τόσο περιορισμένη πρόοδο, ιδίως όσον αφορά το κράτος δικαίου, τα ανθρώπινα δικαιώματα και τη δημοκρατία· ζητεί να αξιολογηθεί η πρόοδος που έχει επιτευχθεί όχι μόνο σε νομοθετικό επίπεδο αλλά και όσον αφορά την εφαρμογή·</w:t>
      </w:r>
    </w:p>
    <w:p w14:paraId="04E59FE0" w14:textId="7F2BF712" w:rsidR="003D673A" w:rsidRPr="007E41F2" w:rsidRDefault="007E41F2" w:rsidP="007E41F2">
      <w:pPr>
        <w:pStyle w:val="NormalHanging12a"/>
        <w:ind w:hanging="570"/>
      </w:pPr>
      <w:r w:rsidRPr="007E41F2">
        <w:t>27.</w:t>
      </w:r>
      <w:r w:rsidRPr="007E41F2">
        <w:tab/>
      </w:r>
      <w:r w:rsidR="003D673A" w:rsidRPr="007E41F2">
        <w:t>καλεί την Επιτροπή να συστήσει ομάδα παρακολούθησης της υλοποίησης των μεταρρυθμίσεων στο πλαίσιο της ομάδας διαπραγματευτικών κεφαλαίων «Θεμελιώδεις αρχές», όπου η ταχεία πρόοδος ή υποχώρηση είναι συχνά πιο ορατή και μπορεί να επηρεάσει σημαντικά την αξιοπιστία και τη βιωσιμότητα της διαδικασίας προσχώρησης·</w:t>
      </w:r>
    </w:p>
    <w:p w14:paraId="7832F74A" w14:textId="375CD389" w:rsidR="003D673A" w:rsidRPr="007E41F2" w:rsidRDefault="007E41F2" w:rsidP="007E41F2">
      <w:pPr>
        <w:pStyle w:val="NormalHanging12a"/>
        <w:ind w:hanging="570"/>
      </w:pPr>
      <w:r w:rsidRPr="007E41F2">
        <w:t>28.</w:t>
      </w:r>
      <w:r w:rsidRPr="007E41F2">
        <w:tab/>
      </w:r>
      <w:r w:rsidR="003D673A" w:rsidRPr="007E41F2">
        <w:t>αναγνωρίζει ότι σημαντικές αδυναμίες σε προηγούμενες ολοκληρωθείσες διαδικασίες διεύρυνσης επέτρεψαν την οπισθοδρόμηση της δημοκρατίας μετά την προσχώρηση στην ΕΕ, υπονομεύοντας έτσι την αξιοπιστία της πολιτικής διεύρυνσης της ΕΕ· σημειώνει ότι στις υποψήφιες χώρες που δεν έχουν σημειώσει επαρκή πρόοδο προς την ένταξη στην ΕΕ, η ΕΕ θα πρέπει να ενισχύσει τη βοήθειά της προς τους φιλοευρωπαϊκούς δημοκρατικούς παράγοντες της κοινωνίας των πολιτών που είναι προσηλωμένοι στις μεταρρυθμίσεις και τις ευρωπαϊκές αξίες·</w:t>
      </w:r>
    </w:p>
    <w:p w14:paraId="5645C472" w14:textId="230FFCAA" w:rsidR="003D673A" w:rsidRPr="007E41F2" w:rsidRDefault="007E41F2" w:rsidP="007E41F2">
      <w:pPr>
        <w:pStyle w:val="NormalHanging12a"/>
        <w:ind w:hanging="570"/>
      </w:pPr>
      <w:r w:rsidRPr="007E41F2">
        <w:t>29.</w:t>
      </w:r>
      <w:r w:rsidRPr="007E41F2">
        <w:tab/>
      </w:r>
      <w:r w:rsidR="003D673A" w:rsidRPr="007E41F2">
        <w:t>καλεί τις αντιπροσωπείες της ΕΕ επιτόπου να εφαρμόσουν με συνέπεια μια αξιόπιστη και αξιοκρατική προσέγγιση που βασίζεται στον σεβασμό του κράτους δικαίου και στην προστασία των ανθρωπίνων δικαιωμάτων·</w:t>
      </w:r>
    </w:p>
    <w:p w14:paraId="4D8E3F47" w14:textId="77777777" w:rsidR="003D673A" w:rsidRPr="007E41F2" w:rsidRDefault="003D673A" w:rsidP="003D673A">
      <w:pPr>
        <w:pStyle w:val="NormalHanging12a"/>
        <w:rPr>
          <w:b/>
          <w:i/>
        </w:rPr>
      </w:pPr>
      <w:r w:rsidRPr="007E41F2">
        <w:rPr>
          <w:b/>
          <w:i/>
        </w:rPr>
        <w:t>Διασφάλιση της αποτελεσματικής λειτουργίας της διευρυμένης Ένωσης</w:t>
      </w:r>
    </w:p>
    <w:p w14:paraId="651E55EA" w14:textId="3FFE8A64" w:rsidR="003D673A" w:rsidRPr="007E41F2" w:rsidRDefault="007E41F2" w:rsidP="007E41F2">
      <w:pPr>
        <w:pStyle w:val="NormalHanging12a"/>
        <w:ind w:hanging="570"/>
      </w:pPr>
      <w:r w:rsidRPr="007E41F2">
        <w:t>30.</w:t>
      </w:r>
      <w:r w:rsidRPr="007E41F2">
        <w:tab/>
      </w:r>
      <w:r w:rsidR="003D673A" w:rsidRPr="007E41F2">
        <w:t>θεωρεί ότι η διαδικασία προετοιμασίας για τη διεύρυνση θα πρέπει να προχωρήσει παράλληλα τόσο εντός της ΕΕ όσο και στις χώρες της διεύρυνσης, ώστε να διασφαλιστεί η αποτελεσματική λειτουργία μιας διευρυμένης Ένωσης·</w:t>
      </w:r>
    </w:p>
    <w:p w14:paraId="57D2EB04" w14:textId="772ACCC5" w:rsidR="003D673A" w:rsidRPr="007E41F2" w:rsidRDefault="007E41F2" w:rsidP="007E41F2">
      <w:pPr>
        <w:pStyle w:val="NormalHanging12a"/>
        <w:ind w:hanging="570"/>
      </w:pPr>
      <w:r w:rsidRPr="007E41F2">
        <w:t>31.</w:t>
      </w:r>
      <w:r w:rsidRPr="007E41F2">
        <w:tab/>
      </w:r>
      <w:r w:rsidR="003D673A" w:rsidRPr="007E41F2">
        <w:t>επαναλαμβάνει την έκκλησή του προς τα θεσμικά όργανα της ΕΕ και τα κράτη μέλη να προβούν στις αναγκαίες μεταρρυθμίσεις για να ενισχύσουν την ΕΕ και να βελτιώσουν τη στρατηγική αυτονομία της Ευρώπης, διασφαλίζοντας ότι η έλλειψη τέτοιων μεταρρυθμίσεων δεν θα καθυστερήσει την προσχώρηση νέων κρατών μελών·</w:t>
      </w:r>
    </w:p>
    <w:p w14:paraId="518EDFB4" w14:textId="222EC43B" w:rsidR="003D673A" w:rsidRPr="007E41F2" w:rsidRDefault="007E41F2" w:rsidP="007E41F2">
      <w:pPr>
        <w:pStyle w:val="Normal12Hanging"/>
        <w:ind w:hanging="570"/>
        <w:rPr>
          <w:lang w:val="el-GR"/>
        </w:rPr>
      </w:pPr>
      <w:r w:rsidRPr="007E41F2">
        <w:rPr>
          <w:lang w:val="el-GR"/>
        </w:rPr>
        <w:t>32.</w:t>
      </w:r>
      <w:r w:rsidRPr="007E41F2">
        <w:rPr>
          <w:lang w:val="el-GR"/>
        </w:rPr>
        <w:tab/>
      </w:r>
      <w:r w:rsidR="003D673A" w:rsidRPr="007E41F2">
        <w:rPr>
          <w:lang w:val="el-GR"/>
        </w:rPr>
        <w:t xml:space="preserve">επαναλαμβάνει την έκκλησή του να ενισχυθεί η ικανότητα δράσης της ΕΕ μέσω της θέσπισης ψηφοφορίας με ειδική πλειοψηφία σε τομείς που σχετίζονται με τη διαδικασία προσχώρησης, καταργώντας, ειδικότερα, την απαίτηση ομοφωνίας στα ενδιάμεσα στάδια της διαδικασίας διεύρυνσης κατά τη λήψη αποφάσεων σχετικά με το άνοιγμα </w:t>
      </w:r>
      <w:r w:rsidR="003D673A" w:rsidRPr="007E41F2">
        <w:rPr>
          <w:lang w:val="el-GR"/>
        </w:rPr>
        <w:lastRenderedPageBreak/>
        <w:t>και το κλείσιμο επιμέρους διαπραγματευτικών ομάδων και κεφαλαίων· εκφράζει τη δυσαρέσκεια του για το γεγονός ότι η υπερβολική χρήση της ομοφωνίας στα ενδιάμεσα στάδια της διαδικασίας διεύρυνσης έχει επανειλημμένα επιβραδύνει τη διεύρυνση της ΕΕ και υπονομεύει τη λαϊκή στήριξη για την ολοκλήρωση της ΕΕ·</w:t>
      </w:r>
    </w:p>
    <w:p w14:paraId="486A1330" w14:textId="16FA7A33" w:rsidR="003D673A" w:rsidRPr="007E41F2" w:rsidRDefault="007E41F2" w:rsidP="007E41F2">
      <w:pPr>
        <w:pStyle w:val="NormalHanging12a"/>
        <w:ind w:hanging="570"/>
      </w:pPr>
      <w:r w:rsidRPr="007E41F2">
        <w:t>33.</w:t>
      </w:r>
      <w:r w:rsidRPr="007E41F2">
        <w:tab/>
      </w:r>
      <w:r w:rsidR="003D673A" w:rsidRPr="007E41F2">
        <w:t>θεωρεί αναγκαία την επανεξέταση των τομεακών πολιτικών της ΕΕ προκειμένου να αξιολογηθεί ο τρόπος υποδοχής των νέων κρατών μελών και να διασφαλιστεί η αποτελεσματική λειτουργία της διευρυμένης Ένωσης· εκφράζει την ικανοποίησή του για τις επικείμενες επανεξετάσεις των πολιτικών πριν από τη διεύρυνση ως ουσιαστικό βήμα για την προετοιμασία της Ένωσης για νέα μέλη·</w:t>
      </w:r>
    </w:p>
    <w:p w14:paraId="286F035D" w14:textId="3B070292" w:rsidR="003D673A" w:rsidRPr="007E41F2" w:rsidRDefault="007E41F2" w:rsidP="007E41F2">
      <w:pPr>
        <w:pStyle w:val="NormalHanging12a"/>
        <w:ind w:hanging="570"/>
      </w:pPr>
      <w:r w:rsidRPr="007E41F2">
        <w:t>34.</w:t>
      </w:r>
      <w:r w:rsidRPr="007E41F2">
        <w:tab/>
      </w:r>
      <w:r w:rsidR="003D673A" w:rsidRPr="007E41F2">
        <w:t>τονίζει ότι η διαδικασία διεύρυνσης παρουσιάζει σημαντικές δυνατότητες σύγκλισης σε διάφορους βασικούς τομείς, όπως η οικονομία, η προστασία του περιβάλλοντος και η ασφάλεια, όπως έχουν καταδείξει προηγούμενοι γύροι διεύρυνσης· εκφράζει την ικανοποίησή του για τα πρώιμα αποτελέσματα σύγκλισης που προκάλεσε η ευρωπαϊκή προοπτική· υπογραμμίζει ότι η πολιτική συνοχής και η κοινή γεωργική πολιτική διαδραματίζουν κεντρικό ρόλο στην προώθηση της σύγκλισης μεταξύ των κρατών μελών της ΕΕ και θα πρέπει να διαφυλάσσονται για μια διευρυμένη Ένωση·</w:t>
      </w:r>
    </w:p>
    <w:p w14:paraId="45E0C1FA" w14:textId="366AD1FF" w:rsidR="003D673A" w:rsidRPr="007E41F2" w:rsidRDefault="007E41F2" w:rsidP="007E41F2">
      <w:pPr>
        <w:pStyle w:val="NormalHanging12a"/>
        <w:ind w:hanging="570"/>
      </w:pPr>
      <w:r w:rsidRPr="007E41F2">
        <w:t>35.</w:t>
      </w:r>
      <w:r w:rsidRPr="007E41F2">
        <w:tab/>
      </w:r>
      <w:r w:rsidR="003D673A" w:rsidRPr="007E41F2">
        <w:t>αναγνωρίζει τη σημασία της ευρείας εφαρμογής της σταδιακής, αξιοκρατικής και αναστρέψιμης ενσωμάτωσης στις κοινές πολιτικές της ΕΕ, όπως η ενιαία αγορά, συμπεριλαμβανομένης της ενιαίας ψηφιακής αγοράς, για τις υποψήφιες χώρες που σημειώνουν σημαντική πρόοδο στις μεταρρυθμίσεις που σχετίζονται με την ΕΕ, με την ταυτόχρονη διατήρηση της ακεραιότητας της εσωτερικής αγοράς της ΕΕ και των ίσων όρων ανταγωνισμού· τονίζει ότι, ενώ η σταδιακή ενσωμάτωση των υποψήφιων χωρών μπορεί να τις βοηθήσει να εφαρμόσουν το κεκτημένο της ΕΕ και, ως εκ τούτου, να καταστήσουν ομαλότερη τη μετάβαση προς την ένταξη στην ΕΕ, δεν μπορεί να αντικαταστήσει την πλήρη ένταξη στην ΕΕ· υπογραμμίζει ότι τα μελλοντικά κράτη μέλη θα πρέπει να έχουν τα ίδια δικαιώματα και υποχρεώσεις με τα σημερινά κράτη μέλη και αντιτίθεται σθεναρά στη δημιουργία διαφορετικών κατηγοριών μελών·</w:t>
      </w:r>
    </w:p>
    <w:p w14:paraId="5A7E80B1" w14:textId="33509B83" w:rsidR="003D673A" w:rsidRPr="007E41F2" w:rsidRDefault="007E41F2" w:rsidP="007E41F2">
      <w:pPr>
        <w:pStyle w:val="NormalHanging12a"/>
        <w:ind w:hanging="570"/>
      </w:pPr>
      <w:r w:rsidRPr="007E41F2">
        <w:t>36.</w:t>
      </w:r>
      <w:r w:rsidRPr="007E41F2">
        <w:tab/>
      </w:r>
      <w:r w:rsidR="003D673A" w:rsidRPr="007E41F2">
        <w:t>υπογραμμίζει το γεγονός ότι το πιο ανταποδοτικό και καλύτερο αποτέλεσμα της σταδιακής ενσωμάτωσης είναι η ελευθέρωση του καθεστώτος των θεωρήσεων· υποστηρίζει τους νέους κανόνες που θα επιτρέψουν την αναστολή της ελευθέρωσης του καθεστώτος των θεωρήσεων για τους υπηκόους των χωρών της διεύρυνσης που ευθύνονται για οπισθοδρόμηση της δημοκρατίας και σοβαρές παραβιάσεις των ανθρωπίνων δικαιωμάτων, συμπεριλαμβανομένων της δίωξης και της βίας κατά ειρηνικών διαδηλωτών, της κοινωνίας των πολιτών, εργαζομένων στα μέσα ενημέρωσης και πολιτικών της αντιπολίτευσης·</w:t>
      </w:r>
    </w:p>
    <w:p w14:paraId="421BDD38" w14:textId="0B9D79A6" w:rsidR="003D673A" w:rsidRPr="007E41F2" w:rsidRDefault="007E41F2" w:rsidP="007E41F2">
      <w:pPr>
        <w:pStyle w:val="NormalHanging12a"/>
        <w:ind w:hanging="570"/>
      </w:pPr>
      <w:r w:rsidRPr="007E41F2">
        <w:t>37.</w:t>
      </w:r>
      <w:r w:rsidRPr="007E41F2">
        <w:tab/>
      </w:r>
      <w:r w:rsidR="003D673A" w:rsidRPr="007E41F2">
        <w:t>τονίζει ότι θα πρέπει να διατίθενται ευκαιρίες σταδιακής ενσωμάτωσης για τις υποψήφιες χώρες σύμφωνα με την αξιοκρατική προσέγγιση και υπό προϋποθέσεις· επισημαίνει ότι είναι σημαντικό να διασφαλιστεί η αναστρεψιμότητα της σταδιακής ενσωμάτωσης σε περιπτώσεις οπισθοδρόμησης μιας υποψήφιας χώρας όσον αφορά την εκπλήρωση των δεσμεύσεων·</w:t>
      </w:r>
    </w:p>
    <w:p w14:paraId="42027BCB" w14:textId="7F12B457" w:rsidR="003D673A" w:rsidRPr="007E41F2" w:rsidRDefault="007E41F2" w:rsidP="007E41F2">
      <w:pPr>
        <w:pStyle w:val="NormalHanging12a"/>
        <w:ind w:hanging="570"/>
      </w:pPr>
      <w:r w:rsidRPr="007E41F2">
        <w:t>38.</w:t>
      </w:r>
      <w:r w:rsidRPr="007E41F2">
        <w:tab/>
      </w:r>
      <w:r w:rsidR="003D673A" w:rsidRPr="007E41F2">
        <w:t>επαναλαμβάνει ότι η διαδικασία διεύρυνσης θα πρέπει να υποστηρίζεται από τη συμμετοχή των υποψήφιων χωρών στη λειτουργία των θεσμικών οργάνων της ΕΕ, μεταξύ άλλων μέσω του καθεστώτος παρατηρητή στα αρμόδια όργανα και οργανισμούς, συμπεριλαμβανομένου του Κοινοβουλίου και του Οργανισμού Θεμελιωδών Δικαιωμάτων της ΕΕ·</w:t>
      </w:r>
    </w:p>
    <w:p w14:paraId="7453FB67" w14:textId="525AC3B4" w:rsidR="003D673A" w:rsidRPr="007E41F2" w:rsidRDefault="007E41F2" w:rsidP="007E41F2">
      <w:pPr>
        <w:pStyle w:val="NormalHanging12a"/>
        <w:ind w:hanging="570"/>
      </w:pPr>
      <w:r w:rsidRPr="007E41F2">
        <w:lastRenderedPageBreak/>
        <w:t>39.</w:t>
      </w:r>
      <w:r w:rsidRPr="007E41F2">
        <w:tab/>
      </w:r>
      <w:r w:rsidR="003D673A" w:rsidRPr="007E41F2">
        <w:t>τονίζει τη σημασία της ενίσχυσης της ευαισθητοποίησης του κοινού στις ευρωπαϊκές κοινωνίες σχετικά με τη διεύρυνση της ΕΕ και τον ρόλο της στη διασφάλιση του μέλλοντος της ευρωπαϊκής ολοκλήρωσης· επισημαίνει ότι μια επιτυχής διαδικασία διεύρυνσης θα εξαρτηθεί σημαντικά από μια σαφή και διαφανή επικοινωνιακή στρατηγική·</w:t>
      </w:r>
    </w:p>
    <w:p w14:paraId="54E08465" w14:textId="77777777" w:rsidR="003D673A" w:rsidRPr="007E41F2" w:rsidRDefault="003D673A" w:rsidP="003D673A">
      <w:pPr>
        <w:pStyle w:val="Normal12Hanging"/>
        <w:rPr>
          <w:b/>
          <w:bCs/>
          <w:i/>
          <w:iCs/>
          <w:lang w:val="el-GR"/>
        </w:rPr>
      </w:pPr>
      <w:r w:rsidRPr="007E41F2">
        <w:rPr>
          <w:b/>
          <w:i/>
          <w:lang w:val="el-GR"/>
        </w:rPr>
        <w:t>Στήριξη των χωρών της διεύρυνσης στην πορεία τους προς την ένταξη στην ΕΕ</w:t>
      </w:r>
    </w:p>
    <w:p w14:paraId="4443F8C6" w14:textId="629A3E74" w:rsidR="003D673A" w:rsidRPr="007E41F2" w:rsidRDefault="007E41F2" w:rsidP="007E41F2">
      <w:pPr>
        <w:pStyle w:val="NormalHanging12a"/>
        <w:ind w:hanging="570"/>
      </w:pPr>
      <w:r w:rsidRPr="007E41F2">
        <w:t>40.</w:t>
      </w:r>
      <w:r w:rsidRPr="007E41F2">
        <w:tab/>
      </w:r>
      <w:r w:rsidR="003D673A" w:rsidRPr="007E41F2">
        <w:t>τονίζει ότι, εκτός από τον καθορισμό επιμέρους μεταρρυθμιστικών στόχων, χαρτών πορείας και ενδιάμεσων χρονοδιαγραμμάτων για κάθε υπό ένταξη χώρα, η ΕΕ θα πρέπει να ενισχύσει τη διαφάνεια της διαδικασίας και να θεσπίσει σαφή και προβλέψιμα χρονοδιαγράμματα για την προσχώρηση των υποψήφιων χωρών που έχουν σημειώσει τη μεγαλύτερη πρόοδο στην πορεία προσχώρησης, προκειμένου να αποφευχθεί η απώλεια δυναμικής και αξιοπιστίας· πιστεύει ότι η διεύρυνση της ΕΕ θα πρέπει να πραγματοποιηθεί μόλις εκπληρωθούν όλες οι προϋποθέσεις προσχώρησης στις ενδιαφερόμενες υποψήφιες χώρες·</w:t>
      </w:r>
    </w:p>
    <w:p w14:paraId="7EAB94D9" w14:textId="00CA0E7B" w:rsidR="003D673A" w:rsidRPr="007E41F2" w:rsidRDefault="007E41F2" w:rsidP="007E41F2">
      <w:pPr>
        <w:pStyle w:val="NormalHanging12a"/>
        <w:ind w:hanging="570"/>
      </w:pPr>
      <w:r w:rsidRPr="007E41F2">
        <w:t>41.</w:t>
      </w:r>
      <w:r w:rsidRPr="007E41F2">
        <w:tab/>
      </w:r>
      <w:r w:rsidR="003D673A" w:rsidRPr="007E41F2">
        <w:t>τονίζει ότι οι βασικές μεταρρυθμίσεις που επηρεάζουν τη λειτουργία και την ανεξαρτησία των θεσμών δεν πρέπει να επισπεύδονται ή να εργαλειοποιούνται πολιτικά, ιδίως στις υποψήφιες χώρες με πολύπλοκες συνταγματικές ρυθμίσεις· υπογραμμίζει ότι οι ταχείες διαδικασίες ή η πίεση για την τήρηση των πολιτικών χρονοδιαγραμμάτων δεν πρέπει να αποβαίνουν εις βάρος της νομικής ποιότητας και της θεσμικής ακεραιότητας των μεταρρυθμίσεων·</w:t>
      </w:r>
    </w:p>
    <w:p w14:paraId="177A4FA1" w14:textId="5365BB2A" w:rsidR="003D673A" w:rsidRPr="007E41F2" w:rsidRDefault="007E41F2" w:rsidP="007E41F2">
      <w:pPr>
        <w:pStyle w:val="NormalHanging12a"/>
        <w:ind w:hanging="570"/>
      </w:pPr>
      <w:r w:rsidRPr="007E41F2">
        <w:t>42.</w:t>
      </w:r>
      <w:r w:rsidRPr="007E41F2">
        <w:tab/>
      </w:r>
      <w:r w:rsidR="003D673A" w:rsidRPr="007E41F2">
        <w:t>θεωρεί ότι η προενταξιακή οικονομική βοήθεια, συμπεριλαμβανομένων των διευκολύνσεων για τα Δυτικά Βαλκάνια, την Ουκρανία και τη Μολδαβία, είναι ζωτικής σημασίας για να εξασφαλιστεί ότι οι χώρες της διεύρυνσης θα λάβουν διαρθρωμένη οικονομική στήριξη για τον θεσμικό και οικονομικό τους μετασχηματισμό· τονίζει ότι κάθε χρηματοδοτική βοήθεια της ΕΕ πρέπει να τηρεί και να διατηρεί τις προϋποθέσεις προενταξιακής στήριξης, μεταξύ άλλων όσον αφορά το κράτος δικαίου και την καταπολέμηση της διαφθοράς, προκειμένου να διασφαλίζονται τα οικονομικά συμφέροντα της ΕΕ και των πολιτών και των δύο μερών· επισημαίνει την ανάγκη προσαρμογής των λεπτομερειών εφαρμογής του ΜΠΒ για τη διευκόλυνση της διαδικασίας προετοιμασίας και μάθησης που απαιτείται για τη χρήση των διαρθρωτικών ταμείων·</w:t>
      </w:r>
    </w:p>
    <w:p w14:paraId="4A4DA4A3" w14:textId="46194B2C" w:rsidR="003D673A" w:rsidRPr="007E41F2" w:rsidRDefault="007E41F2" w:rsidP="007E41F2">
      <w:pPr>
        <w:pStyle w:val="NormalHanging12a"/>
        <w:ind w:hanging="570"/>
      </w:pPr>
      <w:r w:rsidRPr="007E41F2">
        <w:t>43.</w:t>
      </w:r>
      <w:r w:rsidRPr="007E41F2">
        <w:tab/>
      </w:r>
      <w:r w:rsidR="003D673A" w:rsidRPr="007E41F2">
        <w:t>τονίζει ότι η διεύρυνση απαιτεί δημοσιονομικές μεταρρυθμίσεις για να αντιμετωπιστούν οι προκλήσεις στην πολιτική συνοχής και τη γεωργική πολιτική, μεταξύ άλλων, και για να διασφαλιστεί ότι ο προϋπολογισμός της ΕΕ θα συνεχίσει να εξυπηρετεί τα υφιστάμενα προγράμματα και τις πολιτικές προτεραιότητες·</w:t>
      </w:r>
    </w:p>
    <w:p w14:paraId="1FB1D031" w14:textId="08EB4DEE" w:rsidR="003D673A" w:rsidRPr="007E41F2" w:rsidRDefault="007E41F2" w:rsidP="007E41F2">
      <w:pPr>
        <w:pStyle w:val="NormalHanging12a"/>
        <w:ind w:hanging="570"/>
      </w:pPr>
      <w:r w:rsidRPr="007E41F2">
        <w:t>44.</w:t>
      </w:r>
      <w:r w:rsidRPr="007E41F2">
        <w:tab/>
      </w:r>
      <w:r w:rsidR="003D673A" w:rsidRPr="007E41F2">
        <w:t xml:space="preserve">σημειώνει ότι η πρόταση της Επιτροπής για το </w:t>
      </w:r>
      <w:r w:rsidRPr="007E41F2">
        <w:t>πολυετές δημοσιονομικό πλαίσιο (</w:t>
      </w:r>
      <w:r w:rsidR="003D673A" w:rsidRPr="007E41F2">
        <w:t>ΠΔΠ</w:t>
      </w:r>
      <w:r w:rsidRPr="007E41F2">
        <w:t>)</w:t>
      </w:r>
      <w:r w:rsidR="003D673A" w:rsidRPr="007E41F2">
        <w:t xml:space="preserve"> 2028-2034 προσδιορίζει σαφώς τη διεύρυνση ως μία από τις στρατηγικές προτεραιότητες της Ένωσης· υπογραμμίζει το γεγονός ότι η διεύρυνση αποτελεί κεντρικό πυλώνα του μηχανισμού «Παγκόσμια Ευρώπη», καθώς αντιπροσωπεύει το 21 % (ή 43,1 δισεκατομμύρια EUR) του προτεινόμενου προϋπολογισμού του, καλύπτει όλες τις υποψήφιες και δυνάμει υποψήφιες χώρες, καθώς και τους εταίρους στην Ανατολική Γειτονία, και παρέχει στοχευμένη χρηματοδότηση για προενταξιακή βοήθεια, θεσμική ενίσχυση και εσωτερικές προετοιμασίες της ΕΕ για μελλοντικές προσχωρήσεις·</w:t>
      </w:r>
    </w:p>
    <w:p w14:paraId="038CAC84" w14:textId="4194EA3F" w:rsidR="003D673A" w:rsidRPr="007E41F2" w:rsidRDefault="007E41F2" w:rsidP="007E41F2">
      <w:pPr>
        <w:pStyle w:val="NormalHanging12a"/>
        <w:ind w:hanging="570"/>
      </w:pPr>
      <w:r w:rsidRPr="007E41F2">
        <w:t>45.</w:t>
      </w:r>
      <w:r w:rsidRPr="007E41F2">
        <w:tab/>
      </w:r>
      <w:r w:rsidR="003D673A" w:rsidRPr="007E41F2">
        <w:t xml:space="preserve">ζητεί επαρκή προενταξιακή χρηματοδότηση στο πλαίσιο του νέου ΠΔΠ, κατάλληλη για </w:t>
      </w:r>
      <w:r w:rsidR="003D673A" w:rsidRPr="007E41F2">
        <w:lastRenderedPageBreak/>
        <w:t>την αναμενόμενη διεύρυνση της ΕΕ κατά τη διάρκεια της εφαρμογής του, καθώς ορισμένες υποψήφιες χώρες είναι πιθανό να προσχωρήσουν στην ΕΕ κατά την περίοδο εφαρμογής του επικείμενου ΠΔΠ· ζητεί να διατεθούν και να κατανεμηθούν με σαφήνεια και συνέπεια τα προενταξιακά κονδύλια στις υποψήφιες και δυνάμει υποψήφιες χώρες στο πλαίσιο του πυλώνα «Παγκόσμια Ευρώπη» του ΠΔΠ και τονίζει ότι τα κονδύλια αυτά πρέπει να προστατεύονται από κάθε εκτροπή προς άλλες εξωτερικές προτεραιότητες και να αντικατοπτρίζουν σαφώς τις προτεραιότητες σε θεμελιώδεις τομείς, βελτιώνοντας παράλληλα την ορατότητα και τη διαφάνεια της προενταξιακής βοήθειας· επιμένει ότι τα κονδύλια πρέπει να στηρίζουν άμεσα το κράτος δικαίου, τη μεταρρύθμιση της δημόσιας διοίκησης, την κοινωνική και εδαφική συνοχή, καθώς και την ενδυνάμωση και τη συμμετοχή των τοπικών φορέων της κοινωνίας των πολιτών και των ανεξάρτητων μέσων ενημέρωσης, προκειμένου να διασφαλίζεται η διαφάνεια, να αποτρέπεται η κατάχρηση των κονδυλίων και να διατηρείται η δημόσια λογοδοσία των δικαιούχων κυβερνήσεων· καλεί την Επιτροπή να εφαρμόζει με συνέπεια στοχευμένες προϋποθέσεις βάσει σαφών δεικτών αναφοράς προόδου, επιβραβεύοντας τις μεταρρυθμίσεις και επιβάλλοντας κυρώσεις σε περίπτωση οπισθοδρόμησης ή συνεχιζόμενης έλλειψης προόδου·</w:t>
      </w:r>
    </w:p>
    <w:p w14:paraId="46C2E6B8" w14:textId="25442039" w:rsidR="003D673A" w:rsidRPr="007E41F2" w:rsidRDefault="007E41F2" w:rsidP="007E41F2">
      <w:pPr>
        <w:pStyle w:val="NormalHanging12a"/>
        <w:ind w:hanging="570"/>
      </w:pPr>
      <w:r w:rsidRPr="007E41F2">
        <w:t>46.</w:t>
      </w:r>
      <w:r w:rsidRPr="007E41F2">
        <w:tab/>
      </w:r>
      <w:r w:rsidR="003D673A" w:rsidRPr="007E41F2">
        <w:t>επαναλαμβάνει την έκκλησή του για τη δημιουργία ενός πλαισίου αποτελεσματικής συνεργασίας μεταξύ της Ευρωπαϊκής Εισαγγελίας και των υποψήφιων για ένταξη χωρών· ενθαρρύνει τις υποψήφιες και τις δυνάμει υποψήφιες για προσχώρηση στην ΕΕ χώρες να συνάψουν ταχέως διμερείς συμφωνίες συνεργασίας με την Ευρωπαϊκή Εισαγγελία, προκειμένου να διευκολυνθεί η στενή συνεργασία και η δίωξη της κατάχρησης κονδυλίων της ΕΕ·</w:t>
      </w:r>
    </w:p>
    <w:p w14:paraId="3E1A0579" w14:textId="632533E1" w:rsidR="003D673A" w:rsidRPr="007E41F2" w:rsidRDefault="007E41F2" w:rsidP="007E41F2">
      <w:pPr>
        <w:pStyle w:val="NormalHanging12a"/>
        <w:ind w:hanging="570"/>
        <w:rPr>
          <w:bCs/>
          <w:iCs/>
        </w:rPr>
      </w:pPr>
      <w:r w:rsidRPr="007E41F2">
        <w:rPr>
          <w:bCs/>
          <w:iCs/>
        </w:rPr>
        <w:t>47.</w:t>
      </w:r>
      <w:r w:rsidRPr="007E41F2">
        <w:rPr>
          <w:bCs/>
          <w:iCs/>
        </w:rPr>
        <w:tab/>
      </w:r>
      <w:r w:rsidR="003D673A" w:rsidRPr="007E41F2">
        <w:t>υπογραμμίζει την ανάγκη να ενισχυθεί και να ευθυγραμμιστεί καλύτερα η χρηματοδότηση για την εφαρμογή μέτρων για το περιβάλλον, το κλίμα και την καλή διαβίωση των ζώων, καθώς και για τη στήριξη της ανάπτυξης ικανοτήτων για τις υποψήφιες χώρες· σημειώνει τον διατομεακό χαρακτήρα και το υψηλό κόστος των μέτρων αυτών, καθώς και το γεγονός ότι είναι ζωτικής σημασίας για τη βιώσιμη ανάπτυξη, την ευθυγράμμιση με την Ευρωπαϊκή Πράσινη Συμφωνία και τη νομοθεσία για την καλή διαβίωση των ζώων, καθώς και την ενσωμάτωση στην εσωτερική αγορά·</w:t>
      </w:r>
    </w:p>
    <w:p w14:paraId="0750CAA0" w14:textId="6164628A" w:rsidR="003D673A" w:rsidRPr="007E41F2" w:rsidRDefault="007E41F2" w:rsidP="007E41F2">
      <w:pPr>
        <w:pStyle w:val="NormalHanging12a"/>
        <w:ind w:hanging="570"/>
      </w:pPr>
      <w:r w:rsidRPr="007E41F2">
        <w:t>48.</w:t>
      </w:r>
      <w:r w:rsidRPr="007E41F2">
        <w:tab/>
      </w:r>
      <w:r w:rsidR="003D673A" w:rsidRPr="007E41F2">
        <w:t>τονίζει ότι είναι σημαντικό να συμπεριληφθούν οι υποψήφιες χώρες στα εν εξελίξει και μελλοντικά έργα της ΕΕ για τη συνδεσιμότητα, τις μεταφορές, τις ενεργειακές υποδομές, την πράσινη μετάβαση, την ψηφιακή ασφάλεια, την ανθεκτικότητα και τη στρατιωτική κινητικότητα της ΕΕ, ώστε να ενισχυθεί η ασφάλεια της Ευρώπης σε ένα γεωπολιτικό περιβάλλον γεμάτο προκλήσεις·</w:t>
      </w:r>
    </w:p>
    <w:p w14:paraId="417A2388" w14:textId="5E1EDF2B" w:rsidR="003D673A" w:rsidRPr="007E41F2" w:rsidRDefault="007E41F2" w:rsidP="007E41F2">
      <w:pPr>
        <w:pStyle w:val="NormalHanging12a"/>
        <w:ind w:hanging="570"/>
      </w:pPr>
      <w:r w:rsidRPr="007E41F2">
        <w:t>49.</w:t>
      </w:r>
      <w:r w:rsidRPr="007E41F2">
        <w:tab/>
      </w:r>
      <w:r w:rsidR="003D673A" w:rsidRPr="007E41F2">
        <w:t>τονίζει τη στρατηγική σημασία της περιοχής του Εύξεινου Πόντου για την ασφάλεια και την ευημερία ολόκληρης της ευρωπαϊκής ηπείρου· υπογραμμίζει την ανάγκη να ενισχυθεί η συνδεσιμότητα μεταξύ Ουκρανίας, Μολδαβίας, Ρουμανίας, Βουλγαρίας και Τουρκίας σε όλες τις υποδομές μεταφορών, ενέργειας και τις ψηφιακές υποδομές, προκειμένου να ενισχυθεί η περιφερειακή ανθεκτικότητα, να διαφοροποιηθούν οι αλυσίδες εφοδιασμού και να διασφαλιστούν εναλλακτικές εμπορικές οδοί·</w:t>
      </w:r>
    </w:p>
    <w:p w14:paraId="05B1F638" w14:textId="72706D52" w:rsidR="003D673A" w:rsidRPr="007E41F2" w:rsidRDefault="007E41F2" w:rsidP="007E41F2">
      <w:pPr>
        <w:pStyle w:val="NormalHanging12a"/>
        <w:ind w:hanging="570"/>
      </w:pPr>
      <w:r w:rsidRPr="007E41F2">
        <w:t>50.</w:t>
      </w:r>
      <w:r w:rsidRPr="007E41F2">
        <w:tab/>
      </w:r>
      <w:r w:rsidR="003D673A" w:rsidRPr="007E41F2">
        <w:t>τονίζει τη στρατηγική σημασία των έργων υποδομών μεταφορών και ενέργειας στην Ανατολική Γειτονία της ΕΕ και στα Δυτικά Βαλκάνια με σκοπό την ενίσχυση της γεωστρατηγικής αυτονομίας της ΕΕ, και ζητεί την ταχεία ολοκλήρωση και την πλήρη θέση τους σε λειτουργία·</w:t>
      </w:r>
    </w:p>
    <w:p w14:paraId="173F85B5" w14:textId="641AC7D0" w:rsidR="003D673A" w:rsidRPr="007E41F2" w:rsidRDefault="007E41F2" w:rsidP="007E41F2">
      <w:pPr>
        <w:pStyle w:val="NormalHanging12a"/>
        <w:ind w:hanging="570"/>
      </w:pPr>
      <w:r w:rsidRPr="007E41F2">
        <w:t>51.</w:t>
      </w:r>
      <w:r w:rsidRPr="007E41F2">
        <w:tab/>
      </w:r>
      <w:r w:rsidR="003D673A" w:rsidRPr="007E41F2">
        <w:t xml:space="preserve">εκφράζει την ανησυχία του για την αυξανόμενη επιρροή της Κίνας στις χώρες της </w:t>
      </w:r>
      <w:r w:rsidR="003D673A" w:rsidRPr="007E41F2">
        <w:lastRenderedPageBreak/>
        <w:t>διεύρυνσης, τις οικονομικές και πολιτικές εξαρτήσεις που προκύπτουν από τα προγράμματα χρηματοδοτικής συνδρομής της Κίνας και τις σημαντικές επενδύσεις σε βασικούς τομείς όπως η ενέργεια, οι τηλεπικοινωνίες, οι υποδομές και ο τομέας της εξόρυξης και των πρώτων υλών, καθώς και τις μακροπρόθεσμες συνέπειες για τη δημοκρατική ανθεκτικότητα, την οικονομική ασφάλεια και τα ευρωπαϊκά συμφέροντα· ζητεί ισχυρότερη και πιο ορατή δέσμευση της ΕΕ, μεταξύ άλλων μέσω αξιόπιστων επενδυτικών εναλλακτικών λύσεων·</w:t>
      </w:r>
    </w:p>
    <w:p w14:paraId="7AF92F8A" w14:textId="51B69263" w:rsidR="003D673A" w:rsidRPr="007E41F2" w:rsidRDefault="007E41F2" w:rsidP="007E41F2">
      <w:pPr>
        <w:pStyle w:val="NormalHanging12a"/>
        <w:ind w:hanging="570"/>
      </w:pPr>
      <w:r w:rsidRPr="007E41F2">
        <w:t>52.</w:t>
      </w:r>
      <w:r w:rsidRPr="007E41F2">
        <w:tab/>
      </w:r>
      <w:r w:rsidR="003D673A" w:rsidRPr="007E41F2">
        <w:t>εκφράζει την ικανοποίησή του για τα απτά αποτελέσματα που επιτεύχθηκαν για τους πολίτες με τη μείωση των τελών περιαγωγής μεταξύ της ΕΕ και των Δυτικών Βαλκανίων· καλεί την Επιτροπή να επιταχύνει τις προσπάθειες για την επέκταση των εν λόγω ρυθμίσεων περιαγωγής σε όλες τις χώρες της διεύρυνσης, προκειμένου να επιτευχθεί «περιαγωγή με χρέωση εσωτερικού» και «ενιαίος χώρος πληρωμών σε ευρώ» για όλες τις υποψήφιες και δυνάμει υποψήφιες χώρες το συντομότερο δυνατόν·</w:t>
      </w:r>
    </w:p>
    <w:p w14:paraId="44A1C994" w14:textId="14490E4E" w:rsidR="003D673A" w:rsidRPr="007E41F2" w:rsidRDefault="007E41F2" w:rsidP="007E41F2">
      <w:pPr>
        <w:pStyle w:val="NormalHanging12a"/>
        <w:ind w:hanging="570"/>
      </w:pPr>
      <w:r w:rsidRPr="007E41F2">
        <w:t>53.</w:t>
      </w:r>
      <w:r w:rsidRPr="007E41F2">
        <w:tab/>
      </w:r>
      <w:r w:rsidR="003D673A" w:rsidRPr="007E41F2">
        <w:t>ζητεί να δοθεί μεγαλύτερη έμφαση στις επενδύσεις σε ανθρώπινο κεφάλαιο, προκειμένου να ενισχυθεί η ανταγωνιστικότητα και η καινοτομία στις υποψήφιες χώρες και να βρεθούν ουσιαστικές λύσεις για την ανεργία των νέων·</w:t>
      </w:r>
    </w:p>
    <w:p w14:paraId="0DBF03C4" w14:textId="64365ADF" w:rsidR="003D673A" w:rsidRPr="007E41F2" w:rsidRDefault="007E41F2" w:rsidP="007E41F2">
      <w:pPr>
        <w:pStyle w:val="NormalHanging12a"/>
        <w:ind w:hanging="570"/>
      </w:pPr>
      <w:r w:rsidRPr="007E41F2">
        <w:t>54.</w:t>
      </w:r>
      <w:r w:rsidRPr="007E41F2">
        <w:tab/>
      </w:r>
      <w:r w:rsidR="003D673A" w:rsidRPr="007E41F2">
        <w:t xml:space="preserve">επαναλαμβάνει τις εκκλήσεις του προς το Συμβούλιο, την Επιτροπή και την Ευρωπαϊκή Υπηρεσία Εξωτερικής Δράσης (ΕΥΕΔ) να ενισχύσουν τις προορατικές και στρατηγικές επικοινωνιακές προσπάθειες σχετικά με τα απτά οφέλη της ένταξης στην ΕΕ στις χώρες της διεύρυνσης και εντός των κρατών μελών, αναπτύσσοντας στοχευμένες, τεκμηριωμένες και προσανατολισμένες στα αποτελέσματα επικοινωνιακές στρατηγικές που υποστηρίζουν τους στόχους της ΕΕ και περιλαμβάνουν την τοπική κοινωνία των πολιτών και τα μέσα ενημέρωσης, αντί να βασίζονται σε γενικές επικοινωνιακές εκστρατείες· επισημαίνει, στο πλαίσιο αυτό, τον καίριο ρόλο της νεολαίας, καθώς τα κινήματα νέων έχουν επανειλημμένα αποδειχθεί καίριας σημασίας για τη συμβολή στον </w:t>
      </w:r>
      <w:proofErr w:type="spellStart"/>
      <w:r w:rsidR="003D673A" w:rsidRPr="007E41F2">
        <w:t>φιλοδημοκρατικό</w:t>
      </w:r>
      <w:proofErr w:type="spellEnd"/>
      <w:r w:rsidR="003D673A" w:rsidRPr="007E41F2">
        <w:t xml:space="preserve"> ακτιβισμό στις υποψήφιες χώρες· επαναλαμβάνει, επιπλέον, την έκκλησή του προς την Επιτροπή να διασφαλίσει την πλήρη προβολή της στήριξης και των επενδύσεων της ΕΕ στις υποψήφιες χώρες και την ευαισθητοποίηση του κοινού σχετικά με αυτές, μέσω σαφούς σήμανσης και της σημαίας της ΕΕ, μεταξύ άλλων όταν αυτές διοχετεύονται μέσω διεθνών οργανισμών· τονίζει ότι, την ώρα που οι Ηνωμένες Πολιτείες έχουν σταματήσει να στηρίζουν τα ανεξάρτητα μέσα ενημέρωσης και τους φορείς της κοινωνίας των πολιτών στις υποψήφιες χώρες, η ΕΕ έχει έντονο συμφέρον να αναλάβει γρήγορα δράση· τονίζει ότι η στήριξη των πολιτών θα είναι καθοριστική στις διαδικασίες επικύρωσης και, ως εκ τούτου, ότι η επικοινωνία πρέπει να βασίζεται τόσο στη λογική όσο και στο συναίσθημα· παροτρύνει τα θεσμικά όργανα της ΕΕ να προωθήσουν δημόσιες συζητήσεις χωρίς αποκλεισμούς σχετικά με τη διεύρυνση, ενθαρρύνοντας τη συμμετοχή του ευρέος κοινού σε ουσιαστικό διάλογο και καθιστώντας δυνατή την αποτελεσματική συμμετοχή του στη διαδικασία· υπογραμμίζει τη σημασία της μεγαλύτερης συμμετοχής των πολιτών σε επίπεδο βάσης στη διαδικασία διεύρυνσης τόσο στα κράτη μέλη της ΕΕ όσο και στις υπό ένταξη χώρες·</w:t>
      </w:r>
    </w:p>
    <w:p w14:paraId="7400373D" w14:textId="50478E99" w:rsidR="003D673A" w:rsidRPr="007E41F2" w:rsidRDefault="007E41F2" w:rsidP="007E41F2">
      <w:pPr>
        <w:pStyle w:val="NormalHanging12a"/>
        <w:ind w:hanging="570"/>
      </w:pPr>
      <w:r w:rsidRPr="007E41F2">
        <w:t>55.</w:t>
      </w:r>
      <w:r w:rsidRPr="007E41F2">
        <w:tab/>
      </w:r>
      <w:r w:rsidR="003D673A" w:rsidRPr="007E41F2">
        <w:t xml:space="preserve">τονίζει τον καίριο ρόλο των αρχών και των πολιτικών ηγετών στις χώρες της διεύρυνσης στην οικοδόμηση διακομματικής συνεργασίας για τις μεταρρυθμίσεις προσχώρησης στην ΕΕ, στη διατήρηση της συναίνεσης για την προσχώρηση στην ΕΕ σε διάφορα κοινωνικά στρώματα και στην αποτελεσματική και συνεχή προβολή των οφελών της προσχώρησης στην ΕΕ στους πολίτες· επισημαίνει τον καίριο ρόλο των οργανώσεων της κοινωνίας των πολιτών στην προώθηση του τεκμηριωμένου δημόσιου διαλόγου σχετικά με την ολοκλήρωση της ΕΕ, στην αντιμετώπιση της παραπληροφόρησης και στη διευκόλυνση του τεκμηριωμένου δημόσιου διαλόγου· </w:t>
      </w:r>
      <w:r w:rsidR="003D673A" w:rsidRPr="007E41F2">
        <w:lastRenderedPageBreak/>
        <w:t>καλεί την Επιτροπή και τα κράτη μέλη να διασφαλίζουν συστηματικά τη συμμετοχή των φορέων της κοινωνίας των πολιτών στις προσπάθειες στρατηγικής επικοινωνίας που σχετίζονται με τη διεύρυνση και τις μεταρρυθμίσεις που υποστηρίζονται από την ΕΕ·</w:t>
      </w:r>
    </w:p>
    <w:p w14:paraId="4754127A" w14:textId="31060DAE" w:rsidR="003D673A" w:rsidRPr="007E41F2" w:rsidRDefault="007E41F2" w:rsidP="007E41F2">
      <w:pPr>
        <w:pStyle w:val="NormalHanging12a"/>
        <w:ind w:hanging="570"/>
      </w:pPr>
      <w:r w:rsidRPr="007E41F2">
        <w:t>56.</w:t>
      </w:r>
      <w:r w:rsidRPr="007E41F2">
        <w:tab/>
      </w:r>
      <w:r w:rsidR="003D673A" w:rsidRPr="007E41F2">
        <w:t>παροτρύνει την Επιτροπή, έως και στο υψηλότερο επίπεδο, να χρησιμοποιεί σαφέστερη και πιο άμεση γλώσσα στη δημόσια επικοινωνία της, μεταξύ άλλων όσον αφορά τις αδυναμίες, την έλλειψη προόδου και τις οπισθοδρομήσεις, ιδίως σε σχέση με το κράτος δικαίου, προκειμένου να διατηρηθεί η αιρεσιμότητα, να υπερασπιστούν οι αξίες της ΕΕ και να διατηρηθεί η εμπιστοσύνη των φιλοευρωπαϊκών και φιλελεύθερων παραγόντων·</w:t>
      </w:r>
    </w:p>
    <w:p w14:paraId="7F559AC6" w14:textId="68CA3953" w:rsidR="003D673A" w:rsidRPr="007E41F2" w:rsidRDefault="007E41F2" w:rsidP="007E41F2">
      <w:pPr>
        <w:pStyle w:val="NormalHanging12a"/>
        <w:ind w:hanging="570"/>
      </w:pPr>
      <w:r w:rsidRPr="007E41F2">
        <w:t>57.</w:t>
      </w:r>
      <w:r w:rsidRPr="007E41F2">
        <w:tab/>
      </w:r>
      <w:r w:rsidR="003D673A" w:rsidRPr="007E41F2">
        <w:t>καλεί τα θεσμικά όργανα της ΕΕ και τα κράτη μέλη να συμμετάσχουν πλήρως στην περαιτέρω ενίσχυση των μεταρρυθμιστικών διαδικασιών στις υποψήφιες χώρες, ιδίως με την ενίσχυση των διοικητικών ικανοτήτων τους μέσω στοχευμένων προγραμμάτων ανάπτυξης ικανοτήτων· ζητεί να ενισχυθεί η ακαδημαϊκή και εκπαιδευτική συνεργασία μεταξύ των κρατών μελών της ΕΕ και των χωρών της διεύρυνσης με την ενθάρρυνση μαθημάτων κατάρτισης που επικεντρώνονται στις ευρωπαϊκές αξίες και το κράτος δικαίου, τη χρηστή διακυβέρνηση, τη δημόσια διοίκηση και την εξάλειψη της διαφθοράς, καθώς και με τη δημιουργία ενός χώρου για την κοινή κατάρτιση των δημόσιων υπαλλήλων από τις χώρες της διεύρυνσης, συμπεριλαμβανομένων των υπαλλήλων των τοπικών και των περιφερειακών αρχών· επισημαίνει την επιτυχία των έργων αδελφοποίησης όσον αφορά τη μεταφορά τομεακής εμπειρογνωμοσύνης και τονίζει την ανάγκη να αξιοποιηθεί αυτή η θετική εμπειρία, μεταξύ άλλων προκειμένου να αυξηθεί η οικειοποίηση της διαδικασίας διεύρυνσης εντός των κρατών μελών· τονίζει ότι τα προγράμματα ανάπτυξης ικανοτήτων θα πρέπει επίσης να δίνουν προτεραιότητα στην ενίσχυση των ανεξάρτητων οργανώσεων της κοινωνίας των πολιτών και στη διασφάλιση του χώρου στον οποίο δραστηριοποιούνται· καλεί την Επιτροπή να στηρίξει προγράμματα που ενδυναμώνουν τις τοπικές κοινότητες, τους εθελοντές και τις πρωτοβουλίες των πολιτών που προωθούν το δημοκρατικό πνεύμα, τις ευρωπαϊκές αξίες και την κοινωνική συνοχή·</w:t>
      </w:r>
    </w:p>
    <w:p w14:paraId="121F9093" w14:textId="669E7A64" w:rsidR="003D673A" w:rsidRPr="007E41F2" w:rsidRDefault="007E41F2" w:rsidP="007E41F2">
      <w:pPr>
        <w:pStyle w:val="NormalHanging12a"/>
        <w:ind w:hanging="570"/>
      </w:pPr>
      <w:r w:rsidRPr="007E41F2">
        <w:t>58.</w:t>
      </w:r>
      <w:r w:rsidRPr="007E41F2">
        <w:tab/>
      </w:r>
      <w:r w:rsidR="003D673A" w:rsidRPr="007E41F2">
        <w:t>υπογραμμίζει τον ρόλο της κοινοβουλευτικής διπλωματίας, της λογοδοσίας και των προγραμμάτων της ΕΕ για τη στήριξη της δημοκρατίας στη διατήρηση της δυναμικής των μεταρρυθμίσεων· επαναλαμβάνει την ετοιμότητά του να ενισχύσει τον τακτικό και διαφανή διάλογο και τη συνεργασία με τα εθνικά κοινοβούλια των υποψήφιων και δυνάμει υποψήφιων χωρών, με βάση προηγούμενες θετικές εμπειρίες και επιτυχημένα μοντέλα, αξιοποιώντας πλήρως τα υφιστάμενα εργαλεία και τις πρωτοβουλίες του Κοινοβουλίου για τη στήριξη της δημοκρατίας και προωθώντας την αυξημένη κοινοβουλευτική εποπτεία της διαδικασίας προσχώρησης στην ΕΕ και των σχετικών μεταρρυθμίσεων·</w:t>
      </w:r>
    </w:p>
    <w:p w14:paraId="5FFA0794" w14:textId="4A457B78" w:rsidR="003D673A" w:rsidRPr="007E41F2" w:rsidRDefault="007E41F2" w:rsidP="007E41F2">
      <w:pPr>
        <w:pStyle w:val="NormalHanging12a"/>
        <w:ind w:hanging="570"/>
      </w:pPr>
      <w:r w:rsidRPr="007E41F2">
        <w:t>59.</w:t>
      </w:r>
      <w:r w:rsidRPr="007E41F2">
        <w:tab/>
      </w:r>
      <w:r w:rsidR="003D673A" w:rsidRPr="007E41F2">
        <w:t>επισημαίνει την ανάγκη για εκλογικές μεταρρυθμίσεις που θα διασφαλίζουν ελεύθερες, δίκαιες και δημοκρατικές εκλογές σύμφωνα με τα διεθνή πρότυπα· τονίζει ότι οι δείκτες αναφοράς για την πολυφωνία, την ακεραιότητα των κομμάτων, τη διαφάνεια της χρηματοδότησης των κομμάτων και των μέσων ενημέρωσης και για την ανεξαρτησία της δικαιοσύνης και των μέσων ενημέρωσης αποτελούν προϋποθέσεις για την οικονομική στήριξη και πρόοδο· ενθαρρύνει την ΕΕ και τα κράτη μέλη να χρησιμοποιήσουν συμμετοχικά μέσα με τη συμμετοχή των πολιτών, των κοινοβουλίων, της κοινωνίας των πολιτών και των νέων για την ανταλλαγή απόψεων, την αύξηση της αμοιβαίας κατανόησης και την καλλιέργεια αισθήματος οικειοποίησης πριν από την επίσημη προσχώρηση·</w:t>
      </w:r>
    </w:p>
    <w:p w14:paraId="1601B11A" w14:textId="672324BE" w:rsidR="003D673A" w:rsidRPr="007E41F2" w:rsidRDefault="007E41F2" w:rsidP="007E41F2">
      <w:pPr>
        <w:pStyle w:val="NormalHanging12a"/>
        <w:ind w:hanging="570"/>
      </w:pPr>
      <w:r w:rsidRPr="007E41F2">
        <w:lastRenderedPageBreak/>
        <w:t>60.</w:t>
      </w:r>
      <w:r w:rsidRPr="007E41F2">
        <w:tab/>
      </w:r>
      <w:r w:rsidR="003D673A" w:rsidRPr="007E41F2">
        <w:t>εκφράζει την ανησυχία του για τις μεγάλης κλίμακας και κακόβουλες εκστρατείες παραπληροφόρησης που διεξάγει συνεχώς η Ρωσία και άλλοι φορείς εδώ και πολλά χρόνια, οι οποίες έχουν αυξηθεί σε ένταση από την έναρξη του επιθετικού πολέμου της Ρωσίας κατά της Ουκρανίας· σημειώνει ότι οι υποψήφιες και δυνάμει υποψήφιες χώρες και οι γειτονικές χώρες της ΕΕ αποτέλεσαν σαφές σημείο εστίασης των ρωσικών επιχειρήσεων χειραγώγησης των πληροφοριών και παρεμβάσεων από το εξωτερικό, με έναν από τους στόχους να είναι η απαξίωση της ΕΕ και η μείωση της αντιληπτής αξίας της ολοκλήρωσης της ΕΕ·</w:t>
      </w:r>
    </w:p>
    <w:p w14:paraId="59F40158" w14:textId="08EF808C" w:rsidR="003D673A" w:rsidRPr="007E41F2" w:rsidRDefault="007E41F2" w:rsidP="007E41F2">
      <w:pPr>
        <w:pStyle w:val="NormalHanging12a"/>
        <w:ind w:hanging="570"/>
      </w:pPr>
      <w:r w:rsidRPr="007E41F2">
        <w:t>61.</w:t>
      </w:r>
      <w:r w:rsidRPr="007E41F2">
        <w:tab/>
      </w:r>
      <w:r w:rsidR="003D673A" w:rsidRPr="007E41F2">
        <w:t>ενθαρρύνει την ενίσχυση του διαλόγου της ΕΕ με την κοινωνία των πολιτών και τη μεγαλύτερη στήριξη των ανεξάρτητων ερευνητικών μέσων ενημέρωσης, των φορέων επαλήθευσης των γεγονότων και των οργανώσεων της κοινωνίας των πολιτών που ασχολούνται με την παιδεία στα μέσα ενημέρωσης, προκειμένου να αντιμετωπιστεί αποτελεσματικά η παραπληροφόρηση και η χειραγώγηση των πληροφοριών και των παρεμβάσεων από το εξωτερικό (FIMI)· τονίζει την ανάγκη για συνεχή στήριξη και στενή συνεργασία με όλες τις χώρες της διεύρυνσης που αντιμετωπίζουν ισχυρές εξωτερικές παρεμβάσεις στη διαδικασία σύγκλισής τους με την ΕΕ, καθώς και στις εκλογικές διαδικασίες τους· ζητεί να εφαρμοστούν τα διδάγματα που αντλήθηκαν από την αποστολή εταιρικής σχέσης της ΕΕ στη Μολδαβία· τονίζει τη σημασία της αξιολόγησης και της βελτίωσης της αποτελεσματικότητας των μέσων της ΕΕ που έχουν σχεδιαστεί για να βοηθήσουν τις υποψήφιες χώρες να αντιμετωπίσουν τη χειραγώγηση των πληροφοριών και τις παρεμβάσεις από το εξωτερικό· επικροτεί την πρόθεση της Επιτροπής να επεκτείνει την προτεινόμενη Ευρωπαϊκή Ασπίδα Δημοκρατίας στις υπό ένταξη χώρες, ενισχύοντας έτσι την ικανότητά τους να αντιμετωπίζουν απειλές όπως η χειραγώγηση των πληροφοριών, οι παρεμβάσεις από το εξωτερικό και οι εκστρατείες παραπληροφόρησης· καλεί την Επιτροπή και την ΕΥΕΔ να εμβαθύνουν τη συνεργασία με τις ευάλωτες χώρες της διεύρυνσης όσον αφορά την ανθεκτικότητα των πληροφοριών, την κυβερνοασφάλεια και τις υβριδικές απειλές· καλεί την ΕΥΕΔ και τις αντιπροσωπείες της ΕΕ σε τρίτες χώρες να ενισχύσουν περαιτέρω τις αντίστοιχες ικανότητές τους στην καταπολέμηση και την αντιμετώπιση της παραπληροφόρησης και της προπαγάνδας κατά της ΚΕΠΠΑ της ΕΕ, μεταξύ άλλων επενδύοντας σε επικοινωνιακές εκστρατείες για την καταπολέμηση των ξένων επιρροών·</w:t>
      </w:r>
    </w:p>
    <w:p w14:paraId="00E47114" w14:textId="74C01B98" w:rsidR="003D673A" w:rsidRPr="007E41F2" w:rsidRDefault="007E41F2" w:rsidP="007E41F2">
      <w:pPr>
        <w:pStyle w:val="NormalHanging12a"/>
        <w:ind w:hanging="570"/>
      </w:pPr>
      <w:r w:rsidRPr="007E41F2">
        <w:t>62.</w:t>
      </w:r>
      <w:r w:rsidRPr="007E41F2">
        <w:tab/>
      </w:r>
      <w:r w:rsidR="003D673A" w:rsidRPr="007E41F2">
        <w:t>σημειώνει με ανησυχία ότι η Ρωσία παρουσιάζεται όλο και περισσότερο ως παγκόσμιος υπερασπιστής των «παραδοσιακών αξιών» εργαλειοποιώντας τη Ρωσική Ορθόδοξη Εκκλησία ως μέσο παραπληροφόρησης και προβολής ήπιας ισχύος, ιδίως στις χώρες της πρώην Σοβιετικής Ένωσης· υπογραμμίζει ότι οι πρακτικές αυτές αποσκοπούν στην υπονόμευση της δημοκρατίας, της κοινωνικής συνοχής και των φιλοευρωπαϊκών προσανατολισμών· ζητεί η ΚΕΠΠΑ και η πολιτική διεύρυνσης να συμπεριλάβουν ειδικά μέτρα για την αντιμετώπιση αυτής της επιρροής, συμπεριλαμβανομένης της θρησκευτικής διπλωματίας, της στρατηγικής επικοινωνίας και της στήριξης των θρησκευτικών κοινοτήτων που υπήρξαν θύματα της σοβιετικής καταπίεσης·</w:t>
      </w:r>
    </w:p>
    <w:p w14:paraId="56D2B327" w14:textId="77777777" w:rsidR="003D673A" w:rsidRPr="007E41F2" w:rsidRDefault="003D673A" w:rsidP="003D673A">
      <w:pPr>
        <w:pStyle w:val="Normal12Hanging"/>
        <w:jc w:val="center"/>
        <w:rPr>
          <w:szCs w:val="24"/>
          <w:lang w:val="el-GR"/>
        </w:rPr>
      </w:pPr>
      <w:r w:rsidRPr="007E41F2">
        <w:rPr>
          <w:lang w:val="el-GR"/>
        </w:rPr>
        <w:t>°</w:t>
      </w:r>
    </w:p>
    <w:p w14:paraId="6C2FC36C" w14:textId="77777777" w:rsidR="003D673A" w:rsidRPr="007E41F2" w:rsidRDefault="003D673A" w:rsidP="003D673A">
      <w:pPr>
        <w:pStyle w:val="Normal12Hanging"/>
        <w:jc w:val="center"/>
        <w:rPr>
          <w:szCs w:val="24"/>
          <w:lang w:val="el-GR"/>
        </w:rPr>
      </w:pPr>
      <w:r w:rsidRPr="007E41F2">
        <w:rPr>
          <w:lang w:val="el-GR"/>
        </w:rPr>
        <w:t>°</w:t>
      </w:r>
      <w:r w:rsidRPr="007E41F2">
        <w:rPr>
          <w:lang w:val="el-GR"/>
        </w:rPr>
        <w:tab/>
        <w:t>°</w:t>
      </w:r>
    </w:p>
    <w:p w14:paraId="042419D4" w14:textId="74DC30A3" w:rsidR="00E365E1" w:rsidRPr="007E41F2" w:rsidRDefault="007E41F2" w:rsidP="00EF58A3">
      <w:pPr>
        <w:pStyle w:val="NormalHanging12a"/>
        <w:ind w:hanging="570"/>
      </w:pPr>
      <w:r w:rsidRPr="007E41F2">
        <w:t>63.</w:t>
      </w:r>
      <w:r w:rsidRPr="007E41F2">
        <w:tab/>
      </w:r>
      <w:r w:rsidR="003D673A" w:rsidRPr="007E41F2">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Ασφάλειας, στις κυβερνήσεις και τα κοινοβούλια των κρατών μελών, καθώς και στις κυβερνήσεις και τα κοινοβούλια των χωρών της διεύρυνσης.</w:t>
      </w:r>
    </w:p>
    <w:sectPr w:rsidR="00E365E1" w:rsidRPr="007E41F2" w:rsidSect="00BE60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3EBFB" w14:textId="77777777" w:rsidR="009D362D" w:rsidRPr="00BE6017" w:rsidRDefault="009D362D">
      <w:r w:rsidRPr="00BE6017">
        <w:separator/>
      </w:r>
    </w:p>
  </w:endnote>
  <w:endnote w:type="continuationSeparator" w:id="0">
    <w:p w14:paraId="28E5EC36" w14:textId="77777777" w:rsidR="009D362D" w:rsidRPr="00BE6017" w:rsidRDefault="009D362D">
      <w:r w:rsidRPr="00BE60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4702" w14:textId="77777777" w:rsidR="009D362D" w:rsidRPr="00BE6017" w:rsidRDefault="009D362D">
      <w:r w:rsidRPr="00BE6017">
        <w:separator/>
      </w:r>
    </w:p>
  </w:footnote>
  <w:footnote w:type="continuationSeparator" w:id="0">
    <w:p w14:paraId="599E779C" w14:textId="77777777" w:rsidR="009D362D" w:rsidRPr="00BE6017" w:rsidRDefault="009D362D">
      <w:r w:rsidRPr="00BE6017">
        <w:continuationSeparator/>
      </w:r>
    </w:p>
  </w:footnote>
  <w:footnote w:id="1">
    <w:p w14:paraId="02D5FDEA" w14:textId="0337CA3D"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C, C/2024/4173, 2.8.2024, ELI: </w:t>
      </w:r>
      <w:hyperlink r:id="rId1" w:history="1">
        <w:r w:rsidRPr="00065EF1">
          <w:rPr>
            <w:rStyle w:val="Hyperlink"/>
            <w:sz w:val="24"/>
            <w:lang w:val="fi-FI"/>
          </w:rPr>
          <w:t>http://data.europa.eu/eli/C/2024/4173/oj</w:t>
        </w:r>
      </w:hyperlink>
      <w:r w:rsidRPr="00065EF1">
        <w:rPr>
          <w:sz w:val="24"/>
          <w:lang w:val="fi-FI"/>
        </w:rPr>
        <w:t xml:space="preserve">. </w:t>
      </w:r>
    </w:p>
  </w:footnote>
  <w:footnote w:id="2">
    <w:p w14:paraId="667ABA5F" w14:textId="1A810FD3"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107 της 28.4.2009, σ. 166,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/2009/332/</w:instrText>
      </w:r>
      <w:r>
        <w:instrText>oj</w:instrText>
      </w:r>
      <w:r w:rsidRPr="00EF58A3">
        <w:rPr>
          <w:lang w:val="el-GR"/>
        </w:rPr>
        <w:instrText>"</w:instrText>
      </w:r>
      <w:r>
        <w:fldChar w:fldCharType="separate"/>
      </w:r>
      <w:r w:rsidRPr="00BE6017">
        <w:rPr>
          <w:rStyle w:val="Hyperlink"/>
          <w:sz w:val="24"/>
          <w:lang w:val="el-GR"/>
        </w:rPr>
        <w:t>http://data.europa.eu/eli/agree_internation/2009/332/oj</w:t>
      </w:r>
      <w:r>
        <w:fldChar w:fldCharType="end"/>
      </w:r>
      <w:r w:rsidRPr="00BE6017">
        <w:rPr>
          <w:sz w:val="24"/>
          <w:lang w:val="el-GR"/>
        </w:rPr>
        <w:t xml:space="preserve">. </w:t>
      </w:r>
    </w:p>
  </w:footnote>
  <w:footnote w:id="3">
    <w:p w14:paraId="0D4CA97B" w14:textId="5B4B8048"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164 της 30.6.2015, σ. 2,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/2015/997/</w:instrText>
      </w:r>
      <w:r>
        <w:instrText>oj</w:instrText>
      </w:r>
      <w:r w:rsidRPr="00EF58A3">
        <w:rPr>
          <w:lang w:val="el-GR"/>
        </w:rPr>
        <w:instrText>"</w:instrText>
      </w:r>
      <w:r>
        <w:fldChar w:fldCharType="separate"/>
      </w:r>
      <w:r w:rsidRPr="00BE6017">
        <w:rPr>
          <w:rStyle w:val="Hyperlink"/>
          <w:sz w:val="24"/>
          <w:lang w:val="el-GR"/>
        </w:rPr>
        <w:t>http://data.europa.eu/eli/agree_internation/2015/997/oj</w:t>
      </w:r>
      <w:r>
        <w:fldChar w:fldCharType="end"/>
      </w:r>
      <w:r w:rsidRPr="00BE6017">
        <w:rPr>
          <w:sz w:val="24"/>
          <w:lang w:val="el-GR"/>
        </w:rPr>
        <w:t xml:space="preserve">. </w:t>
      </w:r>
    </w:p>
  </w:footnote>
  <w:footnote w:id="4">
    <w:p w14:paraId="510E8B6E" w14:textId="6388BF5D"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261 της 30.8.2014, σ. 4,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/2014/494/</w:instrText>
      </w:r>
      <w:r>
        <w:instrText>oj</w:instrText>
      </w:r>
      <w:r w:rsidRPr="00EF58A3">
        <w:rPr>
          <w:lang w:val="el-GR"/>
        </w:rPr>
        <w:instrText>"</w:instrText>
      </w:r>
      <w:r>
        <w:fldChar w:fldCharType="separate"/>
      </w:r>
      <w:r w:rsidRPr="00BE6017">
        <w:rPr>
          <w:rStyle w:val="Hyperlink"/>
          <w:sz w:val="24"/>
          <w:lang w:val="el-GR"/>
        </w:rPr>
        <w:t>http://data.europa.eu/eli/agree_internation/2014/494/oj</w:t>
      </w:r>
      <w:r>
        <w:fldChar w:fldCharType="end"/>
      </w:r>
      <w:r w:rsidRPr="00BE6017">
        <w:rPr>
          <w:sz w:val="24"/>
          <w:lang w:val="el-GR"/>
        </w:rPr>
        <w:t xml:space="preserve">. </w:t>
      </w:r>
    </w:p>
  </w:footnote>
  <w:footnote w:id="5">
    <w:p w14:paraId="3607DA32" w14:textId="0CB7698A"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71 της 16.3.2016, σ. 3,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/2016/342/</w:instrText>
      </w:r>
      <w:r>
        <w:instrText>oj</w:instrText>
      </w:r>
      <w:r w:rsidRPr="00EF58A3">
        <w:rPr>
          <w:lang w:val="el-GR"/>
        </w:rPr>
        <w:instrText>"</w:instrText>
      </w:r>
      <w:r>
        <w:fldChar w:fldCharType="separate"/>
      </w:r>
      <w:r w:rsidRPr="00BE6017">
        <w:rPr>
          <w:rStyle w:val="Hyperlink"/>
          <w:sz w:val="24"/>
          <w:lang w:val="el-GR"/>
        </w:rPr>
        <w:t>http://data.europa.eu/eli/agree_internation/2016/342/oj</w:t>
      </w:r>
      <w:r>
        <w:fldChar w:fldCharType="end"/>
      </w:r>
      <w:r w:rsidRPr="00BE6017">
        <w:rPr>
          <w:sz w:val="24"/>
          <w:lang w:val="el-GR"/>
        </w:rPr>
        <w:t xml:space="preserve">. </w:t>
      </w:r>
    </w:p>
  </w:footnote>
  <w:footnote w:id="6">
    <w:p w14:paraId="664A84D5" w14:textId="25566A2D"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260 της 30.8.2014, σ. 4,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/2014/492/</w:instrText>
      </w:r>
      <w:r>
        <w:instrText>oj</w:instrText>
      </w:r>
      <w:r w:rsidRPr="00EF58A3">
        <w:rPr>
          <w:lang w:val="el-GR"/>
        </w:rPr>
        <w:instrText>"</w:instrText>
      </w:r>
      <w:r>
        <w:fldChar w:fldCharType="separate"/>
      </w:r>
      <w:r w:rsidRPr="00BE6017">
        <w:rPr>
          <w:rStyle w:val="Hyperlink"/>
          <w:sz w:val="24"/>
          <w:lang w:val="el-GR"/>
        </w:rPr>
        <w:t>http://data.europa.eu/eli/agree_internation/2014/492/oj</w:t>
      </w:r>
      <w:r>
        <w:fldChar w:fldCharType="end"/>
      </w:r>
      <w:r w:rsidRPr="00BE6017">
        <w:rPr>
          <w:sz w:val="24"/>
          <w:lang w:val="el-GR"/>
        </w:rPr>
        <w:t xml:space="preserve">. </w:t>
      </w:r>
    </w:p>
  </w:footnote>
  <w:footnote w:id="7">
    <w:p w14:paraId="53D6C2F5" w14:textId="0803ACFB"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108 της 29.4.2010, σ. 3,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/2010/224/</w:instrText>
      </w:r>
      <w:r>
        <w:instrText>oj</w:instrText>
      </w:r>
      <w:r w:rsidRPr="00EF58A3">
        <w:rPr>
          <w:lang w:val="el-GR"/>
        </w:rPr>
        <w:instrText>"</w:instrText>
      </w:r>
      <w:r>
        <w:fldChar w:fldCharType="separate"/>
      </w:r>
      <w:r w:rsidRPr="00BE6017">
        <w:rPr>
          <w:rStyle w:val="Hyperlink"/>
          <w:sz w:val="24"/>
          <w:lang w:val="el-GR"/>
        </w:rPr>
        <w:t>http://data.europa.eu/eli/agree_internation/2010/224/oj</w:t>
      </w:r>
      <w:r>
        <w:fldChar w:fldCharType="end"/>
      </w:r>
      <w:r w:rsidRPr="00BE6017">
        <w:rPr>
          <w:sz w:val="24"/>
          <w:lang w:val="el-GR"/>
        </w:rPr>
        <w:t xml:space="preserve">. </w:t>
      </w:r>
    </w:p>
  </w:footnote>
  <w:footnote w:id="8">
    <w:p w14:paraId="71021A33" w14:textId="0712E04A" w:rsidR="003D673A" w:rsidRPr="00007A9B"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007A9B">
        <w:rPr>
          <w:sz w:val="24"/>
          <w:lang w:val="el-GR"/>
        </w:rPr>
        <w:t xml:space="preserve"> </w:t>
      </w:r>
      <w:r w:rsidR="00BE6017" w:rsidRPr="00007A9B">
        <w:rPr>
          <w:sz w:val="24"/>
          <w:lang w:val="el-GR"/>
        </w:rPr>
        <w:tab/>
      </w:r>
      <w:r w:rsidRPr="00BE6017">
        <w:rPr>
          <w:sz w:val="24"/>
          <w:lang w:val="el-GR"/>
        </w:rPr>
        <w:t>ΕΕ</w:t>
      </w:r>
      <w:r w:rsidRPr="00007A9B">
        <w:rPr>
          <w:sz w:val="24"/>
          <w:lang w:val="el-GR"/>
        </w:rPr>
        <w:t xml:space="preserve"> </w:t>
      </w:r>
      <w:r w:rsidRPr="00065EF1">
        <w:rPr>
          <w:sz w:val="24"/>
          <w:lang w:val="fi-FI"/>
        </w:rPr>
        <w:t>L</w:t>
      </w:r>
      <w:r w:rsidRPr="00007A9B">
        <w:rPr>
          <w:sz w:val="24"/>
          <w:lang w:val="el-GR"/>
        </w:rPr>
        <w:t xml:space="preserve"> 84</w:t>
      </w:r>
      <w:r w:rsidR="00007A9B">
        <w:rPr>
          <w:sz w:val="24"/>
          <w:lang w:val="el-GR"/>
        </w:rPr>
        <w:t xml:space="preserve"> της 20.3.2004, </w:t>
      </w:r>
      <w:r w:rsidRPr="00BE6017">
        <w:rPr>
          <w:sz w:val="24"/>
          <w:lang w:val="el-GR"/>
        </w:rPr>
        <w:t>σ</w:t>
      </w:r>
      <w:r w:rsidRPr="00007A9B">
        <w:rPr>
          <w:sz w:val="24"/>
          <w:lang w:val="el-GR"/>
        </w:rPr>
        <w:t xml:space="preserve">. 13, </w:t>
      </w:r>
      <w:r w:rsidRPr="00065EF1">
        <w:rPr>
          <w:sz w:val="24"/>
          <w:lang w:val="fi-FI"/>
        </w:rPr>
        <w:t>ELI</w:t>
      </w:r>
      <w:r w:rsidRPr="00007A9B">
        <w:rPr>
          <w:sz w:val="24"/>
          <w:lang w:val="el-GR"/>
        </w:rPr>
        <w:t xml:space="preserve">: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/2004/239(2)/</w:instrText>
      </w:r>
      <w:r>
        <w:instrText>oj</w:instrText>
      </w:r>
      <w:r w:rsidRPr="00EF58A3">
        <w:rPr>
          <w:lang w:val="el-GR"/>
        </w:rPr>
        <w:instrText>"</w:instrText>
      </w:r>
      <w:r>
        <w:fldChar w:fldCharType="separate"/>
      </w:r>
      <w:r w:rsidRPr="00065EF1">
        <w:rPr>
          <w:rStyle w:val="Hyperlink"/>
          <w:sz w:val="24"/>
          <w:lang w:val="fi-FI"/>
        </w:rPr>
        <w:t>http</w:t>
      </w:r>
      <w:r w:rsidRPr="00007A9B">
        <w:rPr>
          <w:rStyle w:val="Hyperlink"/>
          <w:sz w:val="24"/>
          <w:lang w:val="el-GR"/>
        </w:rPr>
        <w:t>://</w:t>
      </w:r>
      <w:r w:rsidRPr="00065EF1">
        <w:rPr>
          <w:rStyle w:val="Hyperlink"/>
          <w:sz w:val="24"/>
          <w:lang w:val="fi-FI"/>
        </w:rPr>
        <w:t>data</w:t>
      </w:r>
      <w:r w:rsidRPr="00007A9B">
        <w:rPr>
          <w:rStyle w:val="Hyperlink"/>
          <w:sz w:val="24"/>
          <w:lang w:val="el-GR"/>
        </w:rPr>
        <w:t>.</w:t>
      </w:r>
      <w:r w:rsidRPr="00065EF1">
        <w:rPr>
          <w:rStyle w:val="Hyperlink"/>
          <w:sz w:val="24"/>
          <w:lang w:val="fi-FI"/>
        </w:rPr>
        <w:t>europa</w:t>
      </w:r>
      <w:r w:rsidRPr="00007A9B">
        <w:rPr>
          <w:rStyle w:val="Hyperlink"/>
          <w:sz w:val="24"/>
          <w:lang w:val="el-GR"/>
        </w:rPr>
        <w:t>.</w:t>
      </w:r>
      <w:proofErr w:type="spellStart"/>
      <w:r w:rsidRPr="00065EF1">
        <w:rPr>
          <w:rStyle w:val="Hyperlink"/>
          <w:sz w:val="24"/>
          <w:lang w:val="fi-FI"/>
        </w:rPr>
        <w:t>eu</w:t>
      </w:r>
      <w:proofErr w:type="spellEnd"/>
      <w:r w:rsidRPr="00007A9B">
        <w:rPr>
          <w:rStyle w:val="Hyperlink"/>
          <w:sz w:val="24"/>
          <w:lang w:val="el-GR"/>
        </w:rPr>
        <w:t>/</w:t>
      </w:r>
      <w:r w:rsidRPr="00065EF1">
        <w:rPr>
          <w:rStyle w:val="Hyperlink"/>
          <w:sz w:val="24"/>
          <w:lang w:val="fi-FI"/>
        </w:rPr>
        <w:t>eli</w:t>
      </w:r>
      <w:r w:rsidRPr="00007A9B">
        <w:rPr>
          <w:rStyle w:val="Hyperlink"/>
          <w:sz w:val="24"/>
          <w:lang w:val="el-GR"/>
        </w:rPr>
        <w:t>/</w:t>
      </w:r>
      <w:proofErr w:type="spellStart"/>
      <w:r w:rsidRPr="00065EF1">
        <w:rPr>
          <w:rStyle w:val="Hyperlink"/>
          <w:sz w:val="24"/>
          <w:lang w:val="fi-FI"/>
        </w:rPr>
        <w:t>agree</w:t>
      </w:r>
      <w:proofErr w:type="spellEnd"/>
      <w:r w:rsidRPr="00007A9B">
        <w:rPr>
          <w:rStyle w:val="Hyperlink"/>
          <w:sz w:val="24"/>
          <w:lang w:val="el-GR"/>
        </w:rPr>
        <w:t>_</w:t>
      </w:r>
      <w:proofErr w:type="spellStart"/>
      <w:r w:rsidRPr="00065EF1">
        <w:rPr>
          <w:rStyle w:val="Hyperlink"/>
          <w:sz w:val="24"/>
          <w:lang w:val="fi-FI"/>
        </w:rPr>
        <w:t>internation</w:t>
      </w:r>
      <w:proofErr w:type="spellEnd"/>
      <w:r w:rsidRPr="00007A9B">
        <w:rPr>
          <w:rStyle w:val="Hyperlink"/>
          <w:sz w:val="24"/>
          <w:lang w:val="el-GR"/>
        </w:rPr>
        <w:t>/2004/239(2)/</w:t>
      </w:r>
      <w:proofErr w:type="spellStart"/>
      <w:r w:rsidRPr="00065EF1">
        <w:rPr>
          <w:rStyle w:val="Hyperlink"/>
          <w:sz w:val="24"/>
          <w:lang w:val="fi-FI"/>
        </w:rPr>
        <w:t>oj</w:t>
      </w:r>
      <w:proofErr w:type="spellEnd"/>
      <w:r>
        <w:fldChar w:fldCharType="end"/>
      </w:r>
      <w:r w:rsidRPr="00007A9B">
        <w:rPr>
          <w:sz w:val="24"/>
          <w:lang w:val="el-GR"/>
        </w:rPr>
        <w:t xml:space="preserve">. </w:t>
      </w:r>
    </w:p>
  </w:footnote>
  <w:footnote w:id="9">
    <w:p w14:paraId="78B417A0" w14:textId="3A7B2C44"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278 της 18.10.2013, σ. 16,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/2013/490/</w:instrText>
      </w:r>
      <w:r>
        <w:instrText>oj</w:instrText>
      </w:r>
      <w:r w:rsidRPr="00EF58A3">
        <w:rPr>
          <w:lang w:val="el-GR"/>
        </w:rPr>
        <w:instrText>"</w:instrText>
      </w:r>
      <w:r>
        <w:fldChar w:fldCharType="separate"/>
      </w:r>
      <w:r w:rsidRPr="00BE6017">
        <w:rPr>
          <w:rStyle w:val="Hyperlink"/>
          <w:sz w:val="24"/>
          <w:lang w:val="el-GR"/>
        </w:rPr>
        <w:t>http://data.europa.eu/eli/agree_internation/2013/490/oj</w:t>
      </w:r>
      <w:r>
        <w:fldChar w:fldCharType="end"/>
      </w:r>
      <w:r w:rsidRPr="00BE6017">
        <w:rPr>
          <w:sz w:val="24"/>
          <w:lang w:val="el-GR"/>
        </w:rPr>
        <w:t xml:space="preserve">. </w:t>
      </w:r>
    </w:p>
  </w:footnote>
  <w:footnote w:id="10">
    <w:p w14:paraId="2FFB5421" w14:textId="0BA3DA61"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361 της 31.12.1977, σ. 29,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/1964/732/</w:instrText>
      </w:r>
      <w:r>
        <w:instrText>oj</w:instrText>
      </w:r>
      <w:r w:rsidRPr="00EF58A3">
        <w:rPr>
          <w:lang w:val="el-GR"/>
        </w:rPr>
        <w:instrText>"</w:instrText>
      </w:r>
      <w:r>
        <w:fldChar w:fldCharType="separate"/>
      </w:r>
      <w:r w:rsidRPr="00BE6017">
        <w:rPr>
          <w:rStyle w:val="Hyperlink"/>
          <w:sz w:val="24"/>
          <w:lang w:val="el-GR"/>
        </w:rPr>
        <w:t>http://data.europa.eu/eli/agree_internation/1964/732/oj</w:t>
      </w:r>
      <w:r>
        <w:fldChar w:fldCharType="end"/>
      </w:r>
      <w:r w:rsidRPr="00BE6017">
        <w:rPr>
          <w:sz w:val="24"/>
          <w:lang w:val="el-GR"/>
        </w:rPr>
        <w:t xml:space="preserve">. </w:t>
      </w:r>
    </w:p>
  </w:footnote>
  <w:footnote w:id="11">
    <w:p w14:paraId="57D74B55" w14:textId="4161EA95"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161 της 29.5.2014, σ. 3,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agree</w:instrText>
      </w:r>
      <w:r w:rsidRPr="00EF58A3">
        <w:rPr>
          <w:lang w:val="el-GR"/>
        </w:rPr>
        <w:instrText>_</w:instrText>
      </w:r>
      <w:r>
        <w:instrText>internation</w:instrText>
      </w:r>
      <w:r w:rsidRPr="00EF58A3">
        <w:rPr>
          <w:lang w:val="el-GR"/>
        </w:rPr>
        <w:instrText>/2014/295/</w:instrText>
      </w:r>
      <w:r>
        <w:instrText>oj</w:instrText>
      </w:r>
      <w:r w:rsidRPr="00EF58A3">
        <w:rPr>
          <w:lang w:val="el-GR"/>
        </w:rPr>
        <w:instrText>"</w:instrText>
      </w:r>
      <w:r>
        <w:fldChar w:fldCharType="separate"/>
      </w:r>
      <w:r w:rsidRPr="00BE6017">
        <w:rPr>
          <w:rStyle w:val="Hyperlink"/>
          <w:sz w:val="24"/>
          <w:lang w:val="el-GR"/>
        </w:rPr>
        <w:t>http://data.europa.eu/eli/agree_internation/2014/295/oj</w:t>
      </w:r>
      <w:r>
        <w:fldChar w:fldCharType="end"/>
      </w:r>
      <w:r w:rsidRPr="00BE6017">
        <w:rPr>
          <w:sz w:val="24"/>
          <w:lang w:val="el-GR"/>
        </w:rPr>
        <w:t xml:space="preserve">. </w:t>
      </w:r>
    </w:p>
  </w:footnote>
  <w:footnote w:id="12">
    <w:p w14:paraId="7971D172" w14:textId="65838C2D"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Κείμενα που εγκρίθηκαν, P10_TA(2025)0094. </w:t>
      </w:r>
    </w:p>
  </w:footnote>
  <w:footnote w:id="13">
    <w:p w14:paraId="1E7CECE4" w14:textId="253B2F80"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P10_TA(2025)0093.</w:t>
      </w:r>
    </w:p>
  </w:footnote>
  <w:footnote w:id="14">
    <w:p w14:paraId="39989EA7" w14:textId="33ECCEBB"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P10_TA(2025)0155.</w:t>
      </w:r>
    </w:p>
  </w:footnote>
  <w:footnote w:id="15">
    <w:p w14:paraId="2F0B2C82" w14:textId="54B123A5"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P10_TA(2025)0156.</w:t>
      </w:r>
    </w:p>
  </w:footnote>
  <w:footnote w:id="16">
    <w:p w14:paraId="5AB747C6" w14:textId="6F94408F"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P10_TA(2025)0157.</w:t>
      </w:r>
    </w:p>
  </w:footnote>
  <w:footnote w:id="17">
    <w:p w14:paraId="44495AE2" w14:textId="5D0873F5"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P10_TA(2025)0130.</w:t>
      </w:r>
    </w:p>
  </w:footnote>
  <w:footnote w:id="18">
    <w:p w14:paraId="4D3075C7" w14:textId="6EB2D8A5"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P10_TA(2025)0175.</w:t>
      </w:r>
    </w:p>
  </w:footnote>
  <w:footnote w:id="19">
    <w:p w14:paraId="57233FCA" w14:textId="2B217FD1"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P10_TA(2025)0131.</w:t>
      </w:r>
    </w:p>
  </w:footnote>
  <w:footnote w:id="20">
    <w:p w14:paraId="7E5302D1" w14:textId="5ED04798"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P10_TA(2025)0158.</w:t>
      </w:r>
    </w:p>
  </w:footnote>
  <w:footnote w:id="21">
    <w:p w14:paraId="51A01558" w14:textId="70CDA220"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P10_TA(2025)0092.</w:t>
      </w:r>
    </w:p>
  </w:footnote>
  <w:footnote w:id="22">
    <w:p w14:paraId="055FAFE8" w14:textId="54049113"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C, C/2024/6555, 12.11.2024, ELI: </w:t>
      </w:r>
      <w:r>
        <w:fldChar w:fldCharType="begin"/>
      </w:r>
      <w:r w:rsidRPr="00EF58A3">
        <w:rPr>
          <w:lang w:val="fi-FI"/>
        </w:rPr>
        <w:instrText>HYPERLINK "http://data.europa.eu/eli/C/2024/6555/oj"</w:instrText>
      </w:r>
      <w:r>
        <w:fldChar w:fldCharType="separate"/>
      </w:r>
      <w:r w:rsidRPr="00065EF1">
        <w:rPr>
          <w:rStyle w:val="Hyperlink"/>
          <w:sz w:val="24"/>
          <w:lang w:val="fi-FI"/>
        </w:rPr>
        <w:t>http://data.europa.eu/eli/C/2024/6555/oj</w:t>
      </w:r>
      <w:r>
        <w:fldChar w:fldCharType="end"/>
      </w:r>
      <w:r w:rsidRPr="00065EF1">
        <w:rPr>
          <w:sz w:val="24"/>
          <w:lang w:val="fi-FI"/>
        </w:rPr>
        <w:t>.</w:t>
      </w:r>
    </w:p>
  </w:footnote>
  <w:footnote w:id="23">
    <w:p w14:paraId="42EC1014" w14:textId="495EF408"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C, C/2024/6746, 26.11.2024, ELI: </w:t>
      </w:r>
      <w:r>
        <w:fldChar w:fldCharType="begin"/>
      </w:r>
      <w:r w:rsidRPr="00EF58A3">
        <w:rPr>
          <w:lang w:val="fi-FI"/>
        </w:rPr>
        <w:instrText>HYPERLINK "http://data.europa.eu/eli/C/2024/6746/oj"</w:instrText>
      </w:r>
      <w:r>
        <w:fldChar w:fldCharType="separate"/>
      </w:r>
      <w:r w:rsidRPr="00065EF1">
        <w:rPr>
          <w:rStyle w:val="Hyperlink"/>
          <w:sz w:val="24"/>
          <w:lang w:val="fi-FI"/>
        </w:rPr>
        <w:t>http://data.europa.eu/eli/C/2024/6746/oj</w:t>
      </w:r>
      <w:r>
        <w:fldChar w:fldCharType="end"/>
      </w:r>
      <w:r w:rsidRPr="00065EF1">
        <w:rPr>
          <w:sz w:val="24"/>
          <w:lang w:val="fi-FI"/>
        </w:rPr>
        <w:t xml:space="preserve">. </w:t>
      </w:r>
    </w:p>
  </w:footnote>
  <w:footnote w:id="24">
    <w:p w14:paraId="75319CF7" w14:textId="48303060" w:rsidR="003D673A" w:rsidRPr="00BE6017" w:rsidRDefault="003D673A" w:rsidP="00EF58A3">
      <w:pPr>
        <w:pStyle w:val="FootnoteText"/>
        <w:spacing w:line="240" w:lineRule="auto"/>
        <w:ind w:left="567" w:hanging="567"/>
        <w:rPr>
          <w:b/>
          <w:i/>
          <w:sz w:val="24"/>
          <w:lang w:val="el-GR"/>
        </w:rPr>
      </w:pPr>
      <w:r w:rsidRPr="00BE6017">
        <w:rPr>
          <w:rStyle w:val="FootnoteReference"/>
          <w:rFonts w:eastAsiaTheme="majorEastAsia"/>
          <w:sz w:val="24"/>
          <w:lang w:val="el-GR"/>
        </w:rPr>
        <w:footnoteRef/>
      </w:r>
      <w:r w:rsidR="00BE6017" w:rsidRPr="00BE6017">
        <w:rPr>
          <w:rStyle w:val="Emphasis"/>
          <w:rFonts w:ascii="Times New Roman" w:hAnsi="Times New Roman"/>
          <w:sz w:val="24"/>
          <w:lang w:val="el-GR"/>
        </w:rPr>
        <w:t xml:space="preserve"> </w:t>
      </w:r>
      <w:r w:rsidR="00BE6017" w:rsidRPr="00BE6017">
        <w:rPr>
          <w:rStyle w:val="Emphasis"/>
          <w:rFonts w:ascii="Times New Roman" w:hAnsi="Times New Roman"/>
          <w:sz w:val="24"/>
          <w:lang w:val="el-GR"/>
        </w:rPr>
        <w:tab/>
      </w:r>
      <w:r w:rsidRPr="00065EF1">
        <w:rPr>
          <w:rStyle w:val="Emphasis"/>
          <w:rFonts w:ascii="Times New Roman" w:hAnsi="Times New Roman"/>
          <w:b w:val="0"/>
          <w:bCs/>
          <w:i w:val="0"/>
          <w:iCs w:val="0"/>
          <w:sz w:val="24"/>
          <w:lang w:val="el-GR"/>
        </w:rPr>
        <w:t>ΕΕ C 167 της 11.5.2023, σ. 105.</w:t>
      </w:r>
    </w:p>
  </w:footnote>
  <w:footnote w:id="25">
    <w:p w14:paraId="0B5F976F" w14:textId="10FB517E"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 xml:space="preserve">ΕΕ L 330 της 20.9.2021, σ. 1, ELI: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reg</w:instrText>
      </w:r>
      <w:r w:rsidRPr="00EF58A3">
        <w:rPr>
          <w:lang w:val="el-GR"/>
        </w:rPr>
        <w:instrText>/2021/1529/</w:instrText>
      </w:r>
      <w:r>
        <w:instrText>oj</w:instrText>
      </w:r>
      <w:r w:rsidRPr="00EF58A3">
        <w:rPr>
          <w:lang w:val="el-GR"/>
        </w:rPr>
        <w:instrText>"</w:instrText>
      </w:r>
      <w:r>
        <w:fldChar w:fldCharType="separate"/>
      </w:r>
      <w:r w:rsidRPr="00BE6017">
        <w:rPr>
          <w:rStyle w:val="Hyperlink"/>
          <w:sz w:val="24"/>
          <w:lang w:val="el-GR"/>
        </w:rPr>
        <w:t>http://data.europa.eu/eli/reg/2021/1529/oj</w:t>
      </w:r>
      <w:r>
        <w:fldChar w:fldCharType="end"/>
      </w:r>
      <w:r w:rsidRPr="00BE6017">
        <w:rPr>
          <w:sz w:val="24"/>
          <w:lang w:val="el-GR"/>
        </w:rPr>
        <w:t xml:space="preserve">. </w:t>
      </w:r>
    </w:p>
  </w:footnote>
  <w:footnote w:id="26">
    <w:p w14:paraId="6D413FC8" w14:textId="739C70A1"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L, 2024/1449, 24.5.2024, ELI: </w:t>
      </w:r>
      <w:r>
        <w:fldChar w:fldCharType="begin"/>
      </w:r>
      <w:r w:rsidRPr="00EF58A3">
        <w:rPr>
          <w:lang w:val="fi-FI"/>
        </w:rPr>
        <w:instrText>HYPERLINK "http://data.europa.eu/eli/reg/2024/1449/oj"</w:instrText>
      </w:r>
      <w:r>
        <w:fldChar w:fldCharType="separate"/>
      </w:r>
      <w:r w:rsidRPr="00065EF1">
        <w:rPr>
          <w:rStyle w:val="Hyperlink"/>
          <w:sz w:val="24"/>
          <w:lang w:val="fi-FI"/>
        </w:rPr>
        <w:t>http://data.europa.eu/eli/reg/2024/1449/oj</w:t>
      </w:r>
      <w:r>
        <w:fldChar w:fldCharType="end"/>
      </w:r>
      <w:r w:rsidRPr="00065EF1">
        <w:rPr>
          <w:sz w:val="24"/>
          <w:lang w:val="fi-FI"/>
        </w:rPr>
        <w:t xml:space="preserve">. </w:t>
      </w:r>
    </w:p>
  </w:footnote>
  <w:footnote w:id="27">
    <w:p w14:paraId="7B38E047" w14:textId="4B50116E"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L, 2024/792, 29.2.2024, ELI: </w:t>
      </w:r>
      <w:r>
        <w:fldChar w:fldCharType="begin"/>
      </w:r>
      <w:r w:rsidRPr="00EF58A3">
        <w:rPr>
          <w:lang w:val="fi-FI"/>
        </w:rPr>
        <w:instrText>HYPERLINK "http://data.europa.eu/eli/reg/2024/792/oj"</w:instrText>
      </w:r>
      <w:r>
        <w:fldChar w:fldCharType="separate"/>
      </w:r>
      <w:r w:rsidRPr="00065EF1">
        <w:rPr>
          <w:rStyle w:val="Hyperlink"/>
          <w:sz w:val="24"/>
          <w:lang w:val="fi-FI"/>
        </w:rPr>
        <w:t>http://data.europa.eu/eli/reg/2024/792/oj</w:t>
      </w:r>
      <w:r>
        <w:fldChar w:fldCharType="end"/>
      </w:r>
      <w:r w:rsidRPr="00065EF1">
        <w:rPr>
          <w:sz w:val="24"/>
          <w:lang w:val="fi-FI"/>
        </w:rPr>
        <w:t xml:space="preserve">. </w:t>
      </w:r>
    </w:p>
  </w:footnote>
  <w:footnote w:id="28">
    <w:p w14:paraId="5000F11D" w14:textId="3FFDC010" w:rsidR="003D673A" w:rsidRPr="00BE6017" w:rsidRDefault="003D673A" w:rsidP="00EF58A3">
      <w:pPr>
        <w:pStyle w:val="FootnoteText"/>
        <w:spacing w:line="240" w:lineRule="auto"/>
        <w:ind w:left="567" w:hanging="567"/>
        <w:rPr>
          <w:iCs/>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ΕΕ L, 2025/535, 21.3.2025, ELI:</w:t>
      </w:r>
      <w:r w:rsidRPr="00BE6017">
        <w:rPr>
          <w:i/>
          <w:sz w:val="24"/>
          <w:lang w:val="el-GR"/>
        </w:rPr>
        <w:t> </w:t>
      </w:r>
      <w:r>
        <w:fldChar w:fldCharType="begin"/>
      </w:r>
      <w:r>
        <w:instrText>HYPERLINK</w:instrText>
      </w:r>
      <w:r w:rsidRPr="00EF58A3">
        <w:rPr>
          <w:lang w:val="el-GR"/>
        </w:rPr>
        <w:instrText xml:space="preserve"> "</w:instrText>
      </w:r>
      <w:r>
        <w:instrText>http</w:instrText>
      </w:r>
      <w:r w:rsidRPr="00EF58A3">
        <w:rPr>
          <w:lang w:val="el-GR"/>
        </w:rPr>
        <w:instrText>://</w:instrText>
      </w:r>
      <w:r>
        <w:instrText>data</w:instrText>
      </w:r>
      <w:r w:rsidRPr="00EF58A3">
        <w:rPr>
          <w:lang w:val="el-GR"/>
        </w:rPr>
        <w:instrText>.</w:instrText>
      </w:r>
      <w:r>
        <w:instrText>europa</w:instrText>
      </w:r>
      <w:r w:rsidRPr="00EF58A3">
        <w:rPr>
          <w:lang w:val="el-GR"/>
        </w:rPr>
        <w:instrText>.</w:instrText>
      </w:r>
      <w:r>
        <w:instrText>eu</w:instrText>
      </w:r>
      <w:r w:rsidRPr="00EF58A3">
        <w:rPr>
          <w:lang w:val="el-GR"/>
        </w:rPr>
        <w:instrText>/</w:instrText>
      </w:r>
      <w:r>
        <w:instrText>eli</w:instrText>
      </w:r>
      <w:r w:rsidRPr="00EF58A3">
        <w:rPr>
          <w:lang w:val="el-GR"/>
        </w:rPr>
        <w:instrText>/</w:instrText>
      </w:r>
      <w:r>
        <w:instrText>reg</w:instrText>
      </w:r>
      <w:r w:rsidRPr="00EF58A3">
        <w:rPr>
          <w:lang w:val="el-GR"/>
        </w:rPr>
        <w:instrText>/2025/535/</w:instrText>
      </w:r>
      <w:r>
        <w:instrText>oj</w:instrText>
      </w:r>
      <w:r w:rsidRPr="00EF58A3">
        <w:rPr>
          <w:lang w:val="el-GR"/>
        </w:rPr>
        <w:instrText>" \</w:instrText>
      </w:r>
      <w:r>
        <w:instrText>t</w:instrText>
      </w:r>
      <w:r w:rsidRPr="00EF58A3">
        <w:rPr>
          <w:lang w:val="el-GR"/>
        </w:rPr>
        <w:instrText xml:space="preserve"> "_</w:instrText>
      </w:r>
      <w:r>
        <w:instrText>blank</w:instrText>
      </w:r>
      <w:r w:rsidRPr="00EF58A3">
        <w:rPr>
          <w:lang w:val="el-GR"/>
        </w:rPr>
        <w:instrText>" \</w:instrText>
      </w:r>
      <w:r>
        <w:instrText>o</w:instrText>
      </w:r>
      <w:r w:rsidRPr="00EF58A3">
        <w:rPr>
          <w:lang w:val="el-GR"/>
        </w:rPr>
        <w:instrText xml:space="preserve"> "Πρόσβαση στο έγγραφο μέσω </w:instrText>
      </w:r>
      <w:r>
        <w:instrText>URI</w:instrText>
      </w:r>
      <w:r w:rsidRPr="00EF58A3">
        <w:rPr>
          <w:lang w:val="el-GR"/>
        </w:rPr>
        <w:instrText xml:space="preserve"> τύπου </w:instrText>
      </w:r>
      <w:r>
        <w:instrText>ELI</w:instrText>
      </w:r>
      <w:r w:rsidRPr="00EF58A3">
        <w:rPr>
          <w:lang w:val="el-GR"/>
        </w:rPr>
        <w:instrText>."</w:instrText>
      </w:r>
      <w:r>
        <w:fldChar w:fldCharType="separate"/>
      </w:r>
      <w:r w:rsidRPr="00BE6017">
        <w:rPr>
          <w:rStyle w:val="Hyperlink"/>
          <w:sz w:val="24"/>
          <w:lang w:val="el-GR"/>
        </w:rPr>
        <w:t>http://data.europa.eu/eli/reg/2025/535/oj</w:t>
      </w:r>
      <w:r>
        <w:fldChar w:fldCharType="end"/>
      </w:r>
      <w:r w:rsidRPr="00BE6017">
        <w:rPr>
          <w:sz w:val="24"/>
          <w:lang w:val="el-GR"/>
        </w:rPr>
        <w:t>.</w:t>
      </w:r>
    </w:p>
  </w:footnote>
  <w:footnote w:id="29">
    <w:p w14:paraId="4F2EBFF9" w14:textId="081F5A2E"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ΕΕ C 362 της 8.9.2021, σ. 114.</w:t>
      </w:r>
    </w:p>
  </w:footnote>
  <w:footnote w:id="30">
    <w:p w14:paraId="4F879683" w14:textId="05F183B1" w:rsidR="003D673A" w:rsidRPr="00BE6017" w:rsidRDefault="003D673A" w:rsidP="00EF58A3">
      <w:pPr>
        <w:pStyle w:val="FootnoteText"/>
        <w:spacing w:line="240" w:lineRule="auto"/>
        <w:ind w:left="567" w:hanging="567"/>
        <w:rPr>
          <w:sz w:val="24"/>
          <w:lang w:val="el-GR"/>
        </w:rPr>
      </w:pPr>
      <w:r w:rsidRPr="00BE6017">
        <w:rPr>
          <w:rStyle w:val="FootnoteReference"/>
          <w:sz w:val="24"/>
          <w:lang w:val="el-GR"/>
        </w:rPr>
        <w:footnoteRef/>
      </w:r>
      <w:r w:rsidR="00BE6017" w:rsidRPr="00BE6017">
        <w:rPr>
          <w:sz w:val="24"/>
          <w:lang w:val="el-GR"/>
        </w:rPr>
        <w:t xml:space="preserve"> </w:t>
      </w:r>
      <w:r w:rsidR="00BE6017" w:rsidRPr="00BE6017">
        <w:rPr>
          <w:sz w:val="24"/>
          <w:lang w:val="el-GR"/>
        </w:rPr>
        <w:tab/>
      </w:r>
      <w:r w:rsidRPr="00BE6017">
        <w:rPr>
          <w:sz w:val="24"/>
          <w:lang w:val="el-GR"/>
        </w:rPr>
        <w:t>Κείμενα που εγκρίθηκαν, P10_TA(2025)0248.</w:t>
      </w:r>
    </w:p>
  </w:footnote>
  <w:footnote w:id="31">
    <w:p w14:paraId="1FA5FE60" w14:textId="3F4929FA" w:rsidR="003D673A" w:rsidRPr="00065EF1" w:rsidRDefault="003D673A" w:rsidP="00EF58A3">
      <w:pPr>
        <w:pStyle w:val="FootnoteText"/>
        <w:spacing w:line="240" w:lineRule="auto"/>
        <w:ind w:left="567" w:hanging="567"/>
        <w:rPr>
          <w:sz w:val="24"/>
          <w:lang w:val="fi-FI"/>
        </w:rPr>
      </w:pPr>
      <w:r w:rsidRPr="00BE6017">
        <w:rPr>
          <w:rStyle w:val="FootnoteReference"/>
          <w:sz w:val="24"/>
          <w:lang w:val="el-GR"/>
        </w:rPr>
        <w:footnoteRef/>
      </w:r>
      <w:r w:rsidR="00BE6017" w:rsidRPr="00065EF1">
        <w:rPr>
          <w:sz w:val="24"/>
          <w:lang w:val="fi-FI"/>
        </w:rPr>
        <w:t xml:space="preserve"> </w:t>
      </w:r>
      <w:r w:rsidR="00BE6017" w:rsidRPr="00065EF1">
        <w:rPr>
          <w:sz w:val="24"/>
          <w:lang w:val="fi-FI"/>
        </w:rPr>
        <w:tab/>
      </w:r>
      <w:r w:rsidRPr="00BE6017">
        <w:rPr>
          <w:sz w:val="24"/>
          <w:lang w:val="el-GR"/>
        </w:rPr>
        <w:t>ΕΕ</w:t>
      </w:r>
      <w:r w:rsidRPr="00065EF1">
        <w:rPr>
          <w:sz w:val="24"/>
          <w:lang w:val="fi-FI"/>
        </w:rPr>
        <w:t xml:space="preserve"> C, C/2025/2251, 29.4.2025</w:t>
      </w:r>
      <w:r w:rsidR="00EF58A3">
        <w:rPr>
          <w:sz w:val="24"/>
          <w:lang w:val="fi-FI"/>
        </w:rPr>
        <w:t>,</w:t>
      </w:r>
      <w:r w:rsidRPr="00065EF1">
        <w:rPr>
          <w:sz w:val="24"/>
          <w:lang w:val="fi-FI"/>
        </w:rPr>
        <w:t xml:space="preserve"> ELI: </w:t>
      </w:r>
      <w:hyperlink r:id="rId2" w:history="1">
        <w:r w:rsidRPr="00065EF1">
          <w:rPr>
            <w:rStyle w:val="Hyperlink"/>
            <w:sz w:val="24"/>
            <w:lang w:val="fi-FI"/>
          </w:rPr>
          <w:t>http://data.europa.eu/eli/C/2025/2251/oj</w:t>
        </w:r>
      </w:hyperlink>
      <w:r w:rsidRPr="00065EF1">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E0498"/>
    <w:multiLevelType w:val="hybridMultilevel"/>
    <w:tmpl w:val="74428C22"/>
    <w:lvl w:ilvl="0" w:tplc="AD82BE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9835C16"/>
    <w:multiLevelType w:val="hybridMultilevel"/>
    <w:tmpl w:val="0CFC8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9144406">
    <w:abstractNumId w:val="9"/>
  </w:num>
  <w:num w:numId="2" w16cid:durableId="1132748052">
    <w:abstractNumId w:val="9"/>
  </w:num>
  <w:num w:numId="3" w16cid:durableId="807165867">
    <w:abstractNumId w:val="7"/>
  </w:num>
  <w:num w:numId="4" w16cid:durableId="33434958">
    <w:abstractNumId w:val="7"/>
  </w:num>
  <w:num w:numId="5" w16cid:durableId="409470523">
    <w:abstractNumId w:val="6"/>
  </w:num>
  <w:num w:numId="6" w16cid:durableId="2018655479">
    <w:abstractNumId w:val="6"/>
  </w:num>
  <w:num w:numId="7" w16cid:durableId="954141546">
    <w:abstractNumId w:val="5"/>
  </w:num>
  <w:num w:numId="8" w16cid:durableId="451637884">
    <w:abstractNumId w:val="5"/>
  </w:num>
  <w:num w:numId="9" w16cid:durableId="648482281">
    <w:abstractNumId w:val="4"/>
  </w:num>
  <w:num w:numId="10" w16cid:durableId="1719166143">
    <w:abstractNumId w:val="4"/>
  </w:num>
  <w:num w:numId="11" w16cid:durableId="1732078643">
    <w:abstractNumId w:val="8"/>
  </w:num>
  <w:num w:numId="12" w16cid:durableId="726690231">
    <w:abstractNumId w:val="8"/>
  </w:num>
  <w:num w:numId="13" w16cid:durableId="251739542">
    <w:abstractNumId w:val="3"/>
  </w:num>
  <w:num w:numId="14" w16cid:durableId="1866748039">
    <w:abstractNumId w:val="3"/>
  </w:num>
  <w:num w:numId="15" w16cid:durableId="1958872568">
    <w:abstractNumId w:val="2"/>
  </w:num>
  <w:num w:numId="16" w16cid:durableId="188301062">
    <w:abstractNumId w:val="2"/>
  </w:num>
  <w:num w:numId="17" w16cid:durableId="40791159">
    <w:abstractNumId w:val="1"/>
  </w:num>
  <w:num w:numId="18" w16cid:durableId="64113611">
    <w:abstractNumId w:val="1"/>
  </w:num>
  <w:num w:numId="19" w16cid:durableId="1011881019">
    <w:abstractNumId w:val="0"/>
  </w:num>
  <w:num w:numId="20" w16cid:durableId="1247231295">
    <w:abstractNumId w:val="0"/>
  </w:num>
  <w:num w:numId="21" w16cid:durableId="1901018166">
    <w:abstractNumId w:val="9"/>
  </w:num>
  <w:num w:numId="22" w16cid:durableId="434523580">
    <w:abstractNumId w:val="7"/>
  </w:num>
  <w:num w:numId="23" w16cid:durableId="617100534">
    <w:abstractNumId w:val="6"/>
  </w:num>
  <w:num w:numId="24" w16cid:durableId="1479104816">
    <w:abstractNumId w:val="5"/>
  </w:num>
  <w:num w:numId="25" w16cid:durableId="509560540">
    <w:abstractNumId w:val="4"/>
  </w:num>
  <w:num w:numId="26" w16cid:durableId="776481439">
    <w:abstractNumId w:val="8"/>
  </w:num>
  <w:num w:numId="27" w16cid:durableId="2129540181">
    <w:abstractNumId w:val="3"/>
  </w:num>
  <w:num w:numId="28" w16cid:durableId="1416902010">
    <w:abstractNumId w:val="2"/>
  </w:num>
  <w:num w:numId="29" w16cid:durableId="1558858861">
    <w:abstractNumId w:val="1"/>
  </w:num>
  <w:num w:numId="30" w16cid:durableId="2031485178">
    <w:abstractNumId w:val="0"/>
  </w:num>
  <w:num w:numId="31" w16cid:durableId="711609796">
    <w:abstractNumId w:val="9"/>
  </w:num>
  <w:num w:numId="32" w16cid:durableId="1094739477">
    <w:abstractNumId w:val="7"/>
  </w:num>
  <w:num w:numId="33" w16cid:durableId="997148941">
    <w:abstractNumId w:val="6"/>
  </w:num>
  <w:num w:numId="34" w16cid:durableId="593365244">
    <w:abstractNumId w:val="5"/>
  </w:num>
  <w:num w:numId="35" w16cid:durableId="79454002">
    <w:abstractNumId w:val="4"/>
  </w:num>
  <w:num w:numId="36" w16cid:durableId="464155349">
    <w:abstractNumId w:val="8"/>
  </w:num>
  <w:num w:numId="37" w16cid:durableId="1938558398">
    <w:abstractNumId w:val="3"/>
  </w:num>
  <w:num w:numId="38" w16cid:durableId="1659654096">
    <w:abstractNumId w:val="2"/>
  </w:num>
  <w:num w:numId="39" w16cid:durableId="581649588">
    <w:abstractNumId w:val="1"/>
  </w:num>
  <w:num w:numId="40" w16cid:durableId="744182021">
    <w:abstractNumId w:val="0"/>
  </w:num>
  <w:num w:numId="41" w16cid:durableId="1984698487">
    <w:abstractNumId w:val="11"/>
  </w:num>
  <w:num w:numId="42" w16cid:durableId="1361277285">
    <w:abstractNumId w:val="11"/>
  </w:num>
  <w:num w:numId="43" w16cid:durableId="1302923950">
    <w:abstractNumId w:val="11"/>
  </w:num>
  <w:num w:numId="44" w16cid:durableId="1709598756">
    <w:abstractNumId w:val="12"/>
  </w:num>
  <w:num w:numId="45" w16cid:durableId="546917463">
    <w:abstractNumId w:val="13"/>
  </w:num>
  <w:num w:numId="46" w16cid:durableId="3513447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EL"/>
    <w:docVar w:name="dvnumam" w:val="0"/>
    <w:docVar w:name="dvpe" w:val="778.144"/>
    <w:docVar w:name="dvrapporteur" w:val="Εισηγητής: "/>
    <w:docVar w:name="dvtitre" w:val="Ψήφισμα του Ευρωπαϊκού Κοινοβουλίου της ... 2026 σχετικά με τη στρατηγική διεύρυνσης της ΕΕ(2025/2110(INI))"/>
  </w:docVars>
  <w:rsids>
    <w:rsidRoot w:val="009D362D"/>
    <w:rsid w:val="00002272"/>
    <w:rsid w:val="00007A9B"/>
    <w:rsid w:val="00064002"/>
    <w:rsid w:val="00065EF1"/>
    <w:rsid w:val="000677B9"/>
    <w:rsid w:val="000831BA"/>
    <w:rsid w:val="000A42CC"/>
    <w:rsid w:val="000C1F2D"/>
    <w:rsid w:val="000E7DD9"/>
    <w:rsid w:val="0010095E"/>
    <w:rsid w:val="00125B37"/>
    <w:rsid w:val="00187494"/>
    <w:rsid w:val="001F32AE"/>
    <w:rsid w:val="002317E7"/>
    <w:rsid w:val="002767FF"/>
    <w:rsid w:val="002B18FE"/>
    <w:rsid w:val="002B5493"/>
    <w:rsid w:val="00343214"/>
    <w:rsid w:val="00361C00"/>
    <w:rsid w:val="00395FA1"/>
    <w:rsid w:val="003D673A"/>
    <w:rsid w:val="003E15D4"/>
    <w:rsid w:val="00411CCE"/>
    <w:rsid w:val="0041666E"/>
    <w:rsid w:val="00421060"/>
    <w:rsid w:val="0046607D"/>
    <w:rsid w:val="00471C19"/>
    <w:rsid w:val="004867E3"/>
    <w:rsid w:val="0049219E"/>
    <w:rsid w:val="00494A28"/>
    <w:rsid w:val="004C0004"/>
    <w:rsid w:val="004C5D52"/>
    <w:rsid w:val="0050519A"/>
    <w:rsid w:val="005072A1"/>
    <w:rsid w:val="00514517"/>
    <w:rsid w:val="00545827"/>
    <w:rsid w:val="00560270"/>
    <w:rsid w:val="005C2568"/>
    <w:rsid w:val="005F1B17"/>
    <w:rsid w:val="006037C0"/>
    <w:rsid w:val="00642708"/>
    <w:rsid w:val="006631B6"/>
    <w:rsid w:val="00680577"/>
    <w:rsid w:val="006D79BB"/>
    <w:rsid w:val="006F74FA"/>
    <w:rsid w:val="00731ADD"/>
    <w:rsid w:val="00734777"/>
    <w:rsid w:val="00747932"/>
    <w:rsid w:val="00751A4A"/>
    <w:rsid w:val="00756632"/>
    <w:rsid w:val="00762C74"/>
    <w:rsid w:val="007640D5"/>
    <w:rsid w:val="00786EC0"/>
    <w:rsid w:val="007D1690"/>
    <w:rsid w:val="007E22AD"/>
    <w:rsid w:val="007E41F2"/>
    <w:rsid w:val="00817416"/>
    <w:rsid w:val="00842779"/>
    <w:rsid w:val="00861AFC"/>
    <w:rsid w:val="00865F67"/>
    <w:rsid w:val="00881A7B"/>
    <w:rsid w:val="008840E5"/>
    <w:rsid w:val="00887B3E"/>
    <w:rsid w:val="008C2AC6"/>
    <w:rsid w:val="00930C23"/>
    <w:rsid w:val="0093193B"/>
    <w:rsid w:val="009509D8"/>
    <w:rsid w:val="00950B64"/>
    <w:rsid w:val="00981893"/>
    <w:rsid w:val="009D362D"/>
    <w:rsid w:val="00A1687D"/>
    <w:rsid w:val="00A43E52"/>
    <w:rsid w:val="00A4678D"/>
    <w:rsid w:val="00A778C7"/>
    <w:rsid w:val="00AB441E"/>
    <w:rsid w:val="00AB6293"/>
    <w:rsid w:val="00AB6728"/>
    <w:rsid w:val="00AE0928"/>
    <w:rsid w:val="00AF3B82"/>
    <w:rsid w:val="00B12E95"/>
    <w:rsid w:val="00B22876"/>
    <w:rsid w:val="00B558F0"/>
    <w:rsid w:val="00BD48FE"/>
    <w:rsid w:val="00BD7BD8"/>
    <w:rsid w:val="00BE6017"/>
    <w:rsid w:val="00BE6ADC"/>
    <w:rsid w:val="00C05BFE"/>
    <w:rsid w:val="00C23CD4"/>
    <w:rsid w:val="00C61C0C"/>
    <w:rsid w:val="00C941CB"/>
    <w:rsid w:val="00CC2357"/>
    <w:rsid w:val="00CF071A"/>
    <w:rsid w:val="00D058B8"/>
    <w:rsid w:val="00D56C11"/>
    <w:rsid w:val="00D834A0"/>
    <w:rsid w:val="00D872DF"/>
    <w:rsid w:val="00D91E21"/>
    <w:rsid w:val="00DA7FCD"/>
    <w:rsid w:val="00E32E2A"/>
    <w:rsid w:val="00E365E1"/>
    <w:rsid w:val="00E820A4"/>
    <w:rsid w:val="00EB006A"/>
    <w:rsid w:val="00EB4772"/>
    <w:rsid w:val="00ED169E"/>
    <w:rsid w:val="00ED4235"/>
    <w:rsid w:val="00EF58A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3AA3E"/>
  <w15:chartTrackingRefBased/>
  <w15:docId w15:val="{CA9CC6F7-3E53-4447-BAE7-41C06F631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673A"/>
    <w:pPr>
      <w:spacing w:after="240"/>
      <w:ind w:left="567" w:hanging="567"/>
    </w:pPr>
  </w:style>
  <w:style w:type="paragraph" w:customStyle="1" w:styleId="EPComma">
    <w:name w:val="EPComma"/>
    <w:basedOn w:val="Normal"/>
    <w:rsid w:val="003D673A"/>
    <w:pPr>
      <w:spacing w:before="480" w:after="240"/>
    </w:pPr>
  </w:style>
  <w:style w:type="character" w:styleId="Hyperlink">
    <w:name w:val="Hyperlink"/>
    <w:basedOn w:val="DefaultParagraphFont"/>
    <w:rsid w:val="003D673A"/>
    <w:rPr>
      <w:color w:val="0000FF"/>
      <w:u w:val="single"/>
    </w:rPr>
  </w:style>
  <w:style w:type="character" w:styleId="Emphasis">
    <w:name w:val="Emphasis"/>
    <w:basedOn w:val="DefaultParagraphFont"/>
    <w:uiPriority w:val="20"/>
    <w:qFormat/>
    <w:rsid w:val="003D673A"/>
    <w:rPr>
      <w:rFonts w:asciiTheme="minorHAnsi" w:hAnsiTheme="minorHAnsi" w:hint="default"/>
      <w:b/>
      <w:bCs w:val="0"/>
      <w:i/>
      <w:iCs/>
    </w:rPr>
  </w:style>
  <w:style w:type="character" w:customStyle="1" w:styleId="Normal12HangingChar">
    <w:name w:val="Normal12Hanging Char"/>
    <w:link w:val="Normal12Hanging"/>
    <w:locked/>
    <w:rsid w:val="003D673A"/>
    <w:rPr>
      <w:sz w:val="24"/>
    </w:rPr>
  </w:style>
  <w:style w:type="paragraph" w:customStyle="1" w:styleId="Normal12Hanging">
    <w:name w:val="Normal12Hanging"/>
    <w:basedOn w:val="Normal"/>
    <w:link w:val="Normal12HangingChar"/>
    <w:rsid w:val="003D673A"/>
    <w:pPr>
      <w:spacing w:after="240"/>
      <w:ind w:left="567" w:hanging="567"/>
    </w:pPr>
    <w:rPr>
      <w:lang w:val="en-GB"/>
    </w:rPr>
  </w:style>
  <w:style w:type="character" w:customStyle="1" w:styleId="NormalHanging12aChar">
    <w:name w:val="NormalHanging12a Char"/>
    <w:link w:val="NormalHanging12a"/>
    <w:rsid w:val="003D673A"/>
    <w:rPr>
      <w:sz w:val="24"/>
      <w:lang w:val="el-GR"/>
    </w:rPr>
  </w:style>
  <w:style w:type="paragraph" w:styleId="Revision">
    <w:name w:val="Revision"/>
    <w:hidden/>
    <w:uiPriority w:val="99"/>
    <w:semiHidden/>
    <w:rsid w:val="006D79BB"/>
    <w:rPr>
      <w:sz w:val="24"/>
      <w:lang w:val="el-GR"/>
    </w:rPr>
  </w:style>
  <w:style w:type="character" w:styleId="FollowedHyperlink">
    <w:name w:val="FollowedHyperlink"/>
    <w:basedOn w:val="DefaultParagraphFont"/>
    <w:rsid w:val="00007A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2251/oj" TargetMode="External"/><Relationship Id="rId1" Type="http://schemas.openxmlformats.org/officeDocument/2006/relationships/hyperlink" Target="http://data.europa.eu/eli/C/2024/4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7472</Words>
  <Characters>44373</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2026-05-11T13:22:00Z</dcterms:created>
  <dcterms:modified xsi:type="dcterms:W3CDTF">2026-05-11T13:22:00Z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P10_TA(2026)0077_</vt:lpwstr>
  </property>
  <property fmtid="{D5CDD505-2E9C-101B-9397-08002B2CF9AE}" pid="4" name="&lt;Type&gt;">
    <vt:lpwstr>RR</vt:lpwstr>
  </property>
</Properties>
</file>