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B01C6" w14:paraId="58C3C9D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FA4009F" w14:textId="77777777" w:rsidR="00751A4A" w:rsidRPr="008B01C6" w:rsidRDefault="00530AE3" w:rsidP="0010095E">
            <w:pPr>
              <w:pStyle w:val="EPName"/>
            </w:pPr>
            <w:r w:rsidRPr="008B01C6">
              <w:t>Europski parlament</w:t>
            </w:r>
          </w:p>
          <w:p w14:paraId="11B8B709" w14:textId="77777777" w:rsidR="00751A4A" w:rsidRPr="008B01C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B01C6">
              <w:t>2024</w:t>
            </w:r>
            <w:r w:rsidR="00817416" w:rsidRPr="008B01C6">
              <w:t>-202</w:t>
            </w:r>
            <w:r w:rsidRPr="008B01C6">
              <w:t>9</w:t>
            </w:r>
          </w:p>
        </w:tc>
        <w:tc>
          <w:tcPr>
            <w:tcW w:w="2268" w:type="dxa"/>
            <w:shd w:val="clear" w:color="auto" w:fill="auto"/>
          </w:tcPr>
          <w:p w14:paraId="7652924F" w14:textId="77777777" w:rsidR="00751A4A" w:rsidRPr="008B01C6" w:rsidRDefault="00187494" w:rsidP="0010095E">
            <w:pPr>
              <w:pStyle w:val="EPLogo"/>
            </w:pPr>
            <w:r w:rsidRPr="008B01C6">
              <w:rPr>
                <w:noProof/>
                <w:lang w:eastAsia="ja-JP"/>
              </w:rPr>
              <w:drawing>
                <wp:inline distT="0" distB="0" distL="0" distR="0" wp14:anchorId="673281F5" wp14:editId="17B085D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22777F" w14:textId="77777777" w:rsidR="00D058B8" w:rsidRPr="008B01C6" w:rsidRDefault="00D058B8" w:rsidP="004C5D52">
      <w:pPr>
        <w:pStyle w:val="LineTop"/>
      </w:pPr>
    </w:p>
    <w:p w14:paraId="474F26CB" w14:textId="77777777" w:rsidR="00680577" w:rsidRPr="008B01C6" w:rsidRDefault="00530AE3" w:rsidP="00680577">
      <w:pPr>
        <w:pStyle w:val="EPBodyTA1"/>
      </w:pPr>
      <w:r w:rsidRPr="008B01C6">
        <w:t>USVOJENI TEKSTOVI</w:t>
      </w:r>
    </w:p>
    <w:p w14:paraId="4290038D" w14:textId="77777777" w:rsidR="00D058B8" w:rsidRPr="008B01C6" w:rsidRDefault="00D058B8" w:rsidP="00D058B8">
      <w:pPr>
        <w:pStyle w:val="LineBottom"/>
      </w:pPr>
    </w:p>
    <w:p w14:paraId="29E50ED7" w14:textId="23DD3850" w:rsidR="00530AE3" w:rsidRPr="008B01C6" w:rsidRDefault="00530AE3" w:rsidP="00530AE3">
      <w:pPr>
        <w:pStyle w:val="ATHeading1"/>
      </w:pPr>
      <w:bookmarkStart w:id="0" w:name="TANumber"/>
      <w:r w:rsidRPr="008B01C6">
        <w:t>P10_TA(2026)00</w:t>
      </w:r>
      <w:r w:rsidR="0014297C">
        <w:t>77</w:t>
      </w:r>
      <w:bookmarkEnd w:id="0"/>
    </w:p>
    <w:p w14:paraId="5377270B" w14:textId="77777777" w:rsidR="00530AE3" w:rsidRPr="008B01C6" w:rsidRDefault="00530AE3" w:rsidP="00530AE3">
      <w:pPr>
        <w:pStyle w:val="ATHeading2"/>
      </w:pPr>
      <w:bookmarkStart w:id="1" w:name="title"/>
      <w:r w:rsidRPr="008B01C6">
        <w:t>Strategija proširenja EU-a</w:t>
      </w:r>
      <w:bookmarkEnd w:id="1"/>
    </w:p>
    <w:p w14:paraId="1D21C224" w14:textId="77777777" w:rsidR="00530AE3" w:rsidRPr="008B01C6" w:rsidRDefault="00530AE3" w:rsidP="00530AE3">
      <w:pPr>
        <w:rPr>
          <w:i/>
          <w:vanish/>
        </w:rPr>
      </w:pPr>
      <w:r w:rsidRPr="008B01C6">
        <w:rPr>
          <w:i/>
        </w:rPr>
        <w:fldChar w:fldCharType="begin"/>
      </w:r>
      <w:r w:rsidRPr="008B01C6">
        <w:rPr>
          <w:i/>
        </w:rPr>
        <w:instrText xml:space="preserve"> TC"(</w:instrText>
      </w:r>
      <w:bookmarkStart w:id="2" w:name="DocNumber"/>
      <w:r w:rsidRPr="008B01C6">
        <w:rPr>
          <w:i/>
        </w:rPr>
        <w:instrText>A10-0016/2026</w:instrText>
      </w:r>
      <w:bookmarkEnd w:id="2"/>
      <w:r w:rsidRPr="008B01C6">
        <w:rPr>
          <w:i/>
        </w:rPr>
        <w:instrText xml:space="preserve"> - Izvjestitelj: </w:instrText>
      </w:r>
      <w:proofErr w:type="spellStart"/>
      <w:r w:rsidRPr="008B01C6">
        <w:rPr>
          <w:i/>
        </w:rPr>
        <w:instrText>Petras</w:instrText>
      </w:r>
      <w:proofErr w:type="spellEnd"/>
      <w:r w:rsidRPr="008B01C6">
        <w:rPr>
          <w:i/>
        </w:rPr>
        <w:instrText xml:space="preserve"> </w:instrText>
      </w:r>
      <w:proofErr w:type="spellStart"/>
      <w:r w:rsidRPr="008B01C6">
        <w:rPr>
          <w:i/>
        </w:rPr>
        <w:instrText>Auštrevičius</w:instrText>
      </w:r>
      <w:proofErr w:type="spellEnd"/>
      <w:r w:rsidRPr="008B01C6">
        <w:rPr>
          <w:i/>
        </w:rPr>
        <w:instrText xml:space="preserve">)"\l3 \n&gt; \* MERGEFORMAT </w:instrText>
      </w:r>
      <w:r w:rsidRPr="008B01C6">
        <w:rPr>
          <w:i/>
        </w:rPr>
        <w:fldChar w:fldCharType="end"/>
      </w:r>
    </w:p>
    <w:p w14:paraId="33219D32" w14:textId="77777777" w:rsidR="00530AE3" w:rsidRPr="008B01C6" w:rsidRDefault="00530AE3" w:rsidP="00530AE3">
      <w:pPr>
        <w:rPr>
          <w:vanish/>
        </w:rPr>
      </w:pPr>
      <w:bookmarkStart w:id="3" w:name="Commission"/>
      <w:r w:rsidRPr="008B01C6">
        <w:rPr>
          <w:vanish/>
        </w:rPr>
        <w:t>Odbor za vanjske poslove</w:t>
      </w:r>
      <w:bookmarkEnd w:id="3"/>
    </w:p>
    <w:p w14:paraId="2B9850E5" w14:textId="77777777" w:rsidR="00530AE3" w:rsidRPr="008B01C6" w:rsidRDefault="00530AE3" w:rsidP="00530AE3">
      <w:pPr>
        <w:rPr>
          <w:vanish/>
        </w:rPr>
      </w:pPr>
      <w:bookmarkStart w:id="4" w:name="PE"/>
      <w:r w:rsidRPr="008B01C6">
        <w:rPr>
          <w:vanish/>
        </w:rPr>
        <w:t>PE778.144</w:t>
      </w:r>
      <w:bookmarkEnd w:id="4"/>
    </w:p>
    <w:p w14:paraId="0D6430D8" w14:textId="54AE13CF" w:rsidR="00530AE3" w:rsidRPr="008B01C6" w:rsidRDefault="00530AE3" w:rsidP="00530AE3">
      <w:pPr>
        <w:pStyle w:val="ATHeading3"/>
      </w:pPr>
      <w:bookmarkStart w:id="5" w:name="Sujet"/>
      <w:r w:rsidRPr="008B01C6">
        <w:t>Rezolucija Europskog parlamenta od</w:t>
      </w:r>
      <w:r w:rsidR="00CC0229">
        <w:t xml:space="preserve"> 11</w:t>
      </w:r>
      <w:r w:rsidRPr="008B01C6">
        <w:t xml:space="preserve">. </w:t>
      </w:r>
      <w:r w:rsidR="00CC0229">
        <w:t xml:space="preserve">ožujka </w:t>
      </w:r>
      <w:r w:rsidRPr="008B01C6">
        <w:t>2026. o strategiji proširenja EU-a</w:t>
      </w:r>
      <w:bookmarkEnd w:id="5"/>
      <w:r w:rsidRPr="008B01C6">
        <w:t xml:space="preserve"> </w:t>
      </w:r>
      <w:bookmarkStart w:id="6" w:name="References"/>
      <w:r w:rsidRPr="008B01C6">
        <w:t>(2025/2110(INI))</w:t>
      </w:r>
      <w:bookmarkEnd w:id="6"/>
    </w:p>
    <w:p w14:paraId="5CF5B085" w14:textId="77777777" w:rsidR="001178E5" w:rsidRPr="008B01C6" w:rsidRDefault="001178E5" w:rsidP="001178E5">
      <w:pPr>
        <w:pStyle w:val="EPComma"/>
      </w:pPr>
      <w:r w:rsidRPr="008B01C6">
        <w:rPr>
          <w:i/>
        </w:rPr>
        <w:t>Europski parlament</w:t>
      </w:r>
      <w:r w:rsidRPr="008B01C6">
        <w:t>,</w:t>
      </w:r>
    </w:p>
    <w:p w14:paraId="5881CC03" w14:textId="77777777" w:rsidR="001178E5" w:rsidRPr="008B01C6" w:rsidRDefault="001178E5" w:rsidP="001178E5">
      <w:pPr>
        <w:pStyle w:val="NormalHanging12a"/>
      </w:pPr>
      <w:r w:rsidRPr="008B01C6">
        <w:t>–</w:t>
      </w:r>
      <w:r w:rsidRPr="008B01C6">
        <w:tab/>
        <w:t>uzimajući u obzir Ugovor o Europskoj uniji (UEU), a posebno njegov članak 49.,</w:t>
      </w:r>
    </w:p>
    <w:p w14:paraId="067C65F0" w14:textId="77777777" w:rsidR="001178E5" w:rsidRPr="008B01C6" w:rsidRDefault="001178E5" w:rsidP="001178E5">
      <w:pPr>
        <w:pStyle w:val="NormalHanging12a"/>
      </w:pPr>
      <w:r w:rsidRPr="008B01C6">
        <w:t>–</w:t>
      </w:r>
      <w:r w:rsidRPr="008B01C6">
        <w:tab/>
        <w:t>uzimajući u obzir Ugovor o funkcioniranju Europske unije (UFEU),</w:t>
      </w:r>
    </w:p>
    <w:p w14:paraId="6D5F494E" w14:textId="77777777" w:rsidR="001178E5" w:rsidRPr="008B01C6" w:rsidRDefault="001178E5" w:rsidP="001178E5">
      <w:pPr>
        <w:pStyle w:val="NormalHanging12a"/>
      </w:pPr>
      <w:r w:rsidRPr="008B01C6">
        <w:t>–</w:t>
      </w:r>
      <w:r w:rsidRPr="008B01C6">
        <w:tab/>
        <w:t xml:space="preserve">uzimajući u obzir zaključke Europskog vijeća od 23. i 24. lipnja 2022., 29. i 30. lipnja 2023., 26. i 27. listopada 2023., 14. i 15. prosinca 2023., 27. lipnja 2024. i 17. prosinca 2024. te zaključke predsjedništva sa sastanka Europskog vijeća u Kopenhagenu održanog 21. i 22. lipnja 1993., poznate i kao </w:t>
      </w:r>
      <w:proofErr w:type="spellStart"/>
      <w:r w:rsidRPr="008B01C6">
        <w:t>Kopenhaški</w:t>
      </w:r>
      <w:proofErr w:type="spellEnd"/>
      <w:r w:rsidRPr="008B01C6">
        <w:t xml:space="preserve"> kriteriji,</w:t>
      </w:r>
    </w:p>
    <w:p w14:paraId="7B8C1A1C" w14:textId="77777777" w:rsidR="001178E5" w:rsidRPr="008B01C6" w:rsidRDefault="001178E5" w:rsidP="001178E5">
      <w:pPr>
        <w:pStyle w:val="NormalHanging12a"/>
      </w:pPr>
      <w:r w:rsidRPr="008B01C6">
        <w:t>–</w:t>
      </w:r>
      <w:r w:rsidRPr="008B01C6">
        <w:tab/>
        <w:t>uzimajući u obzir svoju Rezoluciju od 13. prosinca 2023. o 30 godina kriterija iz Kopenhagena – poticanje politike proširenja EU-a</w:t>
      </w:r>
      <w:r w:rsidRPr="008B01C6">
        <w:rPr>
          <w:rStyle w:val="FootnoteReference"/>
        </w:rPr>
        <w:footnoteReference w:id="1"/>
      </w:r>
      <w:r w:rsidRPr="008B01C6">
        <w:t>,</w:t>
      </w:r>
    </w:p>
    <w:p w14:paraId="48D2B036" w14:textId="77777777" w:rsidR="001178E5" w:rsidRPr="008B01C6" w:rsidRDefault="001178E5" w:rsidP="001178E5">
      <w:pPr>
        <w:pStyle w:val="NormalHanging12a"/>
      </w:pPr>
      <w:r w:rsidRPr="008B01C6">
        <w:t>–</w:t>
      </w:r>
      <w:r w:rsidRPr="008B01C6">
        <w:tab/>
        <w:t>uzimajući u obzir sporazume o pridruživanju EU-a s Albanijom</w:t>
      </w:r>
      <w:r w:rsidRPr="008B01C6">
        <w:rPr>
          <w:rStyle w:val="FootnoteReference"/>
        </w:rPr>
        <w:footnoteReference w:id="2"/>
      </w:r>
      <w:r w:rsidRPr="008B01C6">
        <w:t>, Bosnom i Hercegovinom</w:t>
      </w:r>
      <w:r w:rsidRPr="008B01C6">
        <w:rPr>
          <w:rStyle w:val="FootnoteReference"/>
        </w:rPr>
        <w:footnoteReference w:id="3"/>
      </w:r>
      <w:r w:rsidRPr="008B01C6">
        <w:t>, Gruzijom</w:t>
      </w:r>
      <w:r w:rsidRPr="008B01C6">
        <w:rPr>
          <w:rStyle w:val="FootnoteReference"/>
        </w:rPr>
        <w:footnoteReference w:id="4"/>
      </w:r>
      <w:r w:rsidRPr="008B01C6">
        <w:t>, Kosovom</w:t>
      </w:r>
      <w:r w:rsidRPr="008B01C6">
        <w:rPr>
          <w:rStyle w:val="FootnoteReference"/>
        </w:rPr>
        <w:footnoteReference w:id="5"/>
      </w:r>
      <w:r w:rsidRPr="008B01C6">
        <w:t xml:space="preserve">, Republikom </w:t>
      </w:r>
      <w:proofErr w:type="spellStart"/>
      <w:r w:rsidRPr="008B01C6">
        <w:t>Moldovom</w:t>
      </w:r>
      <w:proofErr w:type="spellEnd"/>
      <w:r w:rsidRPr="008B01C6">
        <w:rPr>
          <w:rStyle w:val="FootnoteReference"/>
        </w:rPr>
        <w:footnoteReference w:id="6"/>
      </w:r>
      <w:r w:rsidRPr="008B01C6">
        <w:t xml:space="preserve"> (dalje u tekstu </w:t>
      </w:r>
      <w:r w:rsidRPr="008B01C6">
        <w:lastRenderedPageBreak/>
        <w:t>„</w:t>
      </w:r>
      <w:proofErr w:type="spellStart"/>
      <w:r w:rsidRPr="008B01C6">
        <w:t>Moldova</w:t>
      </w:r>
      <w:proofErr w:type="spellEnd"/>
      <w:r w:rsidRPr="008B01C6">
        <w:t>”), Crnom Gorom</w:t>
      </w:r>
      <w:r w:rsidRPr="008B01C6">
        <w:rPr>
          <w:rStyle w:val="FootnoteReference"/>
        </w:rPr>
        <w:footnoteReference w:id="7"/>
      </w:r>
      <w:r w:rsidRPr="008B01C6">
        <w:t>, Sjevernom Makedonijom</w:t>
      </w:r>
      <w:r w:rsidRPr="008B01C6">
        <w:rPr>
          <w:rStyle w:val="FootnoteReference"/>
        </w:rPr>
        <w:footnoteReference w:id="8"/>
      </w:r>
      <w:r w:rsidRPr="008B01C6">
        <w:t>, Srbijom</w:t>
      </w:r>
      <w:r w:rsidRPr="008B01C6">
        <w:rPr>
          <w:rStyle w:val="FootnoteReference"/>
        </w:rPr>
        <w:footnoteReference w:id="9"/>
      </w:r>
      <w:r w:rsidRPr="008B01C6">
        <w:t>, Turskom</w:t>
      </w:r>
      <w:r w:rsidRPr="008B01C6">
        <w:rPr>
          <w:rStyle w:val="FootnoteReference"/>
        </w:rPr>
        <w:footnoteReference w:id="10"/>
      </w:r>
      <w:r w:rsidRPr="008B01C6">
        <w:t xml:space="preserve"> i Ukrajinom</w:t>
      </w:r>
      <w:r w:rsidRPr="008B01C6">
        <w:rPr>
          <w:rStyle w:val="FootnoteReference"/>
        </w:rPr>
        <w:footnoteReference w:id="11"/>
      </w:r>
      <w:r w:rsidRPr="008B01C6">
        <w:t>,</w:t>
      </w:r>
    </w:p>
    <w:p w14:paraId="55BEF430" w14:textId="77777777" w:rsidR="001178E5" w:rsidRPr="008B01C6" w:rsidRDefault="001178E5" w:rsidP="001178E5">
      <w:pPr>
        <w:pStyle w:val="NormalHanging12a"/>
      </w:pPr>
      <w:r w:rsidRPr="008B01C6">
        <w:t>–</w:t>
      </w:r>
      <w:r w:rsidRPr="008B01C6">
        <w:tab/>
        <w:t>uzimajući u obzir komunikaciju Komisije od 4. studenoga 2025. naslovljenu „Komunikacija o politici proširenja EU-a za 2025” (COM(2025)0690) i prethodne godišnje komunikacije o toj temi,</w:t>
      </w:r>
    </w:p>
    <w:p w14:paraId="19AAB6D9" w14:textId="77777777" w:rsidR="001178E5" w:rsidRPr="008B01C6" w:rsidRDefault="001178E5" w:rsidP="001178E5">
      <w:pPr>
        <w:pStyle w:val="NormalHanging12a"/>
      </w:pPr>
      <w:r w:rsidRPr="008B01C6">
        <w:t>–</w:t>
      </w:r>
      <w:r w:rsidRPr="008B01C6">
        <w:tab/>
        <w:t>uzimajući u obzir svoje rezolucije o izvješćima Komisije o Kosovu</w:t>
      </w:r>
      <w:r w:rsidRPr="008B01C6">
        <w:rPr>
          <w:rStyle w:val="FootnoteReference"/>
          <w:bCs/>
          <w:iCs/>
        </w:rPr>
        <w:footnoteReference w:id="12"/>
      </w:r>
      <w:r w:rsidRPr="008B01C6">
        <w:t>, Srbiji</w:t>
      </w:r>
      <w:r w:rsidRPr="008B01C6">
        <w:rPr>
          <w:rStyle w:val="FootnoteReference"/>
          <w:bCs/>
          <w:iCs/>
        </w:rPr>
        <w:footnoteReference w:id="13"/>
      </w:r>
      <w:r w:rsidRPr="008B01C6">
        <w:t>, Albaniji</w:t>
      </w:r>
      <w:r w:rsidRPr="008B01C6">
        <w:rPr>
          <w:rStyle w:val="FootnoteReference"/>
          <w:bCs/>
          <w:iCs/>
        </w:rPr>
        <w:footnoteReference w:id="14"/>
      </w:r>
      <w:r w:rsidRPr="008B01C6">
        <w:t>, Bosni i Hercegovini</w:t>
      </w:r>
      <w:r w:rsidRPr="008B01C6">
        <w:rPr>
          <w:rStyle w:val="FootnoteReference"/>
        </w:rPr>
        <w:footnoteReference w:id="15"/>
      </w:r>
      <w:r w:rsidRPr="008B01C6">
        <w:t>, Sjevernoj Makedoniji</w:t>
      </w:r>
      <w:r w:rsidRPr="008B01C6">
        <w:rPr>
          <w:rStyle w:val="FootnoteReference"/>
          <w:bCs/>
          <w:iCs/>
        </w:rPr>
        <w:footnoteReference w:id="16"/>
      </w:r>
      <w:r w:rsidRPr="008B01C6">
        <w:t>, Crnoj Gori</w:t>
      </w:r>
      <w:r w:rsidRPr="008B01C6">
        <w:rPr>
          <w:rStyle w:val="FootnoteReference"/>
          <w:bCs/>
          <w:iCs/>
        </w:rPr>
        <w:footnoteReference w:id="17"/>
      </w:r>
      <w:r w:rsidRPr="008B01C6">
        <w:t>, Ukrajini</w:t>
      </w:r>
      <w:r w:rsidRPr="008B01C6">
        <w:rPr>
          <w:rStyle w:val="FootnoteReference"/>
          <w:bCs/>
          <w:iCs/>
        </w:rPr>
        <w:footnoteReference w:id="18"/>
      </w:r>
      <w:r w:rsidRPr="008B01C6">
        <w:t xml:space="preserve">, </w:t>
      </w:r>
      <w:proofErr w:type="spellStart"/>
      <w:r w:rsidRPr="008B01C6">
        <w:t>Moldovi</w:t>
      </w:r>
      <w:proofErr w:type="spellEnd"/>
      <w:r w:rsidRPr="008B01C6">
        <w:rPr>
          <w:rStyle w:val="FootnoteReference"/>
          <w:bCs/>
          <w:iCs/>
        </w:rPr>
        <w:footnoteReference w:id="19"/>
      </w:r>
      <w:r w:rsidRPr="008B01C6">
        <w:t>, Gruziji</w:t>
      </w:r>
      <w:r w:rsidRPr="008B01C6">
        <w:rPr>
          <w:rStyle w:val="FootnoteReference"/>
          <w:bCs/>
          <w:iCs/>
        </w:rPr>
        <w:footnoteReference w:id="20"/>
      </w:r>
      <w:r w:rsidRPr="008B01C6">
        <w:t xml:space="preserve"> i Turskoj</w:t>
      </w:r>
      <w:r w:rsidRPr="008B01C6">
        <w:rPr>
          <w:rStyle w:val="FootnoteReference"/>
          <w:bCs/>
          <w:iCs/>
        </w:rPr>
        <w:footnoteReference w:id="21"/>
      </w:r>
      <w:r w:rsidRPr="008B01C6">
        <w:t xml:space="preserve"> za 2023. i 2024.,</w:t>
      </w:r>
    </w:p>
    <w:p w14:paraId="45355B67" w14:textId="77777777" w:rsidR="001178E5" w:rsidRPr="008B01C6" w:rsidRDefault="001178E5" w:rsidP="001178E5">
      <w:pPr>
        <w:pStyle w:val="NormalHanging12a"/>
        <w:rPr>
          <w:bCs/>
          <w:iCs/>
        </w:rPr>
      </w:pPr>
      <w:r w:rsidRPr="008B01C6">
        <w:t>–</w:t>
      </w:r>
      <w:r w:rsidRPr="008B01C6">
        <w:tab/>
        <w:t>uzimajući u obzir svoju Rezoluciju od 13. ožujka 2024. o tješnjim vezama između EU-a i Armenije i potrebi za mirovnim sporazumom između Azerbajdžana i Armenije</w:t>
      </w:r>
      <w:r w:rsidRPr="008B01C6">
        <w:rPr>
          <w:rStyle w:val="FootnoteReference"/>
          <w:bCs/>
          <w:iCs/>
        </w:rPr>
        <w:footnoteReference w:id="22"/>
      </w:r>
      <w:r w:rsidRPr="008B01C6">
        <w:t>,</w:t>
      </w:r>
    </w:p>
    <w:p w14:paraId="2B005D94" w14:textId="77777777" w:rsidR="001178E5" w:rsidRPr="008B01C6" w:rsidRDefault="001178E5" w:rsidP="001178E5">
      <w:pPr>
        <w:pStyle w:val="NormalHanging12a"/>
      </w:pPr>
      <w:r w:rsidRPr="008B01C6">
        <w:t>–</w:t>
      </w:r>
      <w:r w:rsidRPr="008B01C6">
        <w:tab/>
        <w:t>uzimajući u obzir svoju Rezoluciju od 29. veljače 2024. o produbljenju integracije EU-a s obzirom na buduće proširenje</w:t>
      </w:r>
      <w:r w:rsidRPr="008B01C6">
        <w:rPr>
          <w:rStyle w:val="FootnoteReference"/>
        </w:rPr>
        <w:footnoteReference w:id="23"/>
      </w:r>
      <w:r w:rsidRPr="008B01C6">
        <w:t>,</w:t>
      </w:r>
    </w:p>
    <w:p w14:paraId="4812C477" w14:textId="77777777" w:rsidR="001178E5" w:rsidRPr="008B01C6" w:rsidRDefault="001178E5" w:rsidP="001178E5">
      <w:pPr>
        <w:pStyle w:val="NormalHanging12a"/>
      </w:pPr>
      <w:r w:rsidRPr="008B01C6">
        <w:t>–</w:t>
      </w:r>
      <w:r w:rsidRPr="008B01C6">
        <w:tab/>
        <w:t>uzimajući u obzir Komunikaciju Komisije od 20. ožujka 2024. o reformama i preispitivanjima politika prije proširenja (COM(2024)0146),</w:t>
      </w:r>
    </w:p>
    <w:p w14:paraId="1307F0EF" w14:textId="77777777" w:rsidR="001178E5" w:rsidRPr="008B01C6" w:rsidRDefault="001178E5" w:rsidP="001178E5">
      <w:pPr>
        <w:pStyle w:val="NormalHanging12a"/>
      </w:pPr>
      <w:r w:rsidRPr="008B01C6">
        <w:t>–</w:t>
      </w:r>
      <w:r w:rsidRPr="008B01C6">
        <w:tab/>
        <w:t>uzimajući u obzir Preporuku Europskog parlamenta od 23. studenoga 2022. Vijeću, Komisiji i potpredsjedniku Komisije / Visokom predstavniku Unije za vanjske poslove i sigurnosnu politiku o novoj strategiji EU-a za proširenje</w:t>
      </w:r>
      <w:r w:rsidRPr="008B01C6">
        <w:rPr>
          <w:vertAlign w:val="superscript"/>
        </w:rPr>
        <w:footnoteReference w:id="24"/>
      </w:r>
      <w:r w:rsidRPr="008B01C6">
        <w:t>,</w:t>
      </w:r>
    </w:p>
    <w:p w14:paraId="32B2C349" w14:textId="114A26BC" w:rsidR="001178E5" w:rsidRPr="008B01C6" w:rsidRDefault="001178E5" w:rsidP="001178E5">
      <w:pPr>
        <w:pStyle w:val="NormalHanging12a"/>
        <w:rPr>
          <w:iCs/>
        </w:rPr>
      </w:pPr>
      <w:r w:rsidRPr="008B01C6">
        <w:t>–</w:t>
      </w:r>
      <w:r w:rsidRPr="008B01C6">
        <w:tab/>
        <w:t>uzimajući u obzir Uredbu (EU) 2021/1529 Europskog parlamenta i Vijeća od 15. rujna 2021. o uspostavi Instrumenta pretpristupne pomoći (IPA III)</w:t>
      </w:r>
      <w:r w:rsidRPr="008B01C6">
        <w:rPr>
          <w:rStyle w:val="FootnoteReference"/>
          <w:iCs/>
        </w:rPr>
        <w:footnoteReference w:id="25"/>
      </w:r>
      <w:r w:rsidRPr="008B01C6">
        <w:t>,</w:t>
      </w:r>
    </w:p>
    <w:p w14:paraId="0EFAA5C8" w14:textId="77777777" w:rsidR="001178E5" w:rsidRPr="008B01C6" w:rsidRDefault="001178E5" w:rsidP="001178E5">
      <w:pPr>
        <w:pStyle w:val="NormalHanging12a"/>
        <w:rPr>
          <w:iCs/>
        </w:rPr>
      </w:pPr>
      <w:r w:rsidRPr="008B01C6">
        <w:t>–</w:t>
      </w:r>
      <w:r w:rsidRPr="008B01C6">
        <w:tab/>
        <w:t xml:space="preserve">uzimajući u obzir Uredbu (EU) 2024/1449 Europskog parlamenta i Vijeća od </w:t>
      </w:r>
      <w:r w:rsidRPr="008B01C6">
        <w:lastRenderedPageBreak/>
        <w:t>14. svibnja 2024. o uspostavi Instrumenta za reforme i rast za zapadni Balkan</w:t>
      </w:r>
      <w:r w:rsidRPr="008B01C6">
        <w:rPr>
          <w:rStyle w:val="FootnoteReference"/>
          <w:iCs/>
        </w:rPr>
        <w:footnoteReference w:id="26"/>
      </w:r>
      <w:r w:rsidRPr="008B01C6">
        <w:t>,</w:t>
      </w:r>
    </w:p>
    <w:p w14:paraId="40B6B077" w14:textId="77777777" w:rsidR="001178E5" w:rsidRPr="008B01C6" w:rsidRDefault="001178E5" w:rsidP="001178E5">
      <w:pPr>
        <w:pStyle w:val="NormalHanging12a"/>
        <w:rPr>
          <w:iCs/>
        </w:rPr>
      </w:pPr>
      <w:r w:rsidRPr="008B01C6">
        <w:t>–</w:t>
      </w:r>
      <w:r w:rsidRPr="008B01C6">
        <w:tab/>
        <w:t>uzimajući u obzir Uredbu (EU) 2024/792 Europskog parlamenta i Vijeća od 29. veljače 2024. o uspostavi Instrumenta za Ukrajinu</w:t>
      </w:r>
      <w:r w:rsidRPr="008B01C6">
        <w:rPr>
          <w:rStyle w:val="FootnoteReference"/>
        </w:rPr>
        <w:footnoteReference w:id="27"/>
      </w:r>
      <w:r w:rsidRPr="008B01C6">
        <w:t>,</w:t>
      </w:r>
    </w:p>
    <w:p w14:paraId="3B9C91A8" w14:textId="77777777" w:rsidR="001178E5" w:rsidRPr="008B01C6" w:rsidRDefault="001178E5" w:rsidP="001178E5">
      <w:pPr>
        <w:pStyle w:val="NormalHanging12a"/>
      </w:pPr>
      <w:r w:rsidRPr="008B01C6">
        <w:t>–</w:t>
      </w:r>
      <w:r w:rsidRPr="008B01C6">
        <w:tab/>
        <w:t xml:space="preserve">uzimajući u obzir Uredbu (EU) 2025/535 Europskog parlamenta i Vijeća od 18. ožujka 2025. o uspostavi Instrumenta za reforme i rast za Republiku </w:t>
      </w:r>
      <w:proofErr w:type="spellStart"/>
      <w:r w:rsidRPr="008B01C6">
        <w:t>Moldovu</w:t>
      </w:r>
      <w:proofErr w:type="spellEnd"/>
      <w:r w:rsidRPr="008B01C6">
        <w:rPr>
          <w:rStyle w:val="FootnoteReference"/>
        </w:rPr>
        <w:footnoteReference w:id="28"/>
      </w:r>
      <w:r w:rsidRPr="008B01C6">
        <w:t>,</w:t>
      </w:r>
    </w:p>
    <w:p w14:paraId="008CBE5D" w14:textId="77777777" w:rsidR="001178E5" w:rsidRPr="008B01C6" w:rsidRDefault="001178E5" w:rsidP="001178E5">
      <w:pPr>
        <w:pStyle w:val="NormalHanging12a"/>
        <w:rPr>
          <w:iCs/>
        </w:rPr>
      </w:pPr>
      <w:r w:rsidRPr="008B01C6">
        <w:t>–</w:t>
      </w:r>
      <w:r w:rsidRPr="008B01C6">
        <w:tab/>
        <w:t>uzimajući u obzir zaključke predsjedništva sa sastanka Europskog vijeća održanog 19. i 20. lipnja 2003. u Solunu,</w:t>
      </w:r>
    </w:p>
    <w:p w14:paraId="326FB194" w14:textId="77777777" w:rsidR="001178E5" w:rsidRPr="008B01C6" w:rsidRDefault="001178E5" w:rsidP="001178E5">
      <w:pPr>
        <w:pStyle w:val="NormalHanging12a"/>
        <w:rPr>
          <w:iCs/>
        </w:rPr>
      </w:pPr>
      <w:r w:rsidRPr="008B01C6">
        <w:t>–</w:t>
      </w:r>
      <w:r w:rsidRPr="008B01C6">
        <w:tab/>
        <w:t>uzimajući u obzir izjave sa sastanaka na vrhu EU-a i zapadnog Balkana od 17. svibnja 2018. u Sofiji, 6. svibnja 2020. u Zagrebu, 6. listopada 2021. u Brdu pri Kranju, 6. prosinca 2022. u Tirani, 13. prosinca 2023. u Bruxellesu i 18. prosinca 2024. u Bruxellesu,</w:t>
      </w:r>
    </w:p>
    <w:p w14:paraId="01FC52A9" w14:textId="77777777" w:rsidR="001178E5" w:rsidRPr="008B01C6" w:rsidRDefault="001178E5" w:rsidP="001178E5">
      <w:pPr>
        <w:pStyle w:val="NormalHanging12a"/>
        <w:rPr>
          <w:iCs/>
        </w:rPr>
      </w:pPr>
      <w:r w:rsidRPr="008B01C6">
        <w:t>–</w:t>
      </w:r>
      <w:r w:rsidRPr="008B01C6">
        <w:tab/>
        <w:t>uzimajući u obzir Berlinski proces pokrenut 28. kolovoza 2014.,</w:t>
      </w:r>
    </w:p>
    <w:p w14:paraId="47FBDED8" w14:textId="77777777" w:rsidR="001178E5" w:rsidRPr="008B01C6" w:rsidRDefault="001178E5" w:rsidP="001178E5">
      <w:pPr>
        <w:pStyle w:val="NormalHanging12a"/>
        <w:rPr>
          <w:iCs/>
        </w:rPr>
      </w:pPr>
      <w:r w:rsidRPr="008B01C6">
        <w:t>–</w:t>
      </w:r>
      <w:r w:rsidRPr="008B01C6">
        <w:tab/>
        <w:t>uzimajući u obzir zajedničke izjave sa sastanaka na vrhu Istočnog partnerstva održanih 7. svibnja 2009. u Pragu, 29. i 30. rujna 2011. u Varšavi, 28. i 29. studenoga 2013. u Vilniusu, 21. i 22. svibnja 2015. u Rigi, 24. studenoga 2017. u Bruxellesu i 15. prosinca 2021. u Bruxellesu,</w:t>
      </w:r>
    </w:p>
    <w:p w14:paraId="24A0E492" w14:textId="77777777" w:rsidR="001178E5" w:rsidRPr="008B01C6" w:rsidRDefault="001178E5" w:rsidP="001178E5">
      <w:pPr>
        <w:pStyle w:val="NormalHanging12a"/>
      </w:pPr>
      <w:r w:rsidRPr="008B01C6">
        <w:t>–</w:t>
      </w:r>
      <w:r w:rsidRPr="008B01C6">
        <w:tab/>
        <w:t>uzimajući u obzir svoju Preporuku od 19. lipnja 2020. Vijeću, Komisiji i potpredsjedniku Komisije / Visokom predstavniku Unije za vanjske poslove i sigurnosnu politiku o Istočnom partnerstvu, uoči sastanka na vrhu u lipnju 2020.</w:t>
      </w:r>
      <w:r w:rsidRPr="008B01C6">
        <w:rPr>
          <w:rStyle w:val="FootnoteReference"/>
        </w:rPr>
        <w:footnoteReference w:id="29"/>
      </w:r>
      <w:r w:rsidRPr="008B01C6">
        <w:t>,</w:t>
      </w:r>
    </w:p>
    <w:p w14:paraId="4B6D6A8A" w14:textId="77777777" w:rsidR="001178E5" w:rsidRPr="008B01C6" w:rsidRDefault="001178E5" w:rsidP="001178E5">
      <w:pPr>
        <w:pStyle w:val="NormalHanging12a"/>
        <w:rPr>
          <w:bCs/>
        </w:rPr>
      </w:pPr>
      <w:r w:rsidRPr="008B01C6">
        <w:t>–</w:t>
      </w:r>
      <w:r w:rsidRPr="008B01C6">
        <w:tab/>
        <w:t>uzimajući u obzir svoju Rezoluciju od 22. listopada 2025. o polarizaciji i pojačanoj represiji u Srbiji godinu dana nakon tragedije u Novom Sadu</w:t>
      </w:r>
      <w:r w:rsidRPr="008B01C6">
        <w:rPr>
          <w:rStyle w:val="FootnoteReference"/>
          <w:bCs/>
        </w:rPr>
        <w:footnoteReference w:id="30"/>
      </w:r>
      <w:r w:rsidRPr="008B01C6">
        <w:t>,</w:t>
      </w:r>
    </w:p>
    <w:p w14:paraId="3F9CFE22" w14:textId="77777777" w:rsidR="001178E5" w:rsidRPr="008B01C6" w:rsidRDefault="001178E5" w:rsidP="001178E5">
      <w:pPr>
        <w:pStyle w:val="NormalHanging12a"/>
        <w:rPr>
          <w:bCs/>
        </w:rPr>
      </w:pPr>
      <w:r w:rsidRPr="008B01C6">
        <w:t>–</w:t>
      </w:r>
      <w:r w:rsidRPr="008B01C6">
        <w:tab/>
        <w:t>uzimajući u obzir svoju Rezoluciju od 13. veljače 2025. o daljnjem pogoršanju političke situacije u Gruziji</w:t>
      </w:r>
      <w:r w:rsidRPr="008B01C6">
        <w:rPr>
          <w:rStyle w:val="FootnoteReference"/>
        </w:rPr>
        <w:footnoteReference w:id="31"/>
      </w:r>
      <w:r w:rsidRPr="008B01C6">
        <w:t>,</w:t>
      </w:r>
    </w:p>
    <w:p w14:paraId="04CE3B91" w14:textId="77777777" w:rsidR="001178E5" w:rsidRPr="008B01C6" w:rsidRDefault="001178E5" w:rsidP="001178E5">
      <w:pPr>
        <w:pStyle w:val="NormalHanging12a"/>
        <w:rPr>
          <w:iCs/>
        </w:rPr>
      </w:pPr>
      <w:r w:rsidRPr="008B01C6">
        <w:t>–</w:t>
      </w:r>
      <w:r w:rsidRPr="008B01C6">
        <w:tab/>
        <w:t>uzimajući u obzir zajedničku komunikaciju Komisije i visokog predstavnika Unije za vanjske poslove i sigurnosnu politiku od 29. studenoga 2023. naslovljenu „Trenutačno stanje političkih, gospodarskih i trgovinskih odnosa između EU-a i Turske” (JOIN(2023)0050),</w:t>
      </w:r>
    </w:p>
    <w:p w14:paraId="76CFDBA6" w14:textId="77777777" w:rsidR="001178E5" w:rsidRPr="008B01C6" w:rsidRDefault="001178E5" w:rsidP="001178E5">
      <w:pPr>
        <w:pStyle w:val="NormalHanging12a"/>
        <w:rPr>
          <w:iCs/>
        </w:rPr>
      </w:pPr>
      <w:r w:rsidRPr="008B01C6">
        <w:t>–</w:t>
      </w:r>
      <w:r w:rsidRPr="008B01C6">
        <w:tab/>
        <w:t>uzimajući u obzir mišljenje Europskog odbora regija od 2. travnja 2025. o paketu Komisije za proširenje za 2024. – zapadni Balkan i Turska,</w:t>
      </w:r>
    </w:p>
    <w:p w14:paraId="1F2A756E" w14:textId="0B941F32" w:rsidR="001178E5" w:rsidRPr="008B01C6" w:rsidRDefault="001178E5" w:rsidP="001178E5">
      <w:pPr>
        <w:pStyle w:val="NormalHanging12a"/>
        <w:rPr>
          <w:bCs/>
          <w:iCs/>
        </w:rPr>
      </w:pPr>
      <w:r w:rsidRPr="008B01C6">
        <w:t>–</w:t>
      </w:r>
      <w:r w:rsidRPr="008B01C6">
        <w:tab/>
        <w:t>uzimajući u obzir tematsko izvješće Europskog revizorskog suda 01/2022 od 10. siječnja 2022. naslovljeno „Potpora EU-a vladavini prava na zapadnom Balkanu: unatoč nastojanjima temeljni problemi ostaju neriješeni”,</w:t>
      </w:r>
    </w:p>
    <w:p w14:paraId="3AE7B5D5" w14:textId="77777777" w:rsidR="001178E5" w:rsidRPr="008B01C6" w:rsidRDefault="001178E5" w:rsidP="001178E5">
      <w:pPr>
        <w:pStyle w:val="NormalHanging12a"/>
      </w:pPr>
      <w:r w:rsidRPr="008B01C6">
        <w:lastRenderedPageBreak/>
        <w:t>–</w:t>
      </w:r>
      <w:r w:rsidRPr="008B01C6">
        <w:tab/>
        <w:t>uzimajući u obzir izvješća Komisije o vladavini prava za 2024. i 2025.,</w:t>
      </w:r>
    </w:p>
    <w:p w14:paraId="6637810C" w14:textId="77777777" w:rsidR="001178E5" w:rsidRPr="008B01C6" w:rsidRDefault="001178E5" w:rsidP="001178E5">
      <w:pPr>
        <w:pStyle w:val="NormalHanging12a"/>
      </w:pPr>
      <w:r w:rsidRPr="008B01C6">
        <w:t>–</w:t>
      </w:r>
      <w:r w:rsidRPr="008B01C6">
        <w:tab/>
      </w:r>
      <w:bookmarkStart w:id="7" w:name="_Hlk209882928"/>
      <w:r w:rsidRPr="008B01C6">
        <w:t>uzimajući u obzir članak 55. Poslovnika,</w:t>
      </w:r>
    </w:p>
    <w:p w14:paraId="7A5E8CF0" w14:textId="77777777" w:rsidR="001178E5" w:rsidRPr="008B01C6" w:rsidRDefault="001178E5" w:rsidP="001178E5">
      <w:pPr>
        <w:pStyle w:val="NormalHanging12a"/>
      </w:pPr>
      <w:r w:rsidRPr="008B01C6">
        <w:t>–</w:t>
      </w:r>
      <w:r w:rsidRPr="008B01C6">
        <w:tab/>
        <w:t>uzimajući u obzir izvješće Odbora za vanjske poslove (A10</w:t>
      </w:r>
      <w:r w:rsidRPr="008B01C6">
        <w:noBreakHyphen/>
        <w:t>0016/2026),</w:t>
      </w:r>
      <w:bookmarkEnd w:id="7"/>
    </w:p>
    <w:p w14:paraId="1851BC64" w14:textId="77777777" w:rsidR="001178E5" w:rsidRPr="008B01C6" w:rsidRDefault="001178E5" w:rsidP="001178E5">
      <w:pPr>
        <w:pStyle w:val="NormalHanging12a"/>
      </w:pPr>
      <w:r w:rsidRPr="008B01C6">
        <w:t>A.</w:t>
      </w:r>
      <w:r w:rsidRPr="008B01C6">
        <w:tab/>
        <w:t xml:space="preserve">budući da je u nekim zemljama kandidatkinjama proces proširenja EU-a posljednjih godina znatno napredovao; budući da devet od deset zemalja koje trenutačno žele pristupiti EU-u ima status zemlje kandidatkinje, od kojih neke već mnogo godina; budući da je otvaranje pristupnih pregovora s Ukrajinom i </w:t>
      </w:r>
      <w:proofErr w:type="spellStart"/>
      <w:r w:rsidRPr="008B01C6">
        <w:t>Moldovom</w:t>
      </w:r>
      <w:proofErr w:type="spellEnd"/>
      <w:r w:rsidRPr="008B01C6">
        <w:t xml:space="preserve"> doprinijelo vraćanju dinamike u politiku proširenja;</w:t>
      </w:r>
    </w:p>
    <w:p w14:paraId="12B4FCB5" w14:textId="77777777" w:rsidR="001178E5" w:rsidRPr="008B01C6" w:rsidRDefault="001178E5" w:rsidP="001178E5">
      <w:pPr>
        <w:pStyle w:val="NormalHanging12a"/>
      </w:pPr>
      <w:r w:rsidRPr="008B01C6">
        <w:t>B.</w:t>
      </w:r>
      <w:r w:rsidRPr="008B01C6">
        <w:tab/>
        <w:t>budući da je proširenje jedan od najsnažnijih vanjskopolitičkih i geopolitičkih alata EU-a te da je i dalje ključan pokretač dugoročne sigurnosti, mira, stabilnosti i blagostanja u Europi, na temelju zajedničkih demokratskih vrijednosti; budući da proširenje predstavlja povijesnu i jedinstvenu priliku koja sa sobom nosi velike socioekonomske, političke i sigurnosne prednosti i za EU i za zemlje proširenja;</w:t>
      </w:r>
    </w:p>
    <w:p w14:paraId="444F5DF5" w14:textId="77777777" w:rsidR="001178E5" w:rsidRPr="008B01C6" w:rsidRDefault="001178E5" w:rsidP="001178E5">
      <w:pPr>
        <w:pStyle w:val="NormalHanging12a"/>
      </w:pPr>
      <w:r w:rsidRPr="008B01C6">
        <w:t>C.</w:t>
      </w:r>
      <w:r w:rsidRPr="008B01C6">
        <w:tab/>
        <w:t xml:space="preserve">budući da se u najnovijem izvješću </w:t>
      </w:r>
      <w:proofErr w:type="spellStart"/>
      <w:r w:rsidRPr="008B01C6">
        <w:t>Eurobarometra</w:t>
      </w:r>
      <w:proofErr w:type="spellEnd"/>
      <w:r w:rsidRPr="008B01C6">
        <w:t xml:space="preserve"> o proširenju navodi da 56 % građana EU-a podupire daljnje proširenje Europske unije, pri čemu je Ukrajina najpoželjnija kandidatkinja za pristupanje nakon što se ispune svi kriteriji za članstvo u EU-u;</w:t>
      </w:r>
    </w:p>
    <w:p w14:paraId="33D44E4E" w14:textId="77777777" w:rsidR="001178E5" w:rsidRPr="008B01C6" w:rsidRDefault="001178E5" w:rsidP="001178E5">
      <w:pPr>
        <w:pStyle w:val="NormalHanging12a"/>
      </w:pPr>
      <w:r w:rsidRPr="008B01C6">
        <w:t>D.</w:t>
      </w:r>
      <w:r w:rsidRPr="008B01C6">
        <w:tab/>
        <w:t xml:space="preserve">budući da se prema izvješću </w:t>
      </w:r>
      <w:proofErr w:type="spellStart"/>
      <w:r w:rsidRPr="008B01C6">
        <w:t>Eurobarometra</w:t>
      </w:r>
      <w:proofErr w:type="spellEnd"/>
      <w:r w:rsidRPr="008B01C6">
        <w:t xml:space="preserve"> smatra da su prethodni krugovi proširenja donijeli najveće koristi u područjima gospodarskog rasta i konkurentnosti, nakon čega slijede ojačani globalni utjecaj EU-a te pojačana sigurnost i obrana;</w:t>
      </w:r>
    </w:p>
    <w:p w14:paraId="72CCD90E" w14:textId="77777777" w:rsidR="001178E5" w:rsidRPr="008B01C6" w:rsidRDefault="001178E5" w:rsidP="001178E5">
      <w:pPr>
        <w:pStyle w:val="NormalHanging12a"/>
      </w:pPr>
      <w:r w:rsidRPr="008B01C6">
        <w:t>E.</w:t>
      </w:r>
      <w:r w:rsidRPr="008B01C6">
        <w:tab/>
        <w:t xml:space="preserve">budući da proces pristupanja EU-u sam po sebi donosi konkretne rezultate, pri čemu je EU i dalje glavni politički, gospodarski i trgovinski partner zemalja proširenja; budući da se ukupni obujam trgovine zapadnog Balkana s EU-om povećao za 62 % nakon stupanja na snagu sporazumâ o stabilizaciji i pridruživanju; budući da su detaljni i sveobuhvatni sporazumi o slobodnoj trgovini imali </w:t>
      </w:r>
      <w:proofErr w:type="spellStart"/>
      <w:r w:rsidRPr="008B01C6">
        <w:t>transformativni</w:t>
      </w:r>
      <w:proofErr w:type="spellEnd"/>
      <w:r w:rsidRPr="008B01C6">
        <w:t xml:space="preserve"> učinak na </w:t>
      </w:r>
      <w:proofErr w:type="spellStart"/>
      <w:r w:rsidRPr="008B01C6">
        <w:t>Moldovu</w:t>
      </w:r>
      <w:proofErr w:type="spellEnd"/>
      <w:r w:rsidRPr="008B01C6">
        <w:t xml:space="preserve"> i Ukrajinu u pogledu trgovinskog i gospodarskog razvoja, čime se njihova trgovina povećala za 65,4 % odnosno 64,7 %;</w:t>
      </w:r>
    </w:p>
    <w:p w14:paraId="37AFDC4E" w14:textId="77777777" w:rsidR="001178E5" w:rsidRPr="008B01C6" w:rsidRDefault="001178E5" w:rsidP="001178E5">
      <w:pPr>
        <w:pStyle w:val="NormalHanging12a"/>
      </w:pPr>
      <w:r w:rsidRPr="008B01C6">
        <w:t>F.</w:t>
      </w:r>
      <w:r w:rsidRPr="008B01C6">
        <w:tab/>
        <w:t xml:space="preserve">budući da opći agresivni rat Rusije protiv Ukrajine predstavlja ozbiljnu prijetnju sigurnosti na europskom kontinentu i izvan njega, što pokazuje da </w:t>
      </w:r>
      <w:proofErr w:type="spellStart"/>
      <w:r w:rsidRPr="008B01C6">
        <w:t>neproširenje</w:t>
      </w:r>
      <w:proofErr w:type="spellEnd"/>
      <w:r w:rsidRPr="008B01C6">
        <w:t xml:space="preserve"> podrazumijeva znatne strateške troškove i narušava sigurnost i stabilnost diljem našeg kontinenta; budući da je stagnacija u postupku proširenja posljednjih godina stvorila vakuum i tako otvorila prostor za Rusiju i Kinu te druge štetne aktere izvan EU-a; budući da se Rusija namjerno upleće u Istočno partnerstvo i zemlje zapadnog Balkana operacijama hibridnih prijetnji, uključujući kampanje upletanja u izbore te inozemnog upletanja i manipuliranja informacijama, nastojeći zaustaviti proces pristupanja EU-u u tim zemljama i predstavljajući prijetnju sigurnosti za te regije nezakonitom okupacijom dijelova državnog područja triju zemalja kandidatkinja, ali i za cijeli kontinent;</w:t>
      </w:r>
    </w:p>
    <w:p w14:paraId="70A37DAA" w14:textId="77777777" w:rsidR="001178E5" w:rsidRPr="008B01C6" w:rsidRDefault="001178E5" w:rsidP="001178E5">
      <w:pPr>
        <w:pStyle w:val="NormalHanging12a"/>
      </w:pPr>
      <w:r w:rsidRPr="008B01C6">
        <w:t>G.</w:t>
      </w:r>
      <w:r w:rsidRPr="008B01C6">
        <w:tab/>
        <w:t>budući da se utjecaj Kine opasno širi, od projekata gospodarske ovisnosti do sigurnosne suradnje, posebno na zapadnom Balkanu i u Gruziji, jer ta zemlja i dalje iskorištava političku nestabilnost i institucionalne slabosti u nekoliko zemalja proširenja kako bi ugrozila njihov put prema integraciji u EU i njihovo demokratsko upravljanje;</w:t>
      </w:r>
    </w:p>
    <w:p w14:paraId="4B18E116" w14:textId="77777777" w:rsidR="001178E5" w:rsidRPr="008B01C6" w:rsidRDefault="001178E5" w:rsidP="001178E5">
      <w:pPr>
        <w:pStyle w:val="NormalHanging12a"/>
      </w:pPr>
      <w:r w:rsidRPr="008B01C6">
        <w:t>H.</w:t>
      </w:r>
      <w:r w:rsidRPr="008B01C6">
        <w:tab/>
        <w:t xml:space="preserve">budući da je proširenje proces koji se temelji na zaslugama, čiji je glavni temelj i dalje ireverzibilan napredak u području vladavine prava, demokracije i temeljnih vrijednosti; budući da je pristupanje neke zemlje EU-u uvjetovano trajnim, dubinskim i </w:t>
      </w:r>
      <w:r w:rsidRPr="008B01C6">
        <w:lastRenderedPageBreak/>
        <w:t>nepovratnim reformama u temeljnim područjima, počevši od vladavine prava i funkcioniranja demokratskih institucija; budući da raspored pristupanja ovisi o kvaliteti potrebnih reformi koje je poduzela određena zemlja;</w:t>
      </w:r>
    </w:p>
    <w:p w14:paraId="147FEC6D" w14:textId="77777777" w:rsidR="001178E5" w:rsidRPr="008B01C6" w:rsidRDefault="001178E5" w:rsidP="001178E5">
      <w:pPr>
        <w:pStyle w:val="NormalHanging12a"/>
      </w:pPr>
      <w:r w:rsidRPr="008B01C6">
        <w:t>I.</w:t>
      </w:r>
      <w:r w:rsidRPr="008B01C6">
        <w:tab/>
        <w:t xml:space="preserve">budući da je EU i dalje najveći pružatelj ulaganja i financijske pomoći u okviru Instrumenta pretpristupne pomoći (IPA III), Gospodarskog i investicijskog plana za zapadni Balkan, Instrumenta za zapadni Balkan, Instrumenta za Ukrajinu, Instrumenta za </w:t>
      </w:r>
      <w:proofErr w:type="spellStart"/>
      <w:r w:rsidRPr="008B01C6">
        <w:t>Moldovu</w:t>
      </w:r>
      <w:proofErr w:type="spellEnd"/>
      <w:r w:rsidRPr="008B01C6">
        <w:t>, Instrumenta za susjedstvo, razvoj i međunarodnu suradnju (NDICI) – Globalna Europa te makrofinancijske pomoći;</w:t>
      </w:r>
    </w:p>
    <w:p w14:paraId="0A9DC680" w14:textId="77777777" w:rsidR="001178E5" w:rsidRPr="008B01C6" w:rsidRDefault="001178E5" w:rsidP="001178E5">
      <w:pPr>
        <w:pStyle w:val="NormalHanging12a"/>
      </w:pPr>
      <w:r w:rsidRPr="008B01C6">
        <w:t>J.</w:t>
      </w:r>
      <w:r w:rsidRPr="008B01C6">
        <w:tab/>
        <w:t>budući da je usklađivanje zemalja kandidatkinja sa zajedničkom vanjskom i sigurnosnom politikom EU-a (ZSOP) i dalje jedan od ključnih preduvjeta za pristupanje EU-u;</w:t>
      </w:r>
    </w:p>
    <w:p w14:paraId="61D4D91E" w14:textId="77777777" w:rsidR="001178E5" w:rsidRPr="008B01C6" w:rsidRDefault="001178E5" w:rsidP="001178E5">
      <w:pPr>
        <w:pStyle w:val="NormalHanging12a"/>
      </w:pPr>
      <w:r w:rsidRPr="008B01C6">
        <w:t>K.</w:t>
      </w:r>
      <w:r w:rsidRPr="008B01C6">
        <w:tab/>
        <w:t>budući da je postupak donošenja odluka o pitanjima proširenja definiran člankom 49. UFEU-a i pregovaračkim okvirima definiranima za svaku zemlju kandidatkinju;</w:t>
      </w:r>
    </w:p>
    <w:p w14:paraId="3D9A2BB7" w14:textId="77777777" w:rsidR="001178E5" w:rsidRPr="008B01C6" w:rsidRDefault="001178E5" w:rsidP="001178E5">
      <w:pPr>
        <w:pStyle w:val="NormalHanging12a"/>
      </w:pPr>
      <w:r w:rsidRPr="008B01C6">
        <w:t>L.</w:t>
      </w:r>
      <w:r w:rsidRPr="008B01C6">
        <w:tab/>
        <w:t>budući da je Parlament i dalje pouzdan partner zemalja pristupnica i zagovaratelj procesa proširenja te tako omogućuje institucionalne i socioekonomske reforme u korist građana;</w:t>
      </w:r>
    </w:p>
    <w:p w14:paraId="5E8BE0D2" w14:textId="77777777" w:rsidR="001178E5" w:rsidRPr="008B01C6" w:rsidRDefault="001178E5" w:rsidP="00210D34">
      <w:pPr>
        <w:pStyle w:val="NormalHanging12a"/>
        <w:ind w:left="0" w:firstLine="0"/>
        <w:rPr>
          <w:b/>
          <w:i/>
          <w:iCs/>
        </w:rPr>
      </w:pPr>
      <w:r w:rsidRPr="008B01C6">
        <w:rPr>
          <w:b/>
          <w:i/>
        </w:rPr>
        <w:t>Geostrateška dimenzija proširenja</w:t>
      </w:r>
    </w:p>
    <w:p w14:paraId="373CD439" w14:textId="77777777" w:rsidR="001178E5" w:rsidRPr="008B01C6" w:rsidRDefault="001178E5" w:rsidP="001178E5">
      <w:pPr>
        <w:pStyle w:val="Normal12Hanging"/>
        <w:rPr>
          <w:lang w:val="hr-HR"/>
        </w:rPr>
      </w:pPr>
      <w:r w:rsidRPr="008B01C6">
        <w:rPr>
          <w:rStyle w:val="NormalHanging12aChar"/>
        </w:rPr>
        <w:t>1.</w:t>
      </w:r>
      <w:r w:rsidRPr="008B01C6">
        <w:rPr>
          <w:rStyle w:val="NormalHanging12aChar"/>
        </w:rPr>
        <w:tab/>
        <w:t>ponavlja da je proširenje strateški odgovor na novu geopolitičku stvarnost i ulaganje od iznimne važnosti za sigurnost i stabilnost EU-a s obzirom na opći agresivni rat Rusije protiv Ukrajine, opetovane povrede granica, hibridne napade i druga neprijateljska djelovanja te zemlje na štetu njezinih susjeda, kao i druge zajedničke geopolitičke izazove, koji iziskuju dugoročnu političku demokratsku viziju, odvažno djelovanje te poduzimanje koraka prema dovršetku europskog projekta</w:t>
      </w:r>
      <w:r w:rsidRPr="008B01C6">
        <w:rPr>
          <w:lang w:val="hr-HR"/>
        </w:rPr>
        <w:t>;</w:t>
      </w:r>
    </w:p>
    <w:p w14:paraId="33A652D1" w14:textId="77777777" w:rsidR="001178E5" w:rsidRPr="008B01C6" w:rsidRDefault="001178E5" w:rsidP="001178E5">
      <w:pPr>
        <w:pStyle w:val="NormalHanging12a"/>
      </w:pPr>
      <w:r w:rsidRPr="008B01C6">
        <w:t>2.</w:t>
      </w:r>
      <w:r w:rsidRPr="008B01C6">
        <w:tab/>
        <w:t xml:space="preserve">ponavlja da je proširenje korisno i za sadašnje i za buduće države članice; ističe da je dokazivanje aktivne predanosti EU-a procesu proširenja politički hitno pitanje, među ostalim u cilju očuvanja vjerodostojnosti EU-a prema zemljama proširenja i njihovim društvima; ustraje u tome da će se proširenjem EU-a ojačati sigurnost i gospodarstvo Europe; iznova ističe da je budućnost zemalja zapadnog Balkana, Ukrajine i </w:t>
      </w:r>
      <w:proofErr w:type="spellStart"/>
      <w:r w:rsidRPr="008B01C6">
        <w:t>Moldove</w:t>
      </w:r>
      <w:proofErr w:type="spellEnd"/>
      <w:r w:rsidRPr="008B01C6">
        <w:t xml:space="preserve"> u Europskoj uniji, u skladu s težnjama njihovih građana; ističe da trošak </w:t>
      </w:r>
      <w:proofErr w:type="spellStart"/>
      <w:r w:rsidRPr="008B01C6">
        <w:t>neproširenja</w:t>
      </w:r>
      <w:proofErr w:type="spellEnd"/>
      <w:r w:rsidRPr="008B01C6">
        <w:t xml:space="preserve"> premašuje trošak dovršetka postupka i da bi </w:t>
      </w:r>
      <w:proofErr w:type="spellStart"/>
      <w:r w:rsidRPr="008B01C6">
        <w:t>neproširenje</w:t>
      </w:r>
      <w:proofErr w:type="spellEnd"/>
      <w:r w:rsidRPr="008B01C6">
        <w:t xml:space="preserve"> moglo stvoriti geopolitičke sive zone podložne zlonamjernom utjecaju zemalja izvan EU-a koje žele proširiti svoj politički, gospodarski i strateški utjecaj;</w:t>
      </w:r>
    </w:p>
    <w:p w14:paraId="0EC3FA0A" w14:textId="77777777" w:rsidR="001178E5" w:rsidRPr="008B01C6" w:rsidRDefault="001178E5" w:rsidP="001178E5">
      <w:pPr>
        <w:pStyle w:val="NormalHanging12a"/>
      </w:pPr>
      <w:r w:rsidRPr="008B01C6">
        <w:t>3.</w:t>
      </w:r>
      <w:r w:rsidRPr="008B01C6">
        <w:tab/>
        <w:t>naglašava da je pristupanje ključan alat za promicanje trajnog mira, demokracije, vladavine prava i temeljnih prava, za poticanje regionalnog pomirenja i stabilnosti, kao i za zaštitu zemalja kandidatkinja i susjedstva EU-a od zlonamjernog inozemnog upletanja, posebno ruskog; smatra da je politika proširenja neophodna za utjecaj EU-a u vrijeme povećane geopolitičke nestabilnosti; naglašava da prosperitet i sigurnost EU-a počivaju na njegovoj sposobnosti da brani demokraciju, vladavinu prava, ljudska prava i multilateralni poredak utemeljen na pravilima; podsjeća na zajedničke kulturne, povijesne i ljudske veze između zemalja proširenja i država članica;</w:t>
      </w:r>
    </w:p>
    <w:p w14:paraId="0F5C0A82" w14:textId="77777777" w:rsidR="001178E5" w:rsidRPr="008B01C6" w:rsidRDefault="001178E5" w:rsidP="00210D34">
      <w:pPr>
        <w:pStyle w:val="NormalHanging12a"/>
        <w:ind w:left="0" w:firstLine="0"/>
        <w:rPr>
          <w:b/>
          <w:bCs/>
          <w:i/>
        </w:rPr>
      </w:pPr>
      <w:r w:rsidRPr="008B01C6">
        <w:rPr>
          <w:b/>
          <w:i/>
        </w:rPr>
        <w:t>Strateški prioriteti proširenja EU-a: proces koji se temelji na zaslugama i ispunjavanju uvjeta</w:t>
      </w:r>
    </w:p>
    <w:p w14:paraId="590BCB88" w14:textId="77777777" w:rsidR="001178E5" w:rsidRPr="008B01C6" w:rsidRDefault="001178E5" w:rsidP="001178E5">
      <w:pPr>
        <w:pStyle w:val="NormalHanging12a"/>
      </w:pPr>
      <w:r w:rsidRPr="008B01C6">
        <w:t>4.</w:t>
      </w:r>
      <w:r w:rsidRPr="008B01C6">
        <w:tab/>
        <w:t xml:space="preserve">pozdravlja napredak postignut posljednjih godina zbog kojeg je proširenje EU-a </w:t>
      </w:r>
      <w:r w:rsidRPr="008B01C6">
        <w:lastRenderedPageBreak/>
        <w:t>vjerojatno u bliskoj budućnosti; pohvaljuje Crnu Goru i Albaniju zbog njihova znatnog napretka, primajući na znanje njihove ambicije da zaključe pregovore do kraja 2026. odnosno 2027.; potiče institucije EU-a, posebno Vijeće, da istom mjerom reagiraju na te ambicije, uklone prepreke na strani EU-a i time povećaju vjerodostojnost i predvidljivost procesa, uz potpuno poštovanje načela „stroge utemeljenosti na zaslugama”; pozdravlja činjenicu da Bosna i Hercegovina ima status zemlje kandidatkinje i potiče je da nastavi s reformama;</w:t>
      </w:r>
    </w:p>
    <w:p w14:paraId="348C03FD" w14:textId="77777777" w:rsidR="001178E5" w:rsidRPr="008B01C6" w:rsidRDefault="001178E5" w:rsidP="001178E5">
      <w:pPr>
        <w:pStyle w:val="NormalHanging12a"/>
      </w:pPr>
      <w:r w:rsidRPr="008B01C6">
        <w:t>5.</w:t>
      </w:r>
      <w:r w:rsidRPr="008B01C6">
        <w:tab/>
        <w:t xml:space="preserve">pohvaljuje iznimnu otpornost i predanost koju je Ukrajina pokazala na svojem europskom putu unatoč ruskom agresivnom ratu; poziva EU i njegove države članice da nastave podupirati Ukrajinu i žali zbog toga što Vijeće nije uspjelo postići dogovor o upotrebi zamrznute ruske imovine; pohvaljuje </w:t>
      </w:r>
      <w:proofErr w:type="spellStart"/>
      <w:r w:rsidRPr="008B01C6">
        <w:t>Moldovu</w:t>
      </w:r>
      <w:proofErr w:type="spellEnd"/>
      <w:r w:rsidRPr="008B01C6">
        <w:t xml:space="preserve"> zbog znatnog napretka na njezinu putu pristupanja EU-u, odnosno zbog uspješno dovršenog postupka analitičkog pregleda unatoč stalnim hibridnim prijetnjama; poziva na brzo otvaranje pregovaračkih klastera s Ukrajinom i </w:t>
      </w:r>
      <w:proofErr w:type="spellStart"/>
      <w:r w:rsidRPr="008B01C6">
        <w:t>Moldovom</w:t>
      </w:r>
      <w:proofErr w:type="spellEnd"/>
      <w:r w:rsidRPr="008B01C6">
        <w:t xml:space="preserve"> te potiče mađarsku vladu da se suzdrži od daljnjeg blokiranja pregovora;</w:t>
      </w:r>
    </w:p>
    <w:p w14:paraId="7A81C3BE" w14:textId="77777777" w:rsidR="001178E5" w:rsidRPr="008B01C6" w:rsidRDefault="001178E5" w:rsidP="001178E5">
      <w:pPr>
        <w:pStyle w:val="NormalHanging12a"/>
      </w:pPr>
      <w:r w:rsidRPr="008B01C6">
        <w:t>6.</w:t>
      </w:r>
      <w:r w:rsidRPr="008B01C6">
        <w:tab/>
        <w:t xml:space="preserve">ponavlja da u skladu s člankom 49. UEU-a svaka europska država može podnijeti zahtjev za članstvo u EU-u pod uvjetom da poštuje vrijednosti iz članka 2. UEU-a, uključujući ljudsko dostojanstvo, slobodu, demokraciju, jednakost, vladavinu prava i ljudska prava, među ostalim i prava pripadnika manjina; prima na znanje povećanu potporu za članstvo u EU-u u nekoliko zemalja koje su se prethodno pripremale za pristupanje EU-u, uključujući Island, koji do 2027. namjerava održati referendum o ponovnom pokretanju pristupnih pregovora, te potiče vodstvo EU-a da nastavi graditi tješnje veze s takvim zemljama; napominje da je armenski parlament 26. ožujka 2025. donio zakon kojim se službeno podupire članstvo u EU-u i poziva vladu te zemlje da započne proces pristupanja EU-u, te smatra da bi uporne reforme kojima se učvršćuje armenska demokracija mogle započeti </w:t>
      </w:r>
      <w:proofErr w:type="spellStart"/>
      <w:r w:rsidRPr="008B01C6">
        <w:t>transformativnu</w:t>
      </w:r>
      <w:proofErr w:type="spellEnd"/>
      <w:r w:rsidRPr="008B01C6">
        <w:t xml:space="preserve"> fazu u odnosima EU-a i Armenije; pozdravlja potencijalne inicijative Grenlanda za jačanje njegovih političkih, institucijskih i gospodarskih veza s EU-om u kontekstu sve veće potpore pristupanju EU-u;</w:t>
      </w:r>
    </w:p>
    <w:p w14:paraId="5F3F5120" w14:textId="77777777" w:rsidR="001178E5" w:rsidRPr="008B01C6" w:rsidRDefault="001178E5" w:rsidP="001178E5">
      <w:pPr>
        <w:pStyle w:val="NormalHanging12a"/>
      </w:pPr>
      <w:r w:rsidRPr="008B01C6">
        <w:t>7.</w:t>
      </w:r>
      <w:r w:rsidRPr="008B01C6">
        <w:tab/>
        <w:t>podsjeća da su prethodni krugovi proširenja potaknuli znatan gospodarski rast i u novim i u starim državama članicama; ističe da je slobodno kretanje omogućilo bolje mogućnosti zapošljavanja i veće plaće te smanjilo rizik od siromaštva zahvaljujući novčanim doznakama; naglašava da je proširenje pozitivno utjecalo na životni standard jer je došlo do poboljšanja u području zakona o radu, zdravlja i sigurnosti, rodne ravnopravnosti, digitalnih usluga, obrazovanja i nediskriminacije;</w:t>
      </w:r>
    </w:p>
    <w:p w14:paraId="1B181145" w14:textId="77777777" w:rsidR="001178E5" w:rsidRPr="008B01C6" w:rsidRDefault="001178E5" w:rsidP="001178E5">
      <w:pPr>
        <w:pStyle w:val="NormalHanging12a"/>
      </w:pPr>
      <w:r w:rsidRPr="008B01C6">
        <w:t>8.</w:t>
      </w:r>
      <w:r w:rsidRPr="008B01C6">
        <w:tab/>
        <w:t xml:space="preserve">ponovno ističe da pristupanje mora ostati reverzibilan proces temeljen na zaslugama, pri čemu se svaka država podnositeljica zahtjeva mora ocjenjivati na temelju ispunjenja </w:t>
      </w:r>
      <w:proofErr w:type="spellStart"/>
      <w:r w:rsidRPr="008B01C6">
        <w:t>Kopenhaških</w:t>
      </w:r>
      <w:proofErr w:type="spellEnd"/>
      <w:r w:rsidRPr="008B01C6">
        <w:t xml:space="preserve"> kriterija, usklađenosti s pravnom stečevinom EU-a i ispunjavanja svih dodatnih uvjeta iz okvira za proširenje; naglašava da se put svake zemlje prema integraciji u EU mora ocijeniti na temelju vlastitih zasluga i da se nijedna zemlja ne bi trebala povezivati s drugom zemljom niti tretirati kao dio paketa; ističe da nema prečaca kad je riječ o vrijednostima i temeljnim načelima EU-a;</w:t>
      </w:r>
    </w:p>
    <w:p w14:paraId="055B32FA" w14:textId="77777777" w:rsidR="001178E5" w:rsidRPr="008B01C6" w:rsidRDefault="001178E5" w:rsidP="001178E5">
      <w:pPr>
        <w:pStyle w:val="NormalHanging12a"/>
      </w:pPr>
      <w:r w:rsidRPr="008B01C6">
        <w:t>9.</w:t>
      </w:r>
      <w:r w:rsidRPr="008B01C6">
        <w:tab/>
        <w:t>naglašava da, iako bi proces trebao postati postupniji i dinamičniji, s jasnim ciljevima reformi, planovima i prijelaznim rokovima, ne mogu postojati ubrzani postupci jer bi to moglo utjecati na integritet pristupnog procesa; napominje da je nekoliko zemalja kandidatkinja već postavilo ambiciozne ciljeve za zaključenje pregovora, što bi trebalo poticati ako ih prate konkretne reforme;</w:t>
      </w:r>
    </w:p>
    <w:p w14:paraId="16BF490F" w14:textId="77777777" w:rsidR="001178E5" w:rsidRPr="008B01C6" w:rsidRDefault="001178E5" w:rsidP="001178E5">
      <w:pPr>
        <w:pStyle w:val="NormalHanging12a"/>
      </w:pPr>
      <w:r w:rsidRPr="008B01C6">
        <w:lastRenderedPageBreak/>
        <w:t>10.</w:t>
      </w:r>
      <w:r w:rsidRPr="008B01C6">
        <w:tab/>
        <w:t>naglašava da vladavina prava, demokratske reforme, sloboda medija i temeljna prava, uključujući prava manjina, moraju ostati vodeća načela proširenja; naglašava važnost neovisnosti pravosuđa, borbe protiv korupcije, uključivanja civilnog društva i potpore istome te poticajnog okruženja bez zastrašivanja kao ključnih preduvjeta za održiv napredak prema članstvu u EU-u, posebno u vrijeme sve većih autoritarnih tendencija; naglašava da napredak u pogledu temeljnih pitanja mora biti putokaz za sva druga pregovaračka poglavlja;</w:t>
      </w:r>
    </w:p>
    <w:p w14:paraId="43628CAE" w14:textId="77777777" w:rsidR="001178E5" w:rsidRPr="008B01C6" w:rsidRDefault="001178E5" w:rsidP="001178E5">
      <w:pPr>
        <w:pStyle w:val="NormalHanging12a"/>
      </w:pPr>
      <w:r w:rsidRPr="008B01C6">
        <w:t>11.</w:t>
      </w:r>
      <w:r w:rsidRPr="008B01C6">
        <w:tab/>
        <w:t>ističe potrebu za postizanjem rodne ravnopravnosti i njezinim uključivanjem u sve politike, među ostalim iskorjenjivanjem rodno uvjetovanog nasilja radi zaštite prava djece i njihova pristupa kvalitetnom obrazovanju, te za punom primjenom načela nediskriminacije, među ostalim pripadnika LGBTIQ+ zajednice i osoba s invaliditetom, u cijelom procesu pristupanja; naglašava da se ljudska prava moraju štititi ne samo zakonodavstvom nego i dosljednom provedbom u praksi; naglašava potrebu da sve zemlje u postupku proširenja osiguraju stvarnu zastupljenost manjina na svim razinama vlasti, očuvaju njihov kulturni i jezični identitet, osiguraju pristup kvalitetnom obrazovanju na jezicima manjina i djelotvorno se bore protiv govora mržnje i zločina motiviranih mržnjom;</w:t>
      </w:r>
    </w:p>
    <w:p w14:paraId="36BBCCF2" w14:textId="77777777" w:rsidR="001178E5" w:rsidRPr="008B01C6" w:rsidRDefault="001178E5" w:rsidP="001178E5">
      <w:pPr>
        <w:pStyle w:val="NormalHanging12a"/>
      </w:pPr>
      <w:r w:rsidRPr="008B01C6">
        <w:t>12.</w:t>
      </w:r>
      <w:r w:rsidRPr="008B01C6">
        <w:tab/>
        <w:t>poziva Komisiju da u svoje godišnje izvješće o vladavini prava uključi sve zemlje proširenja koje trenutačno nisu obuhvaćene tim izvješćem; posebno je zabrinut zbog kontinuiranih nedostataka i stagnacije u reformama pravosudnog sustava, pokušaja poništavanja napretka u borbi protiv korupcije, ograničenog napretka u reformama javne uprave, nedostatnog usklađivanja izbornog zakonodavstva s europskim standardima, kao i polarizacije društva, smanjenja prostora za civilno društvo i gušenja prava na mirno okupljanje u nekim zemljama proširenja;</w:t>
      </w:r>
    </w:p>
    <w:p w14:paraId="5DB242AB" w14:textId="77777777" w:rsidR="001178E5" w:rsidRPr="008B01C6" w:rsidRDefault="001178E5" w:rsidP="001178E5">
      <w:pPr>
        <w:pStyle w:val="NormalHanging12a"/>
      </w:pPr>
      <w:r w:rsidRPr="008B01C6">
        <w:t>13.</w:t>
      </w:r>
      <w:r w:rsidRPr="008B01C6">
        <w:tab/>
        <w:t>ističe da u EU-u i zemljama koje žele postati države članice EU-a nema mjesta provokativnoj retorici, poricanju genocida ili veličanju ratnih zločinaca s bilo koje strane; naglašava da je suočavanje s prošlošću neophodno za istinsko pomirenje, koje je ključno za prosperitetna društva i uspješnu integraciju;</w:t>
      </w:r>
    </w:p>
    <w:p w14:paraId="1AB48366" w14:textId="77777777" w:rsidR="001178E5" w:rsidRPr="008B01C6" w:rsidRDefault="001178E5" w:rsidP="001178E5">
      <w:pPr>
        <w:pStyle w:val="NormalHanging12a"/>
      </w:pPr>
      <w:r w:rsidRPr="008B01C6">
        <w:t>14.</w:t>
      </w:r>
      <w:r w:rsidRPr="008B01C6">
        <w:tab/>
        <w:t>potiče zemlje proširenja da i dalje odlučno i pravodobno provode potrebne reforme te da ostvare konkretan i ireverzibilan napredak, počevši od temeljnih elemenata; ustraje u potrebi za ulaganjem stalnih napora u poticanje medijskog pluralizma, zaštitu prava novinara, očuvanje okruženja za istraživačko novinarstvo i osiguravanje slobode izražavanja u svim zemljama proširenja, uz istodobnu primjenu djelotvornih mehanizama za suzbijanje govora mržnje, kampanja ocrnjivanja, uznemiravanja, prijetnji i napada na novinare; insistira na istrazi i kaznenom progonu takvih kaznenih djela, uz istodobno rješavanje problema koncentracije medija, političkog i gospodarskog pritiska te nedostatka transparentnosti u pogledu financiranja medija i vlasništva nad njima;</w:t>
      </w:r>
    </w:p>
    <w:p w14:paraId="1A219B67" w14:textId="77777777" w:rsidR="001178E5" w:rsidRPr="008B01C6" w:rsidRDefault="001178E5" w:rsidP="001178E5">
      <w:pPr>
        <w:pStyle w:val="NormalHanging12a"/>
      </w:pPr>
      <w:r w:rsidRPr="008B01C6">
        <w:t>15.</w:t>
      </w:r>
      <w:r w:rsidRPr="008B01C6">
        <w:tab/>
        <w:t>ističe potrebu za jačanjem sudjelovanja građana i uključivanjem civilnog društva u proces proširenja; ističe ulogu organizacija civilnog društva s dokazanim rezultatima i sektorskim stručnim znanjem u području analitičkog pregleda, pregovora, provedbe i praćenja reformi, zaštite transparentnosti, odgovornosti i povjerenja javnosti u proces pristupanja; ističe važnost kontinuirane potpore njihovu radu i sigurnom okruženju za djelovanje; potiče na podizanje razine osviještenosti na nacionalnoj razini o važnosti podupiranja civilnog društva i povećanja državne potpore za njegove aktivnosti, uključujući pripremu za promjene u financiranju nakon pristupanja EU-u;</w:t>
      </w:r>
    </w:p>
    <w:p w14:paraId="16536C80" w14:textId="77777777" w:rsidR="001178E5" w:rsidRPr="008B01C6" w:rsidRDefault="001178E5" w:rsidP="001178E5">
      <w:pPr>
        <w:pStyle w:val="NormalHanging12a"/>
      </w:pPr>
      <w:r w:rsidRPr="008B01C6">
        <w:lastRenderedPageBreak/>
        <w:t>16.</w:t>
      </w:r>
      <w:r w:rsidRPr="008B01C6">
        <w:tab/>
        <w:t>ponovno ističe svoje stajalište da je usklađivanje sa ZVSP-om Unije ključan pokazatelj jasne geostrateške orijentacije zemlje kandidatkinje, predanosti temeljnim vrijednostima i načelima EU-a te njezine spremnosti za buduće članstvo u EU-u;</w:t>
      </w:r>
    </w:p>
    <w:p w14:paraId="1976392D" w14:textId="77777777" w:rsidR="001178E5" w:rsidRPr="008B01C6" w:rsidRDefault="001178E5" w:rsidP="001178E5">
      <w:pPr>
        <w:pStyle w:val="NormalHanging12a"/>
      </w:pPr>
      <w:r w:rsidRPr="008B01C6">
        <w:t>17.</w:t>
      </w:r>
      <w:r w:rsidRPr="008B01C6">
        <w:tab/>
        <w:t>napominje da neke zemlje kandidatkinje, ponajprije Ukrajina, već doprinose europskoj sigurnosti i obrani; izražava duboko poštovanje i zahvalnost ukrajinskom narodu koji svakodnevno plaća najvišu cijenu za očuvanje europskog načina života;</w:t>
      </w:r>
    </w:p>
    <w:p w14:paraId="677C428B" w14:textId="77777777" w:rsidR="001178E5" w:rsidRPr="008B01C6" w:rsidRDefault="001178E5" w:rsidP="001178E5">
      <w:pPr>
        <w:pStyle w:val="NormalHanging12a"/>
      </w:pPr>
      <w:r w:rsidRPr="008B01C6">
        <w:t>18.</w:t>
      </w:r>
      <w:r w:rsidRPr="008B01C6">
        <w:tab/>
        <w:t xml:space="preserve">pozdravlja uspješan nastavak dijaloga o ZVSP-u s partnerima na zapadnom Balkanu te ističe važnost tih partnerstava za mir i sigurnost; poziva sve zemlje kandidatkinje i potencijalne zemlje kandidatkinje da prednost daju brzom i punom usklađivanju sa ZVSP-om te ponavlja da proces pristupanja određene zemlje može započeti tek nakon što se ona u potpunosti uskladi sa ZVSP-om, među ostalim i donošenjem i provedbom ograničavajućih mjera te usklađivanjem s viznom politikom EU-a; </w:t>
      </w:r>
      <w:bookmarkStart w:id="8" w:name="_Hlk217046534"/>
      <w:r w:rsidRPr="008B01C6">
        <w:t xml:space="preserve">napominje da i dalje dolazi do izrazito zabrinjavajućeg razvoja događaja i nazadovanja demokracije u zemljama proširenja s najnižim stopama usklađenosti sa ZVSP-om te u zemljama čiji je proces pristupanja EU-u zapravo zaustavljen, posebno u Srbiji, Gruziji i Turskoj; potiče EU i države članice da učine sve u svojoj moći kako bi spriječile druge zemlje u postupku proširenja da slijede primjer tih zemalja; </w:t>
      </w:r>
      <w:bookmarkEnd w:id="8"/>
      <w:r w:rsidRPr="008B01C6">
        <w:t>naglašava da sustavno odstupanje od usklađivanja sa ZVSP-om predstavlja temeljnu prepreku pristupanju EU-u; očekuje od zemalja kandidatkinja i potencijalnih zemalja kandidatkinja da se također u potpunosti usklade sa zajedničkom sigurnosnom i obrambenom politikom (ZSOP), uključujući njezina načela, ciljeve i misije, kao ključnom komponentom pristupnog procesa; potiče Vijeće za vanjske poslove da pozove ministre vanjskih poslova zemalja proširenja koje su potpuno usklađene sa ZVSP-om da prisustvuju njihovim sastancima na vrhu kao gosti;</w:t>
      </w:r>
    </w:p>
    <w:p w14:paraId="2511CE7A" w14:textId="77777777" w:rsidR="001178E5" w:rsidRPr="008B01C6" w:rsidRDefault="001178E5" w:rsidP="001178E5">
      <w:pPr>
        <w:pStyle w:val="NormalHanging12a"/>
      </w:pPr>
      <w:r w:rsidRPr="008B01C6">
        <w:t>19.</w:t>
      </w:r>
      <w:r w:rsidRPr="008B01C6">
        <w:tab/>
        <w:t>napominje važnost jačanja uloge zemalja kandidatkinja u europskoj sigurnosti i obrani te podupire njihovo sudjelovanje na temelju zasluga u odabranim instrumentima, programima i projektima EU-a te odobravanje njihova statusa promatrača u Europskoj obrambenoj agenciji; potiče na njihovo uključivanje u raspravu i predanost pružanju sigurnosnih jamstava Ukrajini; prepoznaje doprinos nekoliko zemalja kandidatkinja misijama ZSOP-a EU-a i njihovu borbu protiv inozemnog upletanja i manipuliranja informacijama i hibridnih prijetnji te naglašava da bliža integracija jača kolektivnu sigurnost i otpornost na hibridne prijetnje;</w:t>
      </w:r>
    </w:p>
    <w:p w14:paraId="372ADB17" w14:textId="77777777" w:rsidR="001178E5" w:rsidRPr="008B01C6" w:rsidRDefault="001178E5" w:rsidP="001178E5">
      <w:pPr>
        <w:pStyle w:val="NormalHanging12a"/>
      </w:pPr>
      <w:r w:rsidRPr="008B01C6">
        <w:t>20.</w:t>
      </w:r>
      <w:r w:rsidRPr="008B01C6">
        <w:tab/>
        <w:t>ističe da neusklađenost sa ZVSP-om predstavlja sigurnosne rizike za EU, primjerice omogućivanjem građanima zemalja izvan EU-a da dobiju prava ulaska u EU bez vize tako što im se dodjeljuje državljanstvo zemlje kandidatkinje ili dodatnim povećavanjem ovisnosti o Kini; ustraje u tome da u okviru ZVSP-a mora postojati jasna uvjetovanost u vezi sa suradnjom s geopolitičkim suparnicima koji nastoje ugroziti međunarodni poredak utemeljen na pravilima i oslabiti Europu;</w:t>
      </w:r>
    </w:p>
    <w:p w14:paraId="0223C0C0" w14:textId="77777777" w:rsidR="001178E5" w:rsidRPr="008B01C6" w:rsidRDefault="001178E5" w:rsidP="001178E5">
      <w:pPr>
        <w:pStyle w:val="NormalHanging12a"/>
      </w:pPr>
      <w:r w:rsidRPr="008B01C6">
        <w:t>21.</w:t>
      </w:r>
      <w:r w:rsidRPr="008B01C6">
        <w:tab/>
        <w:t>ističe da je regionalna suradnja, osobito na zapadnom Balkanu, preduvjet za pristupanje EU-u; naglašava da je pomirenje, koje dovodi do dobrosusjedskih odnosa, ključno za uspješno pristupanje EU-u; nadalje, ističe da bi se otvorena bilateralna pitanja između EU-a i zemalja koje nisu članice EU-a trebala rješavati bilateralno, u skladu s međunarodnim pravom, i da se ne bi smjela koristiti za blokiranje proširenja; upozorava na to da prekomjerna kašnjenja mogu negativno utjecati i na javno mišljenje i na političku predanost zemalja kandidatkinja;</w:t>
      </w:r>
    </w:p>
    <w:p w14:paraId="30A62C7D" w14:textId="77777777" w:rsidR="001178E5" w:rsidRPr="008B01C6" w:rsidRDefault="001178E5" w:rsidP="001178E5">
      <w:pPr>
        <w:pStyle w:val="NormalHanging12a"/>
      </w:pPr>
      <w:r w:rsidRPr="008B01C6">
        <w:t>22.</w:t>
      </w:r>
      <w:r w:rsidRPr="008B01C6">
        <w:tab/>
        <w:t xml:space="preserve">podsjeća da proces pristupanja EU-u ovisi o ispunjavanju uvjeta navedenih u </w:t>
      </w:r>
      <w:r w:rsidRPr="008B01C6">
        <w:lastRenderedPageBreak/>
        <w:t xml:space="preserve">pregovaračkim okvirima EU-a, poticanju dobrosusjedskih odnosa i poštovanju bilateralnih i međunarodnih sporazuma, u skladu s </w:t>
      </w:r>
      <w:proofErr w:type="spellStart"/>
      <w:r w:rsidRPr="008B01C6">
        <w:t>Kopenhaškim</w:t>
      </w:r>
      <w:proofErr w:type="spellEnd"/>
      <w:r w:rsidRPr="008B01C6">
        <w:t xml:space="preserve"> kriterijima i da se temelji na vlastitim zaslugama; poziva Vijeće da spriječi da bilateralna pitanja koja nisu povezana s </w:t>
      </w:r>
      <w:proofErr w:type="spellStart"/>
      <w:r w:rsidRPr="008B01C6">
        <w:t>Kopenhaškim</w:t>
      </w:r>
      <w:proofErr w:type="spellEnd"/>
      <w:r w:rsidRPr="008B01C6">
        <w:t xml:space="preserve"> kriterijima ometaju napredak;</w:t>
      </w:r>
    </w:p>
    <w:p w14:paraId="72058DBA" w14:textId="77777777" w:rsidR="001178E5" w:rsidRPr="008B01C6" w:rsidRDefault="001178E5" w:rsidP="001178E5">
      <w:pPr>
        <w:pStyle w:val="NormalHanging12a"/>
      </w:pPr>
      <w:r w:rsidRPr="008B01C6">
        <w:t>23.</w:t>
      </w:r>
      <w:r w:rsidRPr="008B01C6">
        <w:tab/>
        <w:t xml:space="preserve">naglašava važnost dijaloga između Beograda i Prištine, koji je ključan kako bi Srbija i Kosovo napredovali na svojem europskom putu i koji će doprinijeti regionalnoj stabilnosti i blagostanju, kao i važnost kontinuirane provedbe </w:t>
      </w:r>
      <w:proofErr w:type="spellStart"/>
      <w:r w:rsidRPr="008B01C6">
        <w:t>Prespanskog</w:t>
      </w:r>
      <w:proofErr w:type="spellEnd"/>
      <w:r w:rsidRPr="008B01C6">
        <w:t xml:space="preserve"> sporazuma između Sjeverne Makedonije i Grčke u dobroj vjeri te Ugovora o prijateljstvu, dobrosusjedskim odnosima i suradnji između Sjeverne Makedonije i Bugarske, u skladu s pregovaračkim okvirom EU-a;</w:t>
      </w:r>
    </w:p>
    <w:p w14:paraId="5A1B1300" w14:textId="77777777" w:rsidR="001178E5" w:rsidRPr="008B01C6" w:rsidRDefault="001178E5" w:rsidP="001178E5">
      <w:pPr>
        <w:pStyle w:val="NormalHanging12a"/>
      </w:pPr>
      <w:r w:rsidRPr="008B01C6">
        <w:t>24.</w:t>
      </w:r>
      <w:r w:rsidRPr="008B01C6">
        <w:tab/>
        <w:t>ponavlja svoje stajalište o važnosti otvaranja i objavljivanja ratnih i komunističkih povijesnih arhiva kako bi se dodatno omogućilo traženje istine i pomirenje te ojačalo demokratsko upravljanje; ističe važnost potpune provedbe domaćih i međunarodnih sudskih presuda i poštovanja međunarodnih obveza u pogledu ratnih zločina i nestalih osoba, kao i rješavanja problema veličanja ratnih zločinaca i povijesnog revizionizma;</w:t>
      </w:r>
    </w:p>
    <w:p w14:paraId="5BB4DFB5" w14:textId="77777777" w:rsidR="001178E5" w:rsidRPr="008B01C6" w:rsidRDefault="001178E5" w:rsidP="001178E5">
      <w:pPr>
        <w:pStyle w:val="NormalHanging12a"/>
      </w:pPr>
      <w:r w:rsidRPr="008B01C6">
        <w:t>25.</w:t>
      </w:r>
      <w:r w:rsidRPr="008B01C6">
        <w:tab/>
        <w:t>naglašava da pristup koji se temelji na zaslugama može uključivati zamrzavanje ili poništavanje pristupnih pregovora u slučaju nazadovanja u području temeljnih vrijednosti, pri čemu se pregovori nastavljaju tek nakon što se postigne dostatan napredak u reformama; ističe da se zemlje koje ostvaruju slabe rezultate u području demokratskog upravljanja moraju suočiti s posljedicama kako bi se osiguralo da je proces pristupanja i dalje istinski temeljen na zaslugama; ponavlja da EU mora proaktivno podupirati demokratske stupove u zemljama kandidatkinjama kako bi se ojačali stabilnost i dinamika reformi;</w:t>
      </w:r>
    </w:p>
    <w:p w14:paraId="44F7147F" w14:textId="77777777" w:rsidR="001178E5" w:rsidRPr="008B01C6" w:rsidRDefault="001178E5" w:rsidP="001178E5">
      <w:pPr>
        <w:pStyle w:val="NormalHanging12a"/>
      </w:pPr>
      <w:r w:rsidRPr="008B01C6">
        <w:t>26.</w:t>
      </w:r>
      <w:r w:rsidRPr="008B01C6">
        <w:tab/>
        <w:t>poziva na temeljitu evaluaciju politike proširenja, koja bi obuhvaćala i sadržaj i suštinu, kako bi se procijenilo zašto su neke zemlje proširenja ostvarile tako ograničen napredak, posebno u području vladavine prava, ljudskih prava i demokracije; poziva na evaluaciju postignutog napretka ne samo na zakonodavnoj razini nego i u pogledu provedbe;</w:t>
      </w:r>
    </w:p>
    <w:p w14:paraId="55DA1BA2" w14:textId="77777777" w:rsidR="001178E5" w:rsidRPr="008B01C6" w:rsidRDefault="001178E5" w:rsidP="001178E5">
      <w:pPr>
        <w:pStyle w:val="NormalHanging12a"/>
      </w:pPr>
      <w:r w:rsidRPr="008B01C6">
        <w:t>27.</w:t>
      </w:r>
      <w:r w:rsidRPr="008B01C6">
        <w:tab/>
        <w:t>poziva Komisiju da uspostavi skupinu za praćenje provedbe reformi u okviru skupine poglavlja o temeljnim pitanjima, u kojima su brzi napredak ili nazadovanje često najvidljiviji i mogu znatno utjecati na vjerodostojnost i održivost procesa pristupanja;</w:t>
      </w:r>
    </w:p>
    <w:p w14:paraId="2B630B57" w14:textId="77777777" w:rsidR="001178E5" w:rsidRPr="008B01C6" w:rsidRDefault="001178E5" w:rsidP="001178E5">
      <w:pPr>
        <w:pStyle w:val="NormalHanging12a"/>
      </w:pPr>
      <w:r w:rsidRPr="008B01C6">
        <w:t>28.</w:t>
      </w:r>
      <w:r w:rsidRPr="008B01C6">
        <w:tab/>
        <w:t>uviđa da su veliki nedostaci u prethodno dovršenim procesima proširenja omogućili nazadovanje demokracije nakon pristupanja EU-u, čime se potkopava vjerodostojnost politike proširenja EU-a; napominje da bi u zemljama kandidatkinjama u kojima nije ostvaren dostatan napredak prema članstvu u EU-u Unija trebala povećati svoju pomoć proeuropskim demokratskim akterima u civilnom društvu koji se zalažu za reforme i europske vrijednosti;</w:t>
      </w:r>
    </w:p>
    <w:p w14:paraId="11B6DB41" w14:textId="77777777" w:rsidR="001178E5" w:rsidRPr="008B01C6" w:rsidRDefault="001178E5" w:rsidP="001178E5">
      <w:pPr>
        <w:pStyle w:val="NormalHanging12a"/>
      </w:pPr>
      <w:r w:rsidRPr="008B01C6">
        <w:t>29.</w:t>
      </w:r>
      <w:r w:rsidRPr="008B01C6">
        <w:tab/>
        <w:t>poziva delegacije EU-a na terenu da dosljedno primjenjuju vjerodostojni pristup koji se temelji na zaslugama u čijem je središtu poštovanje vladavine prava i zaštita ljudskih prava;</w:t>
      </w:r>
    </w:p>
    <w:p w14:paraId="2F060D81" w14:textId="77777777" w:rsidR="001178E5" w:rsidRPr="008B01C6" w:rsidRDefault="001178E5" w:rsidP="00210D34">
      <w:pPr>
        <w:pStyle w:val="NormalHanging12a"/>
        <w:ind w:left="0" w:firstLine="0"/>
        <w:rPr>
          <w:b/>
          <w:i/>
        </w:rPr>
      </w:pPr>
      <w:r w:rsidRPr="008B01C6">
        <w:rPr>
          <w:b/>
          <w:i/>
        </w:rPr>
        <w:t>Osiguravanje djelotvornog funkcioniranja proširene Unije</w:t>
      </w:r>
    </w:p>
    <w:p w14:paraId="1640CCE1" w14:textId="77777777" w:rsidR="001178E5" w:rsidRPr="008B01C6" w:rsidRDefault="001178E5" w:rsidP="001178E5">
      <w:pPr>
        <w:pStyle w:val="NormalHanging12a"/>
      </w:pPr>
      <w:r w:rsidRPr="008B01C6">
        <w:t>30.</w:t>
      </w:r>
      <w:r w:rsidRPr="008B01C6">
        <w:tab/>
        <w:t>smatra da bi se proces pripreme za proširenje trebao odvijati usporedno i unutar EU-a i u zemljama proširenja, čime bi se zaštitilo učinkovito funkcioniranje proširene Unije;</w:t>
      </w:r>
    </w:p>
    <w:p w14:paraId="4F00A45C" w14:textId="77777777" w:rsidR="001178E5" w:rsidRPr="008B01C6" w:rsidRDefault="001178E5" w:rsidP="001178E5">
      <w:pPr>
        <w:pStyle w:val="NormalHanging12a"/>
      </w:pPr>
      <w:r w:rsidRPr="008B01C6">
        <w:t>31.</w:t>
      </w:r>
      <w:r w:rsidRPr="008B01C6">
        <w:tab/>
        <w:t xml:space="preserve">ponavlja svoj poziv institucijama EU-a i državama članicama na provedbu potrebnih </w:t>
      </w:r>
      <w:r w:rsidRPr="008B01C6">
        <w:lastRenderedPageBreak/>
        <w:t>reformi kako bi se ojačao EU i povećala strateška autonomija Europe te istodobno zajamčilo da izostanak takvih reformi ne odgađa pristupanje novih država članica;</w:t>
      </w:r>
    </w:p>
    <w:p w14:paraId="66AE4858" w14:textId="77777777" w:rsidR="001178E5" w:rsidRPr="008B01C6" w:rsidRDefault="001178E5" w:rsidP="001178E5">
      <w:pPr>
        <w:pStyle w:val="Normal12Hanging"/>
        <w:rPr>
          <w:lang w:val="hr-HR"/>
        </w:rPr>
      </w:pPr>
      <w:r w:rsidRPr="008B01C6">
        <w:rPr>
          <w:lang w:val="hr-HR"/>
        </w:rPr>
        <w:t>32.</w:t>
      </w:r>
      <w:r w:rsidRPr="008B01C6">
        <w:rPr>
          <w:lang w:val="hr-HR"/>
        </w:rPr>
        <w:tab/>
        <w:t>ponovno poziva na jačanje sposobnosti EU-a za djelovanje, i to uvođenjem glasovanja kvalificiranom većinom u područjima relevantnima za proces pristupanja, u prvom redu ukidanjem uvjeta jednoglasnosti u međukoracima procesa proširenja pri odlučivanju o otvaranju i zatvaranju pojedinačnih pregovaračkih klastera i poglavlja; izražava žaljenje zbog toga što je prekomjerna upotreba jednoglasnosti u međukoracima procesa proširenja u više navrata usporila proširenje EU-a i što potkopava potporu javnosti integraciji u EU;</w:t>
      </w:r>
    </w:p>
    <w:p w14:paraId="541DB68D" w14:textId="6AD2B335" w:rsidR="001178E5" w:rsidRPr="008B01C6" w:rsidRDefault="009227A7" w:rsidP="001178E5">
      <w:pPr>
        <w:pStyle w:val="NormalHanging12a"/>
      </w:pPr>
      <w:r>
        <w:t>33</w:t>
      </w:r>
      <w:r w:rsidR="001178E5" w:rsidRPr="008B01C6">
        <w:t>.</w:t>
      </w:r>
      <w:r w:rsidR="001178E5" w:rsidRPr="008B01C6">
        <w:tab/>
        <w:t>smatra da treba revidirati sektorske politike EU-a da bi se procijenilo kako prihvatiti nove države članice i osigurati učinkovito funkcioniranje proširene Unije; pozdravlja predstojeća preispitivanja politika prije proširenja kao ključan korak u pripremi Unije za nove članice;</w:t>
      </w:r>
    </w:p>
    <w:p w14:paraId="12F11624" w14:textId="3031E533" w:rsidR="001178E5" w:rsidRPr="008B01C6" w:rsidRDefault="009227A7" w:rsidP="001178E5">
      <w:pPr>
        <w:pStyle w:val="NormalHanging12a"/>
      </w:pPr>
      <w:r>
        <w:t>34</w:t>
      </w:r>
      <w:r w:rsidR="001178E5" w:rsidRPr="008B01C6">
        <w:t>.</w:t>
      </w:r>
      <w:r w:rsidR="001178E5" w:rsidRPr="008B01C6">
        <w:tab/>
        <w:t>naglašava da proces proširenja ima znatan potencijal za konvergenciju u nekoliko ključnih područja, kao što su gospodarstvo, zaštita okoliša i sigurnost, što su pokazali prethodni krugovi proširenja; pozdravlja rane učinke konvergencije potaknute europskom perspektivom; naglašava da kohezijska politika i zajednička poljoprivredna politika imaju središnju ulogu u promicanju konvergencije među državama članicama EU-a i da bi ih trebalo zaštititi za proširenu Uniju;</w:t>
      </w:r>
    </w:p>
    <w:p w14:paraId="45EB3187" w14:textId="0532B391" w:rsidR="001178E5" w:rsidRPr="008B01C6" w:rsidRDefault="009227A7" w:rsidP="001178E5">
      <w:pPr>
        <w:pStyle w:val="NormalHanging12a"/>
      </w:pPr>
      <w:r>
        <w:t>35</w:t>
      </w:r>
      <w:r w:rsidR="001178E5" w:rsidRPr="008B01C6">
        <w:t>.</w:t>
      </w:r>
      <w:r w:rsidR="001178E5" w:rsidRPr="008B01C6">
        <w:tab/>
        <w:t>prepoznaje važnost široke primjene postupne integracije, na reverzibilan način i na temelju zasluga, u zajedničke politike EU-a, kao što je jedinstveno tržište, uključujući jedinstveno digitalno tržište, kada je riječ o zemljama kandidatkinjama koje ostvare znatan napredak u reformama povezanima s EU-om, uz potpuno očuvanje integriteta unutarnjeg tržišta EU-a i jednakih uvjeta tržišnog natjecanja; naglašava da postupna integracija zemalja kandidatkinja, iako im može pomoći u provedbi pravne stečevine EU-a i time olakšati prelazak na članstvo u EU-u, ne može zamijeniti punopravno članstvo u EU-u; ističe da bi buduće države članice trebale imati jednaka prava i obveze kao i sadašnje države članice te se snažno protivi stvaranju različitih klasa članstva;</w:t>
      </w:r>
    </w:p>
    <w:p w14:paraId="6AD7E8B3" w14:textId="051F7395" w:rsidR="001178E5" w:rsidRPr="008B01C6" w:rsidRDefault="009227A7" w:rsidP="001178E5">
      <w:pPr>
        <w:pStyle w:val="NormalHanging12a"/>
      </w:pPr>
      <w:r>
        <w:t>36</w:t>
      </w:r>
      <w:r w:rsidR="001178E5" w:rsidRPr="008B01C6">
        <w:t>.</w:t>
      </w:r>
      <w:r w:rsidR="001178E5" w:rsidRPr="008B01C6">
        <w:tab/>
        <w:t>ističe da je liberalizacija viznog režima najuspješniji i najbolje prihvaćen ishod postupne integracije; podržava nova pravila kojima bi se omogućila obustava liberalizacije viznog režima za državljane zemalja proširenja koje su odgovorne za nazadovanje u pogledu demokracije i teška kršenja ljudskih prava, uključujući progon mirnih prosvjednika, civilnog društva, medijskih djelatnika i oporbenih političara te nasilje nad njima;</w:t>
      </w:r>
    </w:p>
    <w:p w14:paraId="78070100" w14:textId="22A1CD8F" w:rsidR="001178E5" w:rsidRPr="008B01C6" w:rsidRDefault="009227A7" w:rsidP="001178E5">
      <w:pPr>
        <w:pStyle w:val="NormalHanging12a"/>
      </w:pPr>
      <w:r>
        <w:t>37</w:t>
      </w:r>
      <w:r w:rsidR="001178E5" w:rsidRPr="008B01C6">
        <w:t>.</w:t>
      </w:r>
      <w:r w:rsidR="001178E5" w:rsidRPr="008B01C6">
        <w:tab/>
        <w:t>naglašava da bi zemljama kandidatkinjama trebale biti dostupne mogućnosti postupne integracije u skladu s pristupom koji se temelji na zaslugama i uvjetovanosti; ističe da je ključno osigurati reverzibilnost postupne integracije u slučajevima kada zemlja kandidatkinja nazaduje u ispunjavanju obveza;</w:t>
      </w:r>
    </w:p>
    <w:p w14:paraId="3FBE6572" w14:textId="3457A3CB" w:rsidR="001178E5" w:rsidRPr="008B01C6" w:rsidRDefault="009227A7" w:rsidP="001178E5">
      <w:pPr>
        <w:pStyle w:val="NormalHanging12a"/>
      </w:pPr>
      <w:r>
        <w:t>38</w:t>
      </w:r>
      <w:r w:rsidR="001178E5" w:rsidRPr="008B01C6">
        <w:t>.</w:t>
      </w:r>
      <w:r w:rsidR="001178E5" w:rsidRPr="008B01C6">
        <w:tab/>
        <w:t>ponavlja da bi se proces proširenja trebao poduprijeti uključivanjem zemalja kandidatkinja u funkcioniranje institucija EU-a, među ostalim u vidu statusa promatrača u relevantnim tijelima i institucijama, uključujući Parlament i Agenciju EU-a za temeljna prava;</w:t>
      </w:r>
    </w:p>
    <w:p w14:paraId="0646976A" w14:textId="2133691B" w:rsidR="001178E5" w:rsidRPr="008B01C6" w:rsidRDefault="009227A7" w:rsidP="001178E5">
      <w:pPr>
        <w:pStyle w:val="NormalHanging12a"/>
      </w:pPr>
      <w:r>
        <w:t>39</w:t>
      </w:r>
      <w:r w:rsidR="001178E5" w:rsidRPr="008B01C6">
        <w:t>.</w:t>
      </w:r>
      <w:r w:rsidR="001178E5" w:rsidRPr="008B01C6">
        <w:tab/>
        <w:t xml:space="preserve">naglašava važnost poticanja javne osviještenosti u europskim društvima o proširenju EU-a i ulozi koju će ono imati u otpornosti europske integracije na buduće promjene; </w:t>
      </w:r>
      <w:r w:rsidR="001178E5" w:rsidRPr="008B01C6">
        <w:lastRenderedPageBreak/>
        <w:t>ističe da će uspješan proces proširenja znatno ovisiti o jasnoj i transparentnoj komunikacijskoj strategiji;</w:t>
      </w:r>
    </w:p>
    <w:p w14:paraId="5D2B7E8B" w14:textId="77777777" w:rsidR="001178E5" w:rsidRPr="008B01C6" w:rsidRDefault="001178E5" w:rsidP="00210D34">
      <w:pPr>
        <w:pStyle w:val="Normal12Hanging"/>
        <w:ind w:left="0" w:firstLine="0"/>
        <w:rPr>
          <w:b/>
          <w:bCs/>
          <w:i/>
          <w:iCs/>
          <w:lang w:val="hr-HR"/>
        </w:rPr>
      </w:pPr>
      <w:r w:rsidRPr="008B01C6">
        <w:rPr>
          <w:b/>
          <w:i/>
          <w:lang w:val="hr-HR"/>
        </w:rPr>
        <w:t>Potpora zemljama proširenja na njihovu putu prema članstvu u EU-u</w:t>
      </w:r>
    </w:p>
    <w:p w14:paraId="68A28DCF" w14:textId="4C53F9CA" w:rsidR="001178E5" w:rsidRPr="008B01C6" w:rsidRDefault="009227A7" w:rsidP="001178E5">
      <w:pPr>
        <w:pStyle w:val="NormalHanging12a"/>
      </w:pPr>
      <w:r>
        <w:t>40</w:t>
      </w:r>
      <w:r w:rsidR="001178E5" w:rsidRPr="008B01C6">
        <w:t>.</w:t>
      </w:r>
      <w:r w:rsidR="001178E5" w:rsidRPr="008B01C6">
        <w:tab/>
        <w:t>ističe da bi, osim utvrđivanja pojedinačnih ciljeva reformi, planova i prijelaznih rokova za svaku zemlju pristupnicu, EU trebao povećati transparentnost procesa i utvrditi jasne i predvidljive rokove za pristupanje zemalja kandidatkinja koje su ostvarile najveći napredak na svom putu pristupanja kako ne bi došlo do usporavanja procesa i gubitka vjerodostojnosti; smatra da bi do proširenja EU-a trebalo doći čim se u dotičnim zemljama kandidatkinjama ispune svi uvjeti za pristupanje;</w:t>
      </w:r>
    </w:p>
    <w:p w14:paraId="3F272CF2" w14:textId="4CA29113" w:rsidR="001178E5" w:rsidRPr="008B01C6" w:rsidRDefault="009227A7" w:rsidP="001178E5">
      <w:pPr>
        <w:pStyle w:val="NormalHanging12a"/>
      </w:pPr>
      <w:r>
        <w:t>41</w:t>
      </w:r>
      <w:r w:rsidR="001178E5" w:rsidRPr="008B01C6">
        <w:t>.</w:t>
      </w:r>
      <w:r w:rsidR="001178E5" w:rsidRPr="008B01C6">
        <w:tab/>
        <w:t xml:space="preserve">naglašava da se ključne reforme koje utječu na funkcioniranje i neovisnost institucija ne smiju požurivati ni politički </w:t>
      </w:r>
      <w:proofErr w:type="spellStart"/>
      <w:r w:rsidR="001178E5" w:rsidRPr="008B01C6">
        <w:t>instrumentalizirati</w:t>
      </w:r>
      <w:proofErr w:type="spellEnd"/>
      <w:r w:rsidR="001178E5" w:rsidRPr="008B01C6">
        <w:t>, posebno u zemljama kandidatkinjama sa složenom ustavnom strukturom; ističe da ubrzani postupci ili pritisak kako bi se ispunili politički rokovi ne smiju biti nauštrb pravne kvalitete i institucionalnog integriteta reformi;</w:t>
      </w:r>
    </w:p>
    <w:p w14:paraId="5CF40539" w14:textId="13A465D0" w:rsidR="001178E5" w:rsidRPr="008B01C6" w:rsidRDefault="009227A7" w:rsidP="001178E5">
      <w:pPr>
        <w:pStyle w:val="NormalHanging12a"/>
      </w:pPr>
      <w:r>
        <w:t>42</w:t>
      </w:r>
      <w:r w:rsidR="001178E5" w:rsidRPr="008B01C6">
        <w:t>.</w:t>
      </w:r>
      <w:r w:rsidR="001178E5" w:rsidRPr="008B01C6">
        <w:tab/>
        <w:t xml:space="preserve">smatra da je pretpristupna financijska pomoć, uključujući instrumente za zapadni Balkan, Ukrajinu i </w:t>
      </w:r>
      <w:proofErr w:type="spellStart"/>
      <w:r w:rsidR="001178E5" w:rsidRPr="008B01C6">
        <w:t>Moldovu</w:t>
      </w:r>
      <w:proofErr w:type="spellEnd"/>
      <w:r w:rsidR="001178E5" w:rsidRPr="008B01C6">
        <w:t>, od presudne važnosti da se osigura da zemlje proširenja dobiju strukturiranu financijsku potporu koja im je potrebna za institucijsku i gospodarsku preobrazbu; ističe da sva financijska pomoć EU-a mora poštovati i održavati uvjetovanost pretpristupne potpore, među ostalim u pogledu vladavine prava i borbe protiv korupcije, kako bi se zaštitili financijski interesi EU-a i građana obiju strana; napominje da je potrebno prilagoditi načine provedbe Instrumenta pretpristupne pomoći kako bi se olakšao proces pripreme i učenja potreban za upotrebu strukturnih fondova;</w:t>
      </w:r>
    </w:p>
    <w:p w14:paraId="18793639" w14:textId="24E2A339" w:rsidR="001178E5" w:rsidRPr="008B01C6" w:rsidRDefault="009227A7" w:rsidP="001178E5">
      <w:pPr>
        <w:pStyle w:val="NormalHanging12a"/>
      </w:pPr>
      <w:r>
        <w:t>43</w:t>
      </w:r>
      <w:r w:rsidR="001178E5" w:rsidRPr="008B01C6">
        <w:t>.</w:t>
      </w:r>
      <w:r w:rsidR="001178E5" w:rsidRPr="008B01C6">
        <w:tab/>
        <w:t>ističe da su za proširenje potrebne financijske reforme kako bi se, među ostalim, odgovorilo na izazove u kohezijskoj i poljoprivrednoj politici te kako bi se osigurao kontinuirani kapacitet proračuna EU-a za provedbu postojećih programa i političkih prioriteta;</w:t>
      </w:r>
    </w:p>
    <w:p w14:paraId="7D21EC5D" w14:textId="259C8033" w:rsidR="001178E5" w:rsidRPr="008B01C6" w:rsidRDefault="009227A7" w:rsidP="001178E5">
      <w:pPr>
        <w:pStyle w:val="NormalHanging12a"/>
      </w:pPr>
      <w:r>
        <w:t>44</w:t>
      </w:r>
      <w:r w:rsidR="001178E5" w:rsidRPr="008B01C6">
        <w:t>.</w:t>
      </w:r>
      <w:r w:rsidR="001178E5" w:rsidRPr="008B01C6">
        <w:tab/>
        <w:t xml:space="preserve">napominje da se u prijedlogu Komisije za </w:t>
      </w:r>
      <w:r w:rsidR="00E84F9F">
        <w:t>višegodišnji financijski okvir (</w:t>
      </w:r>
      <w:r w:rsidR="001178E5" w:rsidRPr="008B01C6">
        <w:t>VFO</w:t>
      </w:r>
      <w:r w:rsidR="00E84F9F">
        <w:t>)</w:t>
      </w:r>
      <w:r w:rsidR="001178E5" w:rsidRPr="008B01C6">
        <w:t xml:space="preserve"> za razdoblje 2028. – 2034. proširenje jasno navodi kao jedan od strateških prioriteta EU-a; ističe da je proširenje središnji stup instrumenta Globalna Europa i da predstavlja 21 % (odnosno 43,1 milijardu EUR) njegova predloženog proračuna te obuhvaća sve sadašnje i potencijalne zemlje kandidatkinje, kao i partnere u istočnom susjedstvu, i pruža ciljano financiranje pretpristupne pomoći, institucijsko jačanje i unutarnje pripreme EU-a za buduća pristupanja;</w:t>
      </w:r>
    </w:p>
    <w:p w14:paraId="1975ACD0" w14:textId="7FEEEABB" w:rsidR="001178E5" w:rsidRPr="008B01C6" w:rsidRDefault="009227A7" w:rsidP="001178E5">
      <w:pPr>
        <w:pStyle w:val="NormalHanging12a"/>
      </w:pPr>
      <w:r>
        <w:t>45</w:t>
      </w:r>
      <w:r w:rsidR="001178E5" w:rsidRPr="008B01C6">
        <w:t>.</w:t>
      </w:r>
      <w:r w:rsidR="001178E5" w:rsidRPr="008B01C6">
        <w:tab/>
        <w:t xml:space="preserve">poziva na odgovarajuće pretpristupno financiranje u okviru novog VFO-a, prikladno za očekivano proširenje EU-a tijekom njegove primjene jer će neke zemlje kandidatkinje vjerojatno pristupiti EU-u tijekom razdoblja primjene predstojećeg VFO-a; poziva na jasnu i dosljednu dodjelu sredstava i izdvajanje pretpristupnih fondova za zemlje kandidatkinje i potencijalne kandidatkinje u stupu VFO-a „Globalna Europa” te naglašava da se oni moraju zaštititi od preusmjeravanja na druge vanjske prioritete i da bi trebali jasno odražavati prioritete u temeljnim područjima uz istodobno poboljšanje vidljivosti i transparentnosti pretpristupne pomoći; ustraje u tome da se sredstvima mora izravno podupirati vladavina prava, reforma javne uprave, socijalna i teritorijalna kohezija te osnaživanje i uključivanje lokalnih aktera civilnog društva i neovisnih medija kako bi se osigurala transparentnost, spriječila zlouporaba sredstava i održala </w:t>
      </w:r>
      <w:r w:rsidR="001178E5" w:rsidRPr="008B01C6">
        <w:lastRenderedPageBreak/>
        <w:t>odgovornost vlada korisnica prema javnosti; poziva Komisiju na dosljednu primjenu ciljane uvjetovanosti na temelju jasnih mjerila za napredak kojima se nagrađuju reforme i sankcionira nazadovanje ili trajan nedostatak napretka;</w:t>
      </w:r>
    </w:p>
    <w:p w14:paraId="5273794F" w14:textId="0BB00FB5" w:rsidR="001178E5" w:rsidRPr="008B01C6" w:rsidRDefault="009227A7" w:rsidP="001178E5">
      <w:pPr>
        <w:pStyle w:val="NormalHanging12a"/>
      </w:pPr>
      <w:r>
        <w:t>46</w:t>
      </w:r>
      <w:r w:rsidR="001178E5" w:rsidRPr="008B01C6">
        <w:t>.</w:t>
      </w:r>
      <w:r w:rsidR="001178E5" w:rsidRPr="008B01C6">
        <w:tab/>
        <w:t>ponavlja svoj poziv na uspostavu okvira za djelotvornu suradnju između Ureda europskog javnog tužitelja (EPPO) i zemalja kandidatkinja; potiče zemlje kandidatkinje i potencijalne zemlje kandidatkinje za pristupanje EU-u da brzo sklope bilateralne radne dogovore s EPPO-om kako bi se olakšala bliska suradnja i kazneni progon zlouporabe sredstava EU-a;</w:t>
      </w:r>
    </w:p>
    <w:p w14:paraId="3301AC0F" w14:textId="7C574B52" w:rsidR="001178E5" w:rsidRPr="008B01C6" w:rsidRDefault="009227A7" w:rsidP="001178E5">
      <w:pPr>
        <w:pStyle w:val="NormalHanging12a"/>
        <w:rPr>
          <w:bCs/>
          <w:iCs/>
        </w:rPr>
      </w:pPr>
      <w:r>
        <w:t>47</w:t>
      </w:r>
      <w:r w:rsidR="001178E5" w:rsidRPr="008B01C6">
        <w:t>.</w:t>
      </w:r>
      <w:r w:rsidR="001178E5" w:rsidRPr="008B01C6">
        <w:tab/>
        <w:t>naglašava potrebu za jačanjem i boljim usklađivanjem financiranja za provedbu mjera u području okoliša, klime i dobrobiti životinja, kao i potpore izgradnji kapaciteta za zemlje kandidatkinje; napominje međusektorsku prirodu i visoke troškove tih mjera i činjenicu da su one ključne za održivi razvoj, usklađivanje sa zelenim planom EU-a i zakonodavstvom o dobrobiti životinja te integraciju na unutarnje tržište;</w:t>
      </w:r>
    </w:p>
    <w:p w14:paraId="6232858D" w14:textId="3BF18E50" w:rsidR="001178E5" w:rsidRPr="008B01C6" w:rsidRDefault="009227A7" w:rsidP="001178E5">
      <w:pPr>
        <w:pStyle w:val="NormalHanging12a"/>
      </w:pPr>
      <w:r>
        <w:t>48</w:t>
      </w:r>
      <w:r w:rsidR="001178E5" w:rsidRPr="008B01C6">
        <w:t>.</w:t>
      </w:r>
      <w:r w:rsidR="001178E5" w:rsidRPr="008B01C6">
        <w:tab/>
        <w:t xml:space="preserve">ističe važnost uključivanja zemalja kandidatkinja u tekuće i buduće projekte EU-a u području </w:t>
      </w:r>
      <w:proofErr w:type="spellStart"/>
      <w:r w:rsidR="001178E5" w:rsidRPr="008B01C6">
        <w:t>povezivosti</w:t>
      </w:r>
      <w:proofErr w:type="spellEnd"/>
      <w:r w:rsidR="001178E5" w:rsidRPr="008B01C6">
        <w:t>, prometa, energetske infrastrukture, zelene tranzicije, digitalne sigurnosti, otpornosti i vojne mobilnosti Unije kako bi se u teškom geopolitičkom okruženju ojačala sigurnost Europe;</w:t>
      </w:r>
    </w:p>
    <w:p w14:paraId="473A64B7" w14:textId="3CED60EA" w:rsidR="001178E5" w:rsidRPr="008B01C6" w:rsidRDefault="009227A7" w:rsidP="001178E5">
      <w:pPr>
        <w:pStyle w:val="NormalHanging12a"/>
      </w:pPr>
      <w:r>
        <w:t>49</w:t>
      </w:r>
      <w:r w:rsidR="001178E5" w:rsidRPr="008B01C6">
        <w:t>.</w:t>
      </w:r>
      <w:r w:rsidR="001178E5" w:rsidRPr="008B01C6">
        <w:tab/>
        <w:t xml:space="preserve">naglašava stratešku važnost crnomorske regije za sigurnost i blagostanje cijelog europskog kontinenta; ističe potrebu za poboljšanjem </w:t>
      </w:r>
      <w:proofErr w:type="spellStart"/>
      <w:r w:rsidR="001178E5" w:rsidRPr="008B01C6">
        <w:t>povezivosti</w:t>
      </w:r>
      <w:proofErr w:type="spellEnd"/>
      <w:r w:rsidR="001178E5" w:rsidRPr="008B01C6">
        <w:t xml:space="preserve"> između Ukrajine, </w:t>
      </w:r>
      <w:proofErr w:type="spellStart"/>
      <w:r w:rsidR="001178E5" w:rsidRPr="008B01C6">
        <w:t>Moldove</w:t>
      </w:r>
      <w:proofErr w:type="spellEnd"/>
      <w:r w:rsidR="001178E5" w:rsidRPr="008B01C6">
        <w:t>, Rumunjske, Bugarske i Turske u području prometne, energetske i digitalne infrastrukture kako bi se ojačala regionalna otpornost, diversificirali lanci opskrbe i osigurali alternativni trgovinski pravci;</w:t>
      </w:r>
    </w:p>
    <w:p w14:paraId="263688F0" w14:textId="79ABC047" w:rsidR="001178E5" w:rsidRPr="008B01C6" w:rsidRDefault="009227A7" w:rsidP="001178E5">
      <w:pPr>
        <w:pStyle w:val="NormalHanging12a"/>
      </w:pPr>
      <w:r>
        <w:t>50</w:t>
      </w:r>
      <w:r w:rsidR="001178E5" w:rsidRPr="008B01C6">
        <w:t>.</w:t>
      </w:r>
      <w:r w:rsidR="001178E5" w:rsidRPr="008B01C6">
        <w:tab/>
        <w:t>naglašava stratešku važnost prometnih i energetskih infrastrukturnih projekata u istočnom susjedstvu EU-a i na zapadnom Balkanu za jačanje geostrateške autonomije EU-a te poziva na njihovo brzo dovršenje i potpunu operacionalizaciju;</w:t>
      </w:r>
    </w:p>
    <w:p w14:paraId="15302B78" w14:textId="4CFC6ABD" w:rsidR="001178E5" w:rsidRPr="008B01C6" w:rsidRDefault="009227A7" w:rsidP="001178E5">
      <w:pPr>
        <w:pStyle w:val="NormalHanging12a"/>
      </w:pPr>
      <w:r>
        <w:t>51</w:t>
      </w:r>
      <w:r w:rsidR="001178E5" w:rsidRPr="008B01C6">
        <w:t>.</w:t>
      </w:r>
      <w:r w:rsidR="001178E5" w:rsidRPr="008B01C6">
        <w:tab/>
        <w:t xml:space="preserve">zabrinut je zbog sve većeg utjecaja Kine u zemljama proširenja, gospodarskih i političkih ovisnosti koje proizlaze iz kineskih programa financijske pomoći i znatnih ulaganja u ključne sektore kao što su energetika, telekomunikacije, infrastruktura te </w:t>
      </w:r>
      <w:proofErr w:type="spellStart"/>
      <w:r w:rsidR="001178E5" w:rsidRPr="008B01C6">
        <w:t>ekstraktivni</w:t>
      </w:r>
      <w:proofErr w:type="spellEnd"/>
      <w:r w:rsidR="001178E5" w:rsidRPr="008B01C6">
        <w:t xml:space="preserve"> sektor i sektor sirovina, kao i dugoročnih posljedica za demokratsku otpornost, gospodarsku sigurnost i europske interese; poziva na snažniji i vidljiviji angažman EU-a, među ostalim s pomoću vjerodostojnih ulagačkih alternativa;</w:t>
      </w:r>
    </w:p>
    <w:p w14:paraId="74004A9F" w14:textId="0A97B3BF" w:rsidR="001178E5" w:rsidRPr="008B01C6" w:rsidRDefault="009227A7" w:rsidP="001178E5">
      <w:pPr>
        <w:pStyle w:val="NormalHanging12a"/>
      </w:pPr>
      <w:r>
        <w:t>52</w:t>
      </w:r>
      <w:r w:rsidR="001178E5" w:rsidRPr="008B01C6">
        <w:t>.</w:t>
      </w:r>
      <w:r w:rsidR="001178E5" w:rsidRPr="008B01C6">
        <w:tab/>
        <w:t>pozdravlja konkretne rezultate za građane koji su ostvareni smanjenjem naknada za roaming između EU-a i zapadnog Balkana; poziva Komisiju da ubrza napore za proširenje takvih dogovora o roamingu na sve zemlje proširenja kako bi se što prije postigao „roaming kao kod kuće” i jedinstveno područje plaćanja u eurima za sve zemlje kandidatkinje i potencijalne zemlje kandidatkinje;</w:t>
      </w:r>
    </w:p>
    <w:p w14:paraId="4A3BA029" w14:textId="78D76D1E" w:rsidR="001178E5" w:rsidRPr="008B01C6" w:rsidRDefault="009227A7" w:rsidP="001178E5">
      <w:pPr>
        <w:pStyle w:val="NormalHanging12a"/>
      </w:pPr>
      <w:r>
        <w:t>53</w:t>
      </w:r>
      <w:r w:rsidR="001178E5" w:rsidRPr="008B01C6">
        <w:t>.</w:t>
      </w:r>
      <w:r w:rsidR="001178E5" w:rsidRPr="008B01C6">
        <w:tab/>
        <w:t>poziva da se veći naglasak stavi na ulaganja u ljudski kapital kako bi se potaknule konkurentnost i inovacije u zemljama kandidatkinjama i pronašla konkretna rješenja za problem nezaposlenosti mladih;</w:t>
      </w:r>
    </w:p>
    <w:p w14:paraId="6C7C1C09" w14:textId="7B8203B8" w:rsidR="001178E5" w:rsidRPr="008B01C6" w:rsidRDefault="009227A7" w:rsidP="001178E5">
      <w:pPr>
        <w:pStyle w:val="NormalHanging12a"/>
      </w:pPr>
      <w:r>
        <w:t>54</w:t>
      </w:r>
      <w:r w:rsidR="001178E5" w:rsidRPr="008B01C6">
        <w:t>.</w:t>
      </w:r>
      <w:r w:rsidR="001178E5" w:rsidRPr="008B01C6">
        <w:tab/>
        <w:t xml:space="preserve">ponavlja svoj poziv Vijeću, Komisiji i Europskoj službi za vanjsko djelovanje (ESVD) da u zemljama proširenja i unutar država članica ulože veće proaktivne i strateške komunikacijske napore kada je riječ o konkretnim koristima od članstva u EU-u, što će postići razvojem prilagođenih, na činjenicama i rezultatima utemeljenih </w:t>
      </w:r>
      <w:r w:rsidR="001178E5" w:rsidRPr="008B01C6">
        <w:lastRenderedPageBreak/>
        <w:t xml:space="preserve">komunikacijskih strategija koje podupiru ciljeve EU-a i uključuju lokalno civilno društvo i medije, a ne oslanjanjem na generičke komunikacijske kampanje; u tom kontekstu ističe ključnu ulogu mladih jer su se pokreti mladih u više navrata pokazali presudnima u doprinošenju prodemokratskom aktivizmu u zemljama kandidatkinjama; nadalje, ponavlja svoj poziv Komisiji da osigura punu vidljivost i javnu osviještenost o ulaganjima EU-a u zemlje kandidatkinje i potpori koju im on pruža, među ostalim i posredstvom međunarodnih organizacija, uz jasno obilježavanje i isticanje zastave EU-a; ustraje u tome da, iako su Sjedinjene Američke Države prestale podupirati neovisne medije i civilno društvo u zemljama kandidatkinjama, EU ima snažan interes da u tom pogledu brzo djeluje; naglašava da će potpora građana biti odlučujuća u postupcima ratifikacije te da stoga komunikacija mora apelirati i na razum i na osjećaje; potiče institucije EU-a da potiču </w:t>
      </w:r>
      <w:proofErr w:type="spellStart"/>
      <w:r w:rsidR="001178E5" w:rsidRPr="008B01C6">
        <w:t>uključive</w:t>
      </w:r>
      <w:proofErr w:type="spellEnd"/>
      <w:r w:rsidR="001178E5" w:rsidRPr="008B01C6">
        <w:t xml:space="preserve"> javne rasprave o proširenju te da uključe širu javnost u konstruktivnu raspravu i omoguće njihovo učinkovito sudjelovanje u tom procesu; naglašava važnost većeg sudjelovanja građana na lokalnoj razini u procesu proširenja i u državama članicama EU-a i u zemljama pristupnicama;</w:t>
      </w:r>
    </w:p>
    <w:p w14:paraId="704C689F" w14:textId="45D5925E" w:rsidR="001178E5" w:rsidRPr="008B01C6" w:rsidRDefault="009227A7" w:rsidP="001178E5">
      <w:pPr>
        <w:pStyle w:val="NormalHanging12a"/>
      </w:pPr>
      <w:r>
        <w:t>55</w:t>
      </w:r>
      <w:r w:rsidR="001178E5" w:rsidRPr="008B01C6">
        <w:t>.</w:t>
      </w:r>
      <w:r w:rsidR="001178E5" w:rsidRPr="008B01C6">
        <w:tab/>
        <w:t>naglašava ključnu ulogu vlasti i političkih vođa u zemljama proširenja u izgradnji međustranačke suradnje u pogledu reformi za pristupanje EU-u, održavanju međudruštvenog konsenzusa o članstvu u EU-u i učinkovitom i stalnom informiranju građana o prednostima pristupanja EU-u; ističe ključnu ulogu organizacija civilnog društva u promicanju javnog diskursa utemeljenog na činjenicama o integraciji u EU, borbi protiv dezinformacija i omogućivanju informirane javne rasprave; poziva Komisiju i države članice da sustavno uključuju aktere civilnog društva u strateške komunikacijske napore povezane s proširenjem i reformama koje podupire EU;</w:t>
      </w:r>
    </w:p>
    <w:p w14:paraId="3E569692" w14:textId="2D5D08F9" w:rsidR="001178E5" w:rsidRPr="008B01C6" w:rsidRDefault="009227A7" w:rsidP="001178E5">
      <w:pPr>
        <w:pStyle w:val="NormalHanging12a"/>
      </w:pPr>
      <w:r>
        <w:t>56</w:t>
      </w:r>
      <w:r w:rsidR="001178E5" w:rsidRPr="008B01C6">
        <w:t>.</w:t>
      </w:r>
      <w:r w:rsidR="001178E5" w:rsidRPr="008B01C6">
        <w:tab/>
        <w:t>potiče Komisiju, među ostalim na najvišoj razini, da se u svojoj javnoj komunikaciji koristi jasnijim i izravnijim jezikom, među ostalim i kad je riječ o nedostacima, nepostizanju napretka i nazadovanju, posebno u području vladavine prava, kako bi se poštovala uvjetovanost, branile vrijednosti Unije i održalo povjerenje među proeuropskim i prodemokratskim akterima;</w:t>
      </w:r>
    </w:p>
    <w:p w14:paraId="1ADB2DCB" w14:textId="652E16B7" w:rsidR="001178E5" w:rsidRPr="008B01C6" w:rsidRDefault="009227A7" w:rsidP="001178E5">
      <w:pPr>
        <w:pStyle w:val="NormalHanging12a"/>
      </w:pPr>
      <w:r>
        <w:t>57</w:t>
      </w:r>
      <w:r w:rsidR="001178E5" w:rsidRPr="008B01C6">
        <w:t>.</w:t>
      </w:r>
      <w:r w:rsidR="001178E5" w:rsidRPr="008B01C6">
        <w:tab/>
        <w:t>poziva institucije EU-a i države članice da se u potpunosti uključe u daljnje jačanje procesa reformi u zemljama kandidatkinjama, u prvom redu jačanjem njihovih administrativnih kapaciteta ciljanim programima namijenjenima toj svrsi; poziva na jačanje akademske i obrazovne suradnje između država članica EU-a i zemalja proširenja poticanjem tečajeva osposobljavanja usmjerenih na europske vrijednosti i vladavinu prava, dobro upravljanje, javnu upravu i iskorjenjivanje korupcije te stvaranjem prostora za zajedničko osposobljavanje javnih službenika iz zemalja kandidatkinja, uključujući one iz lokalnih i regionalnih vlasti; ističe uspjeh projekta povezivanja u prijenosu sektorskog stručnog znanja i naglašava potrebu za nastavkom rada na temelju tih pozitivnih iskustava, među ostalim kako bi se povećala odgovornost za proces proširenja u državama članicama; naglašava da bi u programima izgradnje kapaciteta prednost trebalo dati i jačanju neovisnih organizacija civilnog društva i zaštiti njihova operativnog prostora; poziva Komisiju da podrži programe kojima se osnažuju lokalne zajednice, volonteri i građanske inicijative kojima se promiču demokratska kultura, europske vrijednosti i socijalna kohezija;</w:t>
      </w:r>
    </w:p>
    <w:p w14:paraId="6578748C" w14:textId="342A57A7" w:rsidR="001178E5" w:rsidRPr="008B01C6" w:rsidRDefault="009227A7" w:rsidP="001178E5">
      <w:pPr>
        <w:pStyle w:val="NormalHanging12a"/>
      </w:pPr>
      <w:r>
        <w:t>58</w:t>
      </w:r>
      <w:r w:rsidR="001178E5" w:rsidRPr="008B01C6">
        <w:t>.</w:t>
      </w:r>
      <w:r w:rsidR="001178E5" w:rsidRPr="008B01C6">
        <w:tab/>
        <w:t xml:space="preserve">ističe ulogu parlamentarne diplomacije, odgovornosti i programa EU-a za potporu demokraciji u održavanju dinamike reformi; ponavlja svoju spremnost da unaprijedi redovit i transparentan dijalog te suradnju s nacionalnim parlamentima zemalja kandidatkinja i potencijalnih zemalja kandidatkinja, oslanjajući se na prethodna pozitivna iskustva i uspješne formate, u vidu punog iskorištavanja postojećih alata i </w:t>
      </w:r>
      <w:r w:rsidR="001178E5" w:rsidRPr="008B01C6">
        <w:lastRenderedPageBreak/>
        <w:t>inicijativa Parlamenta za potporu demokraciji te promicanja povećanog parlamentarnog nadzora nad procesom pristupanja EU-u i povezanim reformama;</w:t>
      </w:r>
    </w:p>
    <w:p w14:paraId="591C1AB7" w14:textId="57716E18" w:rsidR="001178E5" w:rsidRPr="008B01C6" w:rsidRDefault="009227A7" w:rsidP="001178E5">
      <w:pPr>
        <w:pStyle w:val="NormalHanging12a"/>
      </w:pPr>
      <w:r>
        <w:t>59</w:t>
      </w:r>
      <w:r w:rsidR="001178E5" w:rsidRPr="008B01C6">
        <w:t>.</w:t>
      </w:r>
      <w:r w:rsidR="001178E5" w:rsidRPr="008B01C6">
        <w:tab/>
        <w:t>naglašava da su potrebne izborne reforme kojima se osiguravaju slobodni, pravedni i demokratski izbori u skladu s međunarodnim standardima; naglašava da su mjerila za pluralizam, integritet stranaka, transparentnost financiranja stranaka i medija te neovisnost pravosuđa i medija preduvjeti za financijsku potporu i napredak; potiče EU i države članice da se koriste participativnim instrumentima koji uključuju građane, parlamente, civilno društvo i mlade radi razmjene mišljenja, povećanja uzajamnog razumijevanja i stvaranja osjećaja odgovornosti prije službenog pristupanja;</w:t>
      </w:r>
    </w:p>
    <w:p w14:paraId="2639C1FD" w14:textId="3599730C" w:rsidR="001178E5" w:rsidRPr="008B01C6" w:rsidRDefault="009227A7" w:rsidP="001178E5">
      <w:pPr>
        <w:pStyle w:val="NormalHanging12a"/>
      </w:pPr>
      <w:r>
        <w:t>60</w:t>
      </w:r>
      <w:r w:rsidR="001178E5" w:rsidRPr="008B01C6">
        <w:t>.</w:t>
      </w:r>
      <w:r w:rsidR="001178E5" w:rsidRPr="008B01C6">
        <w:tab/>
        <w:t>izražava zabrinutost zbog opsežnih i zlonamjernih kampanja dezinformiranja koje Rusija i drugi akteri kontinuirano provode već dugi niz godina, a čiji je intenzitet porastao nakon početka agresivnog rata Rusije protiv Ukrajine; napominje da su zemlje kandidatkinje i potencijalne kandidatkinje te susjedstvo EU-a bez sumnje glavna meta ruskih operacija inozemnog upletanja i manipuliranja informacijama, pri čemu je jedan od ciljeva diskreditirati EU i smanjiti percipiranu vrijednost integracije u EU;</w:t>
      </w:r>
    </w:p>
    <w:p w14:paraId="10D3C2C8" w14:textId="5ADF7584" w:rsidR="001178E5" w:rsidRPr="008B01C6" w:rsidRDefault="009227A7" w:rsidP="001178E5">
      <w:pPr>
        <w:pStyle w:val="NormalHanging12a"/>
      </w:pPr>
      <w:r>
        <w:t>61</w:t>
      </w:r>
      <w:r w:rsidR="001178E5" w:rsidRPr="008B01C6">
        <w:t>.</w:t>
      </w:r>
      <w:r w:rsidR="001178E5" w:rsidRPr="008B01C6">
        <w:tab/>
        <w:t xml:space="preserve">potiče na ojačani dijalog EU-a s civilnim društvom i veću potporu neovisnim istraživačkim medijima, tijelima za provjeru činjenica i organizacijama civilnog društva koje rade na medijskoj pismenosti u cilju djelotvornog suzbijanja dezinformacija te inozemnog upletanja i manipuliranja informacijama; ističe potrebu za kontinuiranom potporom i bliskom suradnjom sa svim zemljama proširenja koje se suočavaju sa snažnim vanjskim upletanjem u proces konvergencije s EU-om i njihove izborne procese; poziva na primjenu pouka izvučenih iz Misije partnerstva EU-a u </w:t>
      </w:r>
      <w:proofErr w:type="spellStart"/>
      <w:r w:rsidR="001178E5" w:rsidRPr="008B01C6">
        <w:t>Moldovi</w:t>
      </w:r>
      <w:proofErr w:type="spellEnd"/>
      <w:r w:rsidR="001178E5" w:rsidRPr="008B01C6">
        <w:t>; naglašava da je važno ocijeniti i poboljšati djelotvornost instrumenata EU-a osmišljenih za pomoć zemljama kandidatkinjama u borbi protiv inozemnog upletanja i manipuliranja informacijama; pozdravlja namjeru Komisije da predloženi Europski štit za zaštitu demokracije proširi na zemlje pristupnice, čime bi se ojačao njihov kapacitet odgovora na prijetnje, kao što su inozemno upletanje i manipuliranje informacijama te kampanje dezinformiranja; poziva Komisiju i ESVD da prodube suradnju s ranjivim zemljama proširenja u području informacijske otpornosti, kibernetičke sigurnosti i hibridnih prijetnji; poziva ESVD i delegacije EU-a u trećim zemljama da dodatno ojačaju svoje kapacitete za suzbijanje i borbu protiv dezinformacija i propagande protiv ZVSP-a EU-a, među ostalim ulaganjem u komunikacijske kampanje za borbu protiv inozemnog utjecaja;</w:t>
      </w:r>
    </w:p>
    <w:p w14:paraId="26E42B27" w14:textId="49AC20D8" w:rsidR="001178E5" w:rsidRPr="008B01C6" w:rsidRDefault="009227A7" w:rsidP="001178E5">
      <w:pPr>
        <w:pStyle w:val="NormalHanging12a"/>
      </w:pPr>
      <w:r>
        <w:t>62</w:t>
      </w:r>
      <w:r w:rsidR="001178E5" w:rsidRPr="008B01C6">
        <w:t>.</w:t>
      </w:r>
      <w:r w:rsidR="001178E5" w:rsidRPr="008B01C6">
        <w:tab/>
        <w:t xml:space="preserve">sa zabrinutošću napominje da se Rusija sve više predstavlja kao globalni branitelj „tradicionalnih vrijednosti” </w:t>
      </w:r>
      <w:proofErr w:type="spellStart"/>
      <w:r w:rsidR="001178E5" w:rsidRPr="008B01C6">
        <w:t>instrumentalizacijom</w:t>
      </w:r>
      <w:proofErr w:type="spellEnd"/>
      <w:r w:rsidR="001178E5" w:rsidRPr="008B01C6">
        <w:t xml:space="preserve"> Ruske pravoslavne crkve kao sredstva za dezinformiranje i projekcije meke moći, posebno u zemljama bivšeg Sovjetskog Saveza; ističe da su takve prakse osmišljene kako bi se ugrozile demokracija, socijalna kohezija i proeuropska orijentacija; poziva na to da se u ZVSP i politiku proširenja uključe posebne mjere za suzbijanje takvog utjecaja, uključujući vjersku diplomaciju, stratešku komunikaciju i potporu vjerskim zajednicama koje su bile žrtve sovjetskog ugnjetavanja;</w:t>
      </w:r>
    </w:p>
    <w:p w14:paraId="1A584F5C" w14:textId="77777777" w:rsidR="001178E5" w:rsidRPr="008B01C6" w:rsidRDefault="001178E5" w:rsidP="001178E5">
      <w:pPr>
        <w:pStyle w:val="Normal12Hanging"/>
        <w:jc w:val="center"/>
        <w:rPr>
          <w:szCs w:val="24"/>
          <w:lang w:val="hr-HR"/>
        </w:rPr>
      </w:pPr>
      <w:r w:rsidRPr="008B01C6">
        <w:rPr>
          <w:lang w:val="hr-HR"/>
        </w:rPr>
        <w:t>°</w:t>
      </w:r>
    </w:p>
    <w:p w14:paraId="48E94E3E" w14:textId="77777777" w:rsidR="001178E5" w:rsidRPr="008B01C6" w:rsidRDefault="001178E5" w:rsidP="001178E5">
      <w:pPr>
        <w:pStyle w:val="Normal12Hanging"/>
        <w:jc w:val="center"/>
        <w:rPr>
          <w:szCs w:val="24"/>
          <w:lang w:val="hr-HR"/>
        </w:rPr>
      </w:pPr>
      <w:r w:rsidRPr="008B01C6">
        <w:rPr>
          <w:lang w:val="hr-HR"/>
        </w:rPr>
        <w:t>°</w:t>
      </w:r>
      <w:r w:rsidRPr="008B01C6">
        <w:rPr>
          <w:lang w:val="hr-HR"/>
        </w:rPr>
        <w:tab/>
        <w:t>°</w:t>
      </w:r>
    </w:p>
    <w:p w14:paraId="396B87DA" w14:textId="6B74DAC7" w:rsidR="008B01C6" w:rsidRPr="008B01C6" w:rsidRDefault="009227A7" w:rsidP="008B01C6">
      <w:pPr>
        <w:pStyle w:val="NormalHanging12a"/>
      </w:pPr>
      <w:r>
        <w:t>63</w:t>
      </w:r>
      <w:r w:rsidR="001178E5" w:rsidRPr="008B01C6">
        <w:t>.</w:t>
      </w:r>
      <w:r w:rsidR="001178E5" w:rsidRPr="008B01C6">
        <w:tab/>
        <w:t xml:space="preserve">nalaže svojoj predsjednici da ovu Rezoluciju proslijedi Vijeću, Komisiji, potpredsjednici Komisije / visokoj predstavnici Unije za vanjske poslove i sigurnosnu </w:t>
      </w:r>
      <w:r w:rsidR="001178E5" w:rsidRPr="008B01C6">
        <w:lastRenderedPageBreak/>
        <w:t>politiku, vladama i parlamentima država članica te vladama i parlamentima zemalja proširenja.</w:t>
      </w:r>
    </w:p>
    <w:p w14:paraId="2E4E072E" w14:textId="5544881D" w:rsidR="00E365E1" w:rsidRPr="008B01C6" w:rsidRDefault="00E365E1" w:rsidP="00530AE3"/>
    <w:sectPr w:rsidR="00E365E1" w:rsidRPr="008B01C6" w:rsidSect="008B01C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853A2" w14:textId="77777777" w:rsidR="00530AE3" w:rsidRPr="008B01C6" w:rsidRDefault="00530AE3">
      <w:r w:rsidRPr="008B01C6">
        <w:separator/>
      </w:r>
    </w:p>
  </w:endnote>
  <w:endnote w:type="continuationSeparator" w:id="0">
    <w:p w14:paraId="0031A8C8" w14:textId="77777777" w:rsidR="00530AE3" w:rsidRPr="008B01C6" w:rsidRDefault="00530AE3">
      <w:r w:rsidRPr="008B01C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FA07B" w14:textId="77777777" w:rsidR="00530AE3" w:rsidRPr="008B01C6" w:rsidRDefault="00530AE3">
      <w:r w:rsidRPr="008B01C6">
        <w:separator/>
      </w:r>
    </w:p>
  </w:footnote>
  <w:footnote w:type="continuationSeparator" w:id="0">
    <w:p w14:paraId="239D1A1F" w14:textId="77777777" w:rsidR="00530AE3" w:rsidRPr="008B01C6" w:rsidRDefault="00530AE3">
      <w:r w:rsidRPr="008B01C6">
        <w:continuationSeparator/>
      </w:r>
    </w:p>
  </w:footnote>
  <w:footnote w:id="1">
    <w:p w14:paraId="6A73BD36" w14:textId="1E6F21E7" w:rsidR="001178E5" w:rsidRPr="008B01C6" w:rsidRDefault="001178E5" w:rsidP="008B01C6">
      <w:pPr>
        <w:pStyle w:val="FootnoteText"/>
        <w:ind w:left="567" w:hanging="567"/>
        <w:rPr>
          <w:sz w:val="24"/>
          <w:lang w:val="hr-HR"/>
        </w:rPr>
      </w:pPr>
      <w:r w:rsidRPr="008B01C6">
        <w:rPr>
          <w:rStyle w:val="FootnoteReference"/>
          <w:sz w:val="24"/>
          <w:lang w:val="hr-HR"/>
        </w:rPr>
        <w:footnoteRef/>
      </w:r>
      <w:r w:rsidR="008B01C6" w:rsidRPr="008B01C6">
        <w:rPr>
          <w:sz w:val="24"/>
          <w:lang w:val="hr-HR"/>
        </w:rPr>
        <w:t xml:space="preserve"> </w:t>
      </w:r>
      <w:r w:rsidR="008B01C6" w:rsidRPr="008B01C6">
        <w:rPr>
          <w:sz w:val="24"/>
          <w:lang w:val="hr-HR"/>
        </w:rPr>
        <w:tab/>
      </w:r>
      <w:r w:rsidRPr="008B01C6">
        <w:rPr>
          <w:sz w:val="24"/>
          <w:lang w:val="hr-HR"/>
        </w:rPr>
        <w:t xml:space="preserve">SL C, C/2024/4173, 2.8.2024., ELI: </w:t>
      </w:r>
      <w:hyperlink r:id="rId1" w:history="1">
        <w:r w:rsidRPr="008B01C6">
          <w:rPr>
            <w:rStyle w:val="Hyperlink"/>
            <w:sz w:val="24"/>
            <w:lang w:val="hr-HR"/>
          </w:rPr>
          <w:t>http://data.europa.eu/eli/C/2024/4173/oj</w:t>
        </w:r>
      </w:hyperlink>
      <w:r w:rsidRPr="008B01C6">
        <w:rPr>
          <w:sz w:val="24"/>
          <w:lang w:val="hr-HR"/>
        </w:rPr>
        <w:t xml:space="preserve">. </w:t>
      </w:r>
    </w:p>
  </w:footnote>
  <w:footnote w:id="2">
    <w:p w14:paraId="752EABFD" w14:textId="1457432E" w:rsidR="001178E5" w:rsidRPr="008B01C6" w:rsidRDefault="001178E5" w:rsidP="008B01C6">
      <w:pPr>
        <w:pStyle w:val="FootnoteText"/>
        <w:ind w:left="567" w:hanging="567"/>
        <w:rPr>
          <w:sz w:val="24"/>
          <w:lang w:val="hr-HR"/>
        </w:rPr>
      </w:pPr>
      <w:r w:rsidRPr="008B01C6">
        <w:rPr>
          <w:rStyle w:val="FootnoteReference"/>
          <w:sz w:val="24"/>
          <w:lang w:val="hr-HR"/>
        </w:rPr>
        <w:footnoteRef/>
      </w:r>
      <w:r w:rsidR="008B01C6" w:rsidRPr="008B01C6">
        <w:rPr>
          <w:sz w:val="24"/>
          <w:lang w:val="hr-HR"/>
        </w:rPr>
        <w:t xml:space="preserve"> </w:t>
      </w:r>
      <w:r w:rsidR="008B01C6" w:rsidRPr="008B01C6">
        <w:rPr>
          <w:sz w:val="24"/>
          <w:lang w:val="hr-HR"/>
        </w:rPr>
        <w:tab/>
      </w:r>
      <w:r w:rsidRPr="008B01C6">
        <w:rPr>
          <w:sz w:val="24"/>
          <w:lang w:val="hr-HR"/>
        </w:rPr>
        <w:t>SL L 107, 28.4.2009., str. </w:t>
      </w:r>
      <w:r w:rsidRPr="008B01C6">
        <w:rPr>
          <w:sz w:val="24"/>
          <w:lang w:val="hr-HR"/>
        </w:rPr>
        <w:t xml:space="preserve">166., ELI: </w:t>
      </w:r>
      <w:hyperlink r:id="rId2" w:history="1">
        <w:r w:rsidRPr="008B01C6">
          <w:rPr>
            <w:rStyle w:val="Hyperlink"/>
            <w:sz w:val="24"/>
            <w:lang w:val="hr-HR"/>
          </w:rPr>
          <w:t>http://data.europa.eu/eli/agree_internation/2009/332/oj</w:t>
        </w:r>
      </w:hyperlink>
      <w:r w:rsidRPr="008B01C6">
        <w:rPr>
          <w:sz w:val="24"/>
          <w:lang w:val="hr-HR"/>
        </w:rPr>
        <w:t xml:space="preserve">. </w:t>
      </w:r>
    </w:p>
  </w:footnote>
  <w:footnote w:id="3">
    <w:p w14:paraId="1A88EDEB" w14:textId="3E439903" w:rsidR="001178E5" w:rsidRPr="008B01C6" w:rsidRDefault="001178E5" w:rsidP="008B01C6">
      <w:pPr>
        <w:pStyle w:val="FootnoteText"/>
        <w:ind w:left="567" w:hanging="567"/>
        <w:rPr>
          <w:sz w:val="24"/>
          <w:lang w:val="hr-HR"/>
        </w:rPr>
      </w:pPr>
      <w:r w:rsidRPr="008B01C6">
        <w:rPr>
          <w:rStyle w:val="FootnoteReference"/>
          <w:sz w:val="24"/>
          <w:lang w:val="hr-HR"/>
        </w:rPr>
        <w:footnoteRef/>
      </w:r>
      <w:r w:rsidR="008B01C6" w:rsidRPr="008B01C6">
        <w:rPr>
          <w:sz w:val="24"/>
          <w:lang w:val="hr-HR"/>
        </w:rPr>
        <w:t xml:space="preserve"> </w:t>
      </w:r>
      <w:r w:rsidR="008B01C6" w:rsidRPr="008B01C6">
        <w:rPr>
          <w:sz w:val="24"/>
          <w:lang w:val="hr-HR"/>
        </w:rPr>
        <w:tab/>
      </w:r>
      <w:r w:rsidRPr="008B01C6">
        <w:rPr>
          <w:sz w:val="24"/>
          <w:lang w:val="hr-HR"/>
        </w:rPr>
        <w:t>SL L 164, 30.6.2015., str. </w:t>
      </w:r>
      <w:r w:rsidRPr="008B01C6">
        <w:rPr>
          <w:sz w:val="24"/>
          <w:lang w:val="hr-HR"/>
        </w:rPr>
        <w:t xml:space="preserve">2., ELI: </w:t>
      </w:r>
      <w:hyperlink r:id="rId3" w:history="1">
        <w:r w:rsidRPr="008B01C6">
          <w:rPr>
            <w:rStyle w:val="Hyperlink"/>
            <w:sz w:val="24"/>
            <w:lang w:val="hr-HR"/>
          </w:rPr>
          <w:t>http://data.europa.eu/eli/agree_internation/2015/997/oj</w:t>
        </w:r>
      </w:hyperlink>
      <w:r w:rsidRPr="008B01C6">
        <w:rPr>
          <w:sz w:val="24"/>
          <w:lang w:val="hr-HR"/>
        </w:rPr>
        <w:t xml:space="preserve">. </w:t>
      </w:r>
    </w:p>
  </w:footnote>
  <w:footnote w:id="4">
    <w:p w14:paraId="121BFE28" w14:textId="594CC508" w:rsidR="001178E5" w:rsidRPr="008B01C6" w:rsidRDefault="001178E5" w:rsidP="008B01C6">
      <w:pPr>
        <w:pStyle w:val="FootnoteText"/>
        <w:ind w:left="567" w:hanging="567"/>
        <w:rPr>
          <w:sz w:val="24"/>
          <w:lang w:val="hr-HR"/>
        </w:rPr>
      </w:pPr>
      <w:r w:rsidRPr="008B01C6">
        <w:rPr>
          <w:rStyle w:val="FootnoteReference"/>
          <w:sz w:val="24"/>
          <w:lang w:val="hr-HR"/>
        </w:rPr>
        <w:footnoteRef/>
      </w:r>
      <w:r w:rsidR="008B01C6" w:rsidRPr="008B01C6">
        <w:rPr>
          <w:sz w:val="24"/>
          <w:lang w:val="hr-HR"/>
        </w:rPr>
        <w:t xml:space="preserve"> </w:t>
      </w:r>
      <w:r w:rsidR="008B01C6" w:rsidRPr="008B01C6">
        <w:rPr>
          <w:sz w:val="24"/>
          <w:lang w:val="hr-HR"/>
        </w:rPr>
        <w:tab/>
      </w:r>
      <w:r w:rsidRPr="008B01C6">
        <w:rPr>
          <w:sz w:val="24"/>
          <w:lang w:val="hr-HR"/>
        </w:rPr>
        <w:t xml:space="preserve">SL L 261, 30.8.2014., str. </w:t>
      </w:r>
      <w:r w:rsidRPr="008B01C6">
        <w:rPr>
          <w:sz w:val="24"/>
          <w:lang w:val="hr-HR"/>
        </w:rPr>
        <w:t xml:space="preserve">4., ELI: </w:t>
      </w:r>
      <w:hyperlink r:id="rId4" w:history="1">
        <w:r w:rsidRPr="008B01C6">
          <w:rPr>
            <w:rStyle w:val="Hyperlink"/>
            <w:sz w:val="24"/>
            <w:lang w:val="hr-HR"/>
          </w:rPr>
          <w:t>http://data.europa.eu/eli/agree_internation/2014/494/oj</w:t>
        </w:r>
      </w:hyperlink>
      <w:r w:rsidRPr="008B01C6">
        <w:rPr>
          <w:sz w:val="24"/>
          <w:lang w:val="hr-HR"/>
        </w:rPr>
        <w:t xml:space="preserve">. </w:t>
      </w:r>
    </w:p>
  </w:footnote>
  <w:footnote w:id="5">
    <w:p w14:paraId="56F1F755" w14:textId="4A05C298" w:rsidR="001178E5" w:rsidRPr="008B01C6" w:rsidRDefault="001178E5" w:rsidP="008B01C6">
      <w:pPr>
        <w:pStyle w:val="FootnoteText"/>
        <w:ind w:left="567" w:hanging="567"/>
        <w:rPr>
          <w:sz w:val="24"/>
          <w:lang w:val="hr-HR"/>
        </w:rPr>
      </w:pPr>
      <w:r w:rsidRPr="008B01C6">
        <w:rPr>
          <w:rStyle w:val="FootnoteReference"/>
          <w:sz w:val="24"/>
          <w:lang w:val="hr-HR"/>
        </w:rPr>
        <w:footnoteRef/>
      </w:r>
      <w:r w:rsidR="008B01C6" w:rsidRPr="008B01C6">
        <w:rPr>
          <w:sz w:val="24"/>
          <w:lang w:val="hr-HR"/>
        </w:rPr>
        <w:t xml:space="preserve"> </w:t>
      </w:r>
      <w:r w:rsidR="008B01C6" w:rsidRPr="008B01C6">
        <w:rPr>
          <w:sz w:val="24"/>
          <w:lang w:val="hr-HR"/>
        </w:rPr>
        <w:tab/>
      </w:r>
      <w:r w:rsidRPr="008B01C6">
        <w:rPr>
          <w:sz w:val="24"/>
          <w:lang w:val="hr-HR"/>
        </w:rPr>
        <w:t>SL L 71, 16.3.2016., str. </w:t>
      </w:r>
      <w:r w:rsidRPr="008B01C6">
        <w:rPr>
          <w:sz w:val="24"/>
          <w:lang w:val="hr-HR"/>
        </w:rPr>
        <w:t xml:space="preserve">3., ELI: </w:t>
      </w:r>
      <w:hyperlink r:id="rId5" w:history="1">
        <w:r w:rsidRPr="008B01C6">
          <w:rPr>
            <w:rStyle w:val="Hyperlink"/>
            <w:sz w:val="24"/>
            <w:lang w:val="hr-HR"/>
          </w:rPr>
          <w:t>http://data.europa.eu/eli/agree_internation/2016/342/oj</w:t>
        </w:r>
      </w:hyperlink>
      <w:r w:rsidRPr="008B01C6">
        <w:rPr>
          <w:sz w:val="24"/>
          <w:lang w:val="hr-HR"/>
        </w:rPr>
        <w:t xml:space="preserve">. </w:t>
      </w:r>
    </w:p>
  </w:footnote>
  <w:footnote w:id="6">
    <w:p w14:paraId="1BAA5791" w14:textId="5E18DAF2" w:rsidR="001178E5" w:rsidRPr="008B01C6" w:rsidRDefault="001178E5" w:rsidP="008B01C6">
      <w:pPr>
        <w:pStyle w:val="FootnoteText"/>
        <w:ind w:left="567" w:hanging="567"/>
        <w:rPr>
          <w:sz w:val="24"/>
          <w:lang w:val="hr-HR"/>
        </w:rPr>
      </w:pPr>
      <w:r w:rsidRPr="008B01C6">
        <w:rPr>
          <w:rStyle w:val="FootnoteReference"/>
          <w:sz w:val="24"/>
          <w:lang w:val="hr-HR"/>
        </w:rPr>
        <w:footnoteRef/>
      </w:r>
      <w:r w:rsidR="008B01C6" w:rsidRPr="008B01C6">
        <w:rPr>
          <w:sz w:val="24"/>
          <w:lang w:val="hr-HR"/>
        </w:rPr>
        <w:t xml:space="preserve"> </w:t>
      </w:r>
      <w:r w:rsidR="008B01C6" w:rsidRPr="008B01C6">
        <w:rPr>
          <w:sz w:val="24"/>
          <w:lang w:val="hr-HR"/>
        </w:rPr>
        <w:tab/>
      </w:r>
      <w:r w:rsidRPr="008B01C6">
        <w:rPr>
          <w:sz w:val="24"/>
          <w:lang w:val="hr-HR"/>
        </w:rPr>
        <w:t xml:space="preserve">SL L 260, 30.8.2014., str. </w:t>
      </w:r>
      <w:r w:rsidRPr="008B01C6">
        <w:rPr>
          <w:sz w:val="24"/>
          <w:lang w:val="hr-HR"/>
        </w:rPr>
        <w:t xml:space="preserve">4., ELI: </w:t>
      </w:r>
      <w:hyperlink r:id="rId6" w:history="1">
        <w:r w:rsidRPr="008B01C6">
          <w:rPr>
            <w:rStyle w:val="Hyperlink"/>
            <w:sz w:val="24"/>
            <w:lang w:val="hr-HR"/>
          </w:rPr>
          <w:t>http://data.europa.eu/eli/agree_internation/2014/492/oj</w:t>
        </w:r>
      </w:hyperlink>
      <w:r w:rsidRPr="008B01C6">
        <w:rPr>
          <w:sz w:val="24"/>
          <w:lang w:val="hr-HR"/>
        </w:rPr>
        <w:t xml:space="preserve">. </w:t>
      </w:r>
    </w:p>
  </w:footnote>
  <w:footnote w:id="7">
    <w:p w14:paraId="70EE076D" w14:textId="2ABE0301" w:rsidR="001178E5" w:rsidRPr="008B01C6" w:rsidRDefault="001178E5" w:rsidP="008B01C6">
      <w:pPr>
        <w:pStyle w:val="FootnoteText"/>
        <w:ind w:left="567" w:hanging="567"/>
        <w:rPr>
          <w:sz w:val="24"/>
          <w:lang w:val="hr-HR"/>
        </w:rPr>
      </w:pPr>
      <w:r w:rsidRPr="008B01C6">
        <w:rPr>
          <w:rStyle w:val="FootnoteReference"/>
          <w:sz w:val="24"/>
          <w:lang w:val="hr-HR"/>
        </w:rPr>
        <w:footnoteRef/>
      </w:r>
      <w:r w:rsidR="008B01C6" w:rsidRPr="008B01C6">
        <w:rPr>
          <w:sz w:val="24"/>
          <w:lang w:val="hr-HR"/>
        </w:rPr>
        <w:t xml:space="preserve"> </w:t>
      </w:r>
      <w:r w:rsidR="008B01C6" w:rsidRPr="008B01C6">
        <w:rPr>
          <w:sz w:val="24"/>
          <w:lang w:val="hr-HR"/>
        </w:rPr>
        <w:tab/>
      </w:r>
      <w:r w:rsidRPr="008B01C6">
        <w:rPr>
          <w:sz w:val="24"/>
          <w:lang w:val="hr-HR"/>
        </w:rPr>
        <w:t>SL L 108, 29.4.2010., str. </w:t>
      </w:r>
      <w:r w:rsidRPr="008B01C6">
        <w:rPr>
          <w:sz w:val="24"/>
          <w:lang w:val="hr-HR"/>
        </w:rPr>
        <w:t xml:space="preserve">3., ELI: </w:t>
      </w:r>
      <w:hyperlink r:id="rId7" w:history="1">
        <w:r w:rsidRPr="008B01C6">
          <w:rPr>
            <w:rStyle w:val="Hyperlink"/>
            <w:sz w:val="24"/>
            <w:lang w:val="hr-HR"/>
          </w:rPr>
          <w:t>http://data.europa.eu/eli/agree_internation/2010/224/oj</w:t>
        </w:r>
      </w:hyperlink>
      <w:r w:rsidRPr="008B01C6">
        <w:rPr>
          <w:sz w:val="24"/>
          <w:lang w:val="hr-HR"/>
        </w:rPr>
        <w:t xml:space="preserve">. </w:t>
      </w:r>
    </w:p>
  </w:footnote>
  <w:footnote w:id="8">
    <w:p w14:paraId="769FD1D0" w14:textId="10DA0571" w:rsidR="001178E5" w:rsidRPr="008B01C6" w:rsidRDefault="001178E5" w:rsidP="008B01C6">
      <w:pPr>
        <w:pStyle w:val="FootnoteText"/>
        <w:ind w:left="567" w:hanging="567"/>
        <w:rPr>
          <w:sz w:val="24"/>
          <w:lang w:val="hr-HR"/>
        </w:rPr>
      </w:pPr>
      <w:r w:rsidRPr="008B01C6">
        <w:rPr>
          <w:rStyle w:val="FootnoteReference"/>
          <w:sz w:val="24"/>
          <w:lang w:val="hr-HR"/>
        </w:rPr>
        <w:footnoteRef/>
      </w:r>
      <w:r w:rsidR="008B01C6" w:rsidRPr="008B01C6">
        <w:rPr>
          <w:sz w:val="24"/>
          <w:lang w:val="hr-HR"/>
        </w:rPr>
        <w:t xml:space="preserve"> </w:t>
      </w:r>
      <w:r w:rsidR="008B01C6" w:rsidRPr="008B01C6">
        <w:rPr>
          <w:sz w:val="24"/>
          <w:lang w:val="hr-HR"/>
        </w:rPr>
        <w:tab/>
      </w:r>
      <w:r w:rsidRPr="008B01C6">
        <w:rPr>
          <w:sz w:val="24"/>
          <w:lang w:val="hr-HR"/>
        </w:rPr>
        <w:t xml:space="preserve">SL L 84, </w:t>
      </w:r>
      <w:r w:rsidR="0036370B">
        <w:rPr>
          <w:sz w:val="24"/>
          <w:lang w:val="hr-HR"/>
        </w:rPr>
        <w:t xml:space="preserve">20.3.2004., </w:t>
      </w:r>
      <w:r w:rsidRPr="008B01C6">
        <w:rPr>
          <w:sz w:val="24"/>
          <w:lang w:val="hr-HR"/>
        </w:rPr>
        <w:t>str. </w:t>
      </w:r>
      <w:r w:rsidRPr="008B01C6">
        <w:rPr>
          <w:sz w:val="24"/>
          <w:lang w:val="hr-HR"/>
        </w:rPr>
        <w:t xml:space="preserve">13., ELI: </w:t>
      </w:r>
      <w:hyperlink r:id="rId8" w:history="1">
        <w:r w:rsidRPr="008B01C6">
          <w:rPr>
            <w:rStyle w:val="Hyperlink"/>
            <w:sz w:val="24"/>
            <w:lang w:val="hr-HR"/>
          </w:rPr>
          <w:t>http://data.europa.eu/eli/agree_internation/2004/239(2)/oj</w:t>
        </w:r>
      </w:hyperlink>
      <w:r w:rsidRPr="008B01C6">
        <w:rPr>
          <w:sz w:val="24"/>
          <w:lang w:val="hr-HR"/>
        </w:rPr>
        <w:t xml:space="preserve">. </w:t>
      </w:r>
    </w:p>
  </w:footnote>
  <w:footnote w:id="9">
    <w:p w14:paraId="6C410415" w14:textId="16D20BA3" w:rsidR="001178E5" w:rsidRPr="008B01C6" w:rsidRDefault="001178E5" w:rsidP="008B01C6">
      <w:pPr>
        <w:pStyle w:val="FootnoteText"/>
        <w:ind w:left="567" w:hanging="567"/>
        <w:rPr>
          <w:sz w:val="24"/>
          <w:lang w:val="hr-HR"/>
        </w:rPr>
      </w:pPr>
      <w:r w:rsidRPr="008B01C6">
        <w:rPr>
          <w:rStyle w:val="FootnoteReference"/>
          <w:sz w:val="24"/>
          <w:lang w:val="hr-HR"/>
        </w:rPr>
        <w:footnoteRef/>
      </w:r>
      <w:r w:rsidR="008B01C6" w:rsidRPr="008B01C6">
        <w:rPr>
          <w:sz w:val="24"/>
          <w:lang w:val="hr-HR"/>
        </w:rPr>
        <w:t xml:space="preserve"> </w:t>
      </w:r>
      <w:r w:rsidR="008B01C6" w:rsidRPr="008B01C6">
        <w:rPr>
          <w:sz w:val="24"/>
          <w:lang w:val="hr-HR"/>
        </w:rPr>
        <w:tab/>
      </w:r>
      <w:r w:rsidRPr="008B01C6">
        <w:rPr>
          <w:sz w:val="24"/>
          <w:lang w:val="hr-HR"/>
        </w:rPr>
        <w:t>SL L 278, 18.10.2013., str. </w:t>
      </w:r>
      <w:r w:rsidRPr="008B01C6">
        <w:rPr>
          <w:sz w:val="24"/>
          <w:lang w:val="hr-HR"/>
        </w:rPr>
        <w:t xml:space="preserve">16., ELI: </w:t>
      </w:r>
      <w:hyperlink r:id="rId9" w:history="1">
        <w:r w:rsidRPr="008B01C6">
          <w:rPr>
            <w:rStyle w:val="Hyperlink"/>
            <w:sz w:val="24"/>
            <w:lang w:val="hr-HR"/>
          </w:rPr>
          <w:t>http://data.europa.eu/eli/agree_internation/2013/490/oj</w:t>
        </w:r>
      </w:hyperlink>
      <w:r w:rsidRPr="008B01C6">
        <w:rPr>
          <w:sz w:val="24"/>
          <w:lang w:val="hr-HR"/>
        </w:rPr>
        <w:t xml:space="preserve">. </w:t>
      </w:r>
    </w:p>
  </w:footnote>
  <w:footnote w:id="10">
    <w:p w14:paraId="15468CA6" w14:textId="302DAFC7" w:rsidR="001178E5" w:rsidRPr="008B01C6" w:rsidRDefault="001178E5" w:rsidP="008B01C6">
      <w:pPr>
        <w:pStyle w:val="FootnoteText"/>
        <w:ind w:left="567" w:hanging="567"/>
        <w:rPr>
          <w:sz w:val="24"/>
          <w:lang w:val="hr-HR"/>
        </w:rPr>
      </w:pPr>
      <w:r w:rsidRPr="008B01C6">
        <w:rPr>
          <w:rStyle w:val="FootnoteReference"/>
          <w:sz w:val="24"/>
          <w:lang w:val="hr-HR"/>
        </w:rPr>
        <w:footnoteRef/>
      </w:r>
      <w:r w:rsidR="008B01C6" w:rsidRPr="008B01C6">
        <w:rPr>
          <w:sz w:val="24"/>
          <w:lang w:val="hr-HR"/>
        </w:rPr>
        <w:t xml:space="preserve"> </w:t>
      </w:r>
      <w:r w:rsidR="008B01C6" w:rsidRPr="008B01C6">
        <w:rPr>
          <w:sz w:val="24"/>
          <w:lang w:val="hr-HR"/>
        </w:rPr>
        <w:tab/>
      </w:r>
      <w:r w:rsidRPr="008B01C6">
        <w:rPr>
          <w:sz w:val="24"/>
          <w:lang w:val="hr-HR"/>
        </w:rPr>
        <w:t xml:space="preserve">SL L 361, 31.12.1977., str. </w:t>
      </w:r>
      <w:r w:rsidRPr="008B01C6">
        <w:rPr>
          <w:sz w:val="24"/>
          <w:lang w:val="hr-HR"/>
        </w:rPr>
        <w:t xml:space="preserve">29., ELI: </w:t>
      </w:r>
      <w:hyperlink r:id="rId10" w:history="1">
        <w:r w:rsidRPr="008B01C6">
          <w:rPr>
            <w:rStyle w:val="Hyperlink"/>
            <w:sz w:val="24"/>
            <w:lang w:val="hr-HR"/>
          </w:rPr>
          <w:t>http://data.europa.eu/eli/agree_internation/1964/732/oj</w:t>
        </w:r>
      </w:hyperlink>
      <w:r w:rsidRPr="008B01C6">
        <w:rPr>
          <w:sz w:val="24"/>
          <w:lang w:val="hr-HR"/>
        </w:rPr>
        <w:t xml:space="preserve">. </w:t>
      </w:r>
    </w:p>
  </w:footnote>
  <w:footnote w:id="11">
    <w:p w14:paraId="4E8E68E3" w14:textId="6ECCC5C7" w:rsidR="001178E5" w:rsidRPr="008B01C6" w:rsidRDefault="001178E5" w:rsidP="008B01C6">
      <w:pPr>
        <w:pStyle w:val="FootnoteText"/>
        <w:ind w:left="567" w:hanging="567"/>
        <w:rPr>
          <w:sz w:val="24"/>
          <w:lang w:val="hr-HR"/>
        </w:rPr>
      </w:pPr>
      <w:r w:rsidRPr="008B01C6">
        <w:rPr>
          <w:rStyle w:val="FootnoteReference"/>
          <w:sz w:val="24"/>
          <w:lang w:val="hr-HR"/>
        </w:rPr>
        <w:footnoteRef/>
      </w:r>
      <w:r w:rsidR="008B01C6" w:rsidRPr="008B01C6">
        <w:rPr>
          <w:sz w:val="24"/>
          <w:lang w:val="hr-HR"/>
        </w:rPr>
        <w:t xml:space="preserve"> </w:t>
      </w:r>
      <w:r w:rsidR="008B01C6" w:rsidRPr="008B01C6">
        <w:rPr>
          <w:sz w:val="24"/>
          <w:lang w:val="hr-HR"/>
        </w:rPr>
        <w:tab/>
      </w:r>
      <w:r w:rsidRPr="008B01C6">
        <w:rPr>
          <w:sz w:val="24"/>
          <w:lang w:val="hr-HR"/>
        </w:rPr>
        <w:t xml:space="preserve">SL L 161, 29.5.2014., str. </w:t>
      </w:r>
      <w:r w:rsidRPr="008B01C6">
        <w:rPr>
          <w:sz w:val="24"/>
          <w:lang w:val="hr-HR"/>
        </w:rPr>
        <w:t xml:space="preserve">3., ELI: </w:t>
      </w:r>
      <w:hyperlink r:id="rId11" w:history="1">
        <w:r w:rsidRPr="008B01C6">
          <w:rPr>
            <w:rStyle w:val="Hyperlink"/>
            <w:sz w:val="24"/>
            <w:lang w:val="hr-HR"/>
          </w:rPr>
          <w:t>http://data.europa.eu/eli/agree_internation/2014/295/oj</w:t>
        </w:r>
      </w:hyperlink>
      <w:r w:rsidRPr="008B01C6">
        <w:rPr>
          <w:sz w:val="24"/>
          <w:lang w:val="hr-HR"/>
        </w:rPr>
        <w:t xml:space="preserve">. </w:t>
      </w:r>
    </w:p>
  </w:footnote>
  <w:footnote w:id="12">
    <w:p w14:paraId="485AA93A" w14:textId="7BE992B1" w:rsidR="001178E5" w:rsidRPr="008B01C6" w:rsidRDefault="001178E5" w:rsidP="008B01C6">
      <w:pPr>
        <w:pStyle w:val="FootnoteText"/>
        <w:ind w:left="567" w:hanging="567"/>
        <w:rPr>
          <w:sz w:val="24"/>
          <w:lang w:val="hr-HR"/>
        </w:rPr>
      </w:pPr>
      <w:r w:rsidRPr="008B01C6">
        <w:rPr>
          <w:rStyle w:val="FootnoteReference"/>
          <w:sz w:val="24"/>
          <w:lang w:val="hr-HR"/>
        </w:rPr>
        <w:footnoteRef/>
      </w:r>
      <w:r w:rsidR="008B01C6" w:rsidRPr="008B01C6">
        <w:rPr>
          <w:sz w:val="24"/>
          <w:lang w:val="hr-HR"/>
        </w:rPr>
        <w:t xml:space="preserve"> </w:t>
      </w:r>
      <w:r w:rsidR="008B01C6" w:rsidRPr="008B01C6">
        <w:rPr>
          <w:sz w:val="24"/>
          <w:lang w:val="hr-HR"/>
        </w:rPr>
        <w:tab/>
      </w:r>
      <w:r w:rsidRPr="008B01C6">
        <w:rPr>
          <w:sz w:val="24"/>
          <w:lang w:val="hr-HR"/>
        </w:rPr>
        <w:t xml:space="preserve">Usvojeni tekstovi, P10_TA(2025)0094. </w:t>
      </w:r>
    </w:p>
  </w:footnote>
  <w:footnote w:id="13">
    <w:p w14:paraId="591AEAF6" w14:textId="7DAD6C21" w:rsidR="001178E5" w:rsidRPr="008B01C6" w:rsidRDefault="001178E5" w:rsidP="008B01C6">
      <w:pPr>
        <w:pStyle w:val="FootnoteText"/>
        <w:ind w:left="567" w:hanging="567"/>
        <w:rPr>
          <w:sz w:val="24"/>
          <w:lang w:val="hr-HR"/>
        </w:rPr>
      </w:pPr>
      <w:r w:rsidRPr="008B01C6">
        <w:rPr>
          <w:rStyle w:val="FootnoteReference"/>
          <w:sz w:val="24"/>
          <w:lang w:val="hr-HR"/>
        </w:rPr>
        <w:footnoteRef/>
      </w:r>
      <w:r w:rsidR="008B01C6" w:rsidRPr="008B01C6">
        <w:rPr>
          <w:sz w:val="24"/>
          <w:lang w:val="hr-HR"/>
        </w:rPr>
        <w:t xml:space="preserve"> </w:t>
      </w:r>
      <w:r w:rsidR="008B01C6" w:rsidRPr="008B01C6">
        <w:rPr>
          <w:sz w:val="24"/>
          <w:lang w:val="hr-HR"/>
        </w:rPr>
        <w:tab/>
      </w:r>
      <w:r w:rsidRPr="008B01C6">
        <w:rPr>
          <w:sz w:val="24"/>
          <w:lang w:val="hr-HR"/>
        </w:rPr>
        <w:t>Usvojeni tekstovi, P10_TA(2025)0093.</w:t>
      </w:r>
    </w:p>
  </w:footnote>
  <w:footnote w:id="14">
    <w:p w14:paraId="78B4D7D9" w14:textId="64008468" w:rsidR="001178E5" w:rsidRPr="008B01C6" w:rsidRDefault="001178E5" w:rsidP="008B01C6">
      <w:pPr>
        <w:pStyle w:val="FootnoteText"/>
        <w:ind w:left="567" w:hanging="567"/>
        <w:rPr>
          <w:sz w:val="24"/>
          <w:lang w:val="hr-HR"/>
        </w:rPr>
      </w:pPr>
      <w:r w:rsidRPr="008B01C6">
        <w:rPr>
          <w:rStyle w:val="FootnoteReference"/>
          <w:sz w:val="24"/>
          <w:lang w:val="hr-HR"/>
        </w:rPr>
        <w:footnoteRef/>
      </w:r>
      <w:r w:rsidR="008B01C6" w:rsidRPr="008B01C6">
        <w:rPr>
          <w:sz w:val="24"/>
          <w:lang w:val="hr-HR"/>
        </w:rPr>
        <w:t xml:space="preserve"> </w:t>
      </w:r>
      <w:r w:rsidR="008B01C6" w:rsidRPr="008B01C6">
        <w:rPr>
          <w:sz w:val="24"/>
          <w:lang w:val="hr-HR"/>
        </w:rPr>
        <w:tab/>
      </w:r>
      <w:r w:rsidRPr="008B01C6">
        <w:rPr>
          <w:sz w:val="24"/>
          <w:lang w:val="hr-HR"/>
        </w:rPr>
        <w:t>Usvojeni tekstovi, P10_TA(2025)0155.</w:t>
      </w:r>
    </w:p>
  </w:footnote>
  <w:footnote w:id="15">
    <w:p w14:paraId="4CC9A308" w14:textId="10AEB24E" w:rsidR="001178E5" w:rsidRPr="008B01C6" w:rsidRDefault="001178E5" w:rsidP="008B01C6">
      <w:pPr>
        <w:pStyle w:val="FootnoteText"/>
        <w:ind w:left="567" w:hanging="567"/>
        <w:rPr>
          <w:sz w:val="24"/>
          <w:lang w:val="hr-HR"/>
        </w:rPr>
      </w:pPr>
      <w:r w:rsidRPr="008B01C6">
        <w:rPr>
          <w:rStyle w:val="FootnoteReference"/>
          <w:sz w:val="24"/>
          <w:lang w:val="hr-HR"/>
        </w:rPr>
        <w:footnoteRef/>
      </w:r>
      <w:r w:rsidR="008B01C6" w:rsidRPr="008B01C6">
        <w:rPr>
          <w:sz w:val="24"/>
          <w:lang w:val="hr-HR"/>
        </w:rPr>
        <w:t xml:space="preserve"> </w:t>
      </w:r>
      <w:r w:rsidR="008B01C6" w:rsidRPr="008B01C6">
        <w:rPr>
          <w:sz w:val="24"/>
          <w:lang w:val="hr-HR"/>
        </w:rPr>
        <w:tab/>
      </w:r>
      <w:r w:rsidRPr="008B01C6">
        <w:rPr>
          <w:sz w:val="24"/>
          <w:lang w:val="hr-HR"/>
        </w:rPr>
        <w:t>Usvojeni tekstovi, P10_TA(2025)0156.</w:t>
      </w:r>
    </w:p>
  </w:footnote>
  <w:footnote w:id="16">
    <w:p w14:paraId="6E8045D7" w14:textId="716217D7" w:rsidR="001178E5" w:rsidRPr="008B01C6" w:rsidRDefault="001178E5" w:rsidP="008B01C6">
      <w:pPr>
        <w:pStyle w:val="FootnoteText"/>
        <w:ind w:left="567" w:hanging="567"/>
        <w:rPr>
          <w:sz w:val="24"/>
          <w:lang w:val="hr-HR"/>
        </w:rPr>
      </w:pPr>
      <w:r w:rsidRPr="008B01C6">
        <w:rPr>
          <w:rStyle w:val="FootnoteReference"/>
          <w:sz w:val="24"/>
          <w:lang w:val="hr-HR"/>
        </w:rPr>
        <w:footnoteRef/>
      </w:r>
      <w:r w:rsidR="008B01C6" w:rsidRPr="008B01C6">
        <w:rPr>
          <w:sz w:val="24"/>
          <w:lang w:val="hr-HR"/>
        </w:rPr>
        <w:t xml:space="preserve"> </w:t>
      </w:r>
      <w:r w:rsidR="008B01C6" w:rsidRPr="008B01C6">
        <w:rPr>
          <w:sz w:val="24"/>
          <w:lang w:val="hr-HR"/>
        </w:rPr>
        <w:tab/>
      </w:r>
      <w:r w:rsidRPr="008B01C6">
        <w:rPr>
          <w:sz w:val="24"/>
          <w:lang w:val="hr-HR"/>
        </w:rPr>
        <w:t>Usvojeni tekstovi, P10_TA(2025)0157.</w:t>
      </w:r>
    </w:p>
  </w:footnote>
  <w:footnote w:id="17">
    <w:p w14:paraId="4A044470" w14:textId="484E4C9E" w:rsidR="001178E5" w:rsidRPr="008B01C6" w:rsidRDefault="001178E5" w:rsidP="008B01C6">
      <w:pPr>
        <w:pStyle w:val="FootnoteText"/>
        <w:ind w:left="567" w:hanging="567"/>
        <w:rPr>
          <w:sz w:val="24"/>
          <w:lang w:val="hr-HR"/>
        </w:rPr>
      </w:pPr>
      <w:r w:rsidRPr="008B01C6">
        <w:rPr>
          <w:rStyle w:val="FootnoteReference"/>
          <w:sz w:val="24"/>
          <w:lang w:val="hr-HR"/>
        </w:rPr>
        <w:footnoteRef/>
      </w:r>
      <w:r w:rsidR="008B01C6" w:rsidRPr="008B01C6">
        <w:rPr>
          <w:sz w:val="24"/>
          <w:lang w:val="hr-HR"/>
        </w:rPr>
        <w:t xml:space="preserve"> </w:t>
      </w:r>
      <w:r w:rsidR="008B01C6" w:rsidRPr="008B01C6">
        <w:rPr>
          <w:sz w:val="24"/>
          <w:lang w:val="hr-HR"/>
        </w:rPr>
        <w:tab/>
      </w:r>
      <w:r w:rsidRPr="008B01C6">
        <w:rPr>
          <w:sz w:val="24"/>
          <w:lang w:val="hr-HR"/>
        </w:rPr>
        <w:t>Usvojeni tekstovi, P10_TA(2025)0130.</w:t>
      </w:r>
    </w:p>
  </w:footnote>
  <w:footnote w:id="18">
    <w:p w14:paraId="20C255EE" w14:textId="2DFA2A4E" w:rsidR="001178E5" w:rsidRPr="008B01C6" w:rsidRDefault="001178E5" w:rsidP="008B01C6">
      <w:pPr>
        <w:pStyle w:val="FootnoteText"/>
        <w:ind w:left="567" w:hanging="567"/>
        <w:rPr>
          <w:sz w:val="24"/>
          <w:lang w:val="hr-HR"/>
        </w:rPr>
      </w:pPr>
      <w:r w:rsidRPr="008B01C6">
        <w:rPr>
          <w:rStyle w:val="FootnoteReference"/>
          <w:sz w:val="24"/>
          <w:lang w:val="hr-HR"/>
        </w:rPr>
        <w:footnoteRef/>
      </w:r>
      <w:r w:rsidR="008B01C6" w:rsidRPr="008B01C6">
        <w:rPr>
          <w:sz w:val="24"/>
          <w:lang w:val="hr-HR"/>
        </w:rPr>
        <w:t xml:space="preserve"> </w:t>
      </w:r>
      <w:r w:rsidR="008B01C6" w:rsidRPr="008B01C6">
        <w:rPr>
          <w:sz w:val="24"/>
          <w:lang w:val="hr-HR"/>
        </w:rPr>
        <w:tab/>
      </w:r>
      <w:r w:rsidRPr="008B01C6">
        <w:rPr>
          <w:sz w:val="24"/>
          <w:lang w:val="hr-HR"/>
        </w:rPr>
        <w:t>Usvojeni tekstovi, P10_TA(2025)0175.</w:t>
      </w:r>
    </w:p>
  </w:footnote>
  <w:footnote w:id="19">
    <w:p w14:paraId="5A674BC0" w14:textId="33ED19CD" w:rsidR="001178E5" w:rsidRPr="008B01C6" w:rsidRDefault="001178E5" w:rsidP="008B01C6">
      <w:pPr>
        <w:pStyle w:val="FootnoteText"/>
        <w:ind w:left="567" w:hanging="567"/>
        <w:rPr>
          <w:sz w:val="24"/>
          <w:lang w:val="hr-HR"/>
        </w:rPr>
      </w:pPr>
      <w:r w:rsidRPr="008B01C6">
        <w:rPr>
          <w:rStyle w:val="FootnoteReference"/>
          <w:sz w:val="24"/>
          <w:lang w:val="hr-HR"/>
        </w:rPr>
        <w:footnoteRef/>
      </w:r>
      <w:r w:rsidR="008B01C6" w:rsidRPr="008B01C6">
        <w:rPr>
          <w:sz w:val="24"/>
          <w:lang w:val="hr-HR"/>
        </w:rPr>
        <w:t xml:space="preserve"> </w:t>
      </w:r>
      <w:r w:rsidR="008B01C6" w:rsidRPr="008B01C6">
        <w:rPr>
          <w:sz w:val="24"/>
          <w:lang w:val="hr-HR"/>
        </w:rPr>
        <w:tab/>
      </w:r>
      <w:r w:rsidRPr="008B01C6">
        <w:rPr>
          <w:sz w:val="24"/>
          <w:lang w:val="hr-HR"/>
        </w:rPr>
        <w:t>Usvojeni tekstovi, P10_TA(2025)0131.</w:t>
      </w:r>
    </w:p>
  </w:footnote>
  <w:footnote w:id="20">
    <w:p w14:paraId="47D1D8BF" w14:textId="694D78B3" w:rsidR="001178E5" w:rsidRPr="008B01C6" w:rsidRDefault="001178E5" w:rsidP="008B01C6">
      <w:pPr>
        <w:pStyle w:val="FootnoteText"/>
        <w:ind w:left="567" w:hanging="567"/>
        <w:rPr>
          <w:sz w:val="24"/>
          <w:lang w:val="hr-HR"/>
        </w:rPr>
      </w:pPr>
      <w:r w:rsidRPr="008B01C6">
        <w:rPr>
          <w:rStyle w:val="FootnoteReference"/>
          <w:sz w:val="24"/>
          <w:lang w:val="hr-HR"/>
        </w:rPr>
        <w:footnoteRef/>
      </w:r>
      <w:r w:rsidR="008B01C6" w:rsidRPr="008B01C6">
        <w:rPr>
          <w:sz w:val="24"/>
          <w:lang w:val="hr-HR"/>
        </w:rPr>
        <w:t xml:space="preserve"> </w:t>
      </w:r>
      <w:r w:rsidR="008B01C6" w:rsidRPr="008B01C6">
        <w:rPr>
          <w:sz w:val="24"/>
          <w:lang w:val="hr-HR"/>
        </w:rPr>
        <w:tab/>
      </w:r>
      <w:r w:rsidRPr="008B01C6">
        <w:rPr>
          <w:sz w:val="24"/>
          <w:lang w:val="hr-HR"/>
        </w:rPr>
        <w:t>Usvojeni tekstovi, P10_TA(2025)0158.</w:t>
      </w:r>
    </w:p>
  </w:footnote>
  <w:footnote w:id="21">
    <w:p w14:paraId="5874E29D" w14:textId="444881C9" w:rsidR="001178E5" w:rsidRPr="008B01C6" w:rsidRDefault="001178E5" w:rsidP="008B01C6">
      <w:pPr>
        <w:pStyle w:val="FootnoteText"/>
        <w:ind w:left="567" w:hanging="567"/>
        <w:rPr>
          <w:sz w:val="24"/>
          <w:lang w:val="hr-HR"/>
        </w:rPr>
      </w:pPr>
      <w:r w:rsidRPr="008B01C6">
        <w:rPr>
          <w:rStyle w:val="FootnoteReference"/>
          <w:sz w:val="24"/>
          <w:lang w:val="hr-HR"/>
        </w:rPr>
        <w:footnoteRef/>
      </w:r>
      <w:r w:rsidR="008B01C6" w:rsidRPr="008B01C6">
        <w:rPr>
          <w:sz w:val="24"/>
          <w:lang w:val="hr-HR"/>
        </w:rPr>
        <w:t xml:space="preserve"> </w:t>
      </w:r>
      <w:r w:rsidR="008B01C6" w:rsidRPr="008B01C6">
        <w:rPr>
          <w:sz w:val="24"/>
          <w:lang w:val="hr-HR"/>
        </w:rPr>
        <w:tab/>
      </w:r>
      <w:r w:rsidRPr="008B01C6">
        <w:rPr>
          <w:sz w:val="24"/>
          <w:lang w:val="hr-HR"/>
        </w:rPr>
        <w:t>Usvojeni tekstovi, P10_TA(2025)0092.</w:t>
      </w:r>
    </w:p>
  </w:footnote>
  <w:footnote w:id="22">
    <w:p w14:paraId="172688F7" w14:textId="3D2EB152" w:rsidR="001178E5" w:rsidRPr="008B01C6" w:rsidRDefault="001178E5" w:rsidP="008B01C6">
      <w:pPr>
        <w:pStyle w:val="FootnoteText"/>
        <w:ind w:left="567" w:hanging="567"/>
        <w:rPr>
          <w:sz w:val="24"/>
          <w:lang w:val="hr-HR"/>
        </w:rPr>
      </w:pPr>
      <w:r w:rsidRPr="008B01C6">
        <w:rPr>
          <w:rStyle w:val="FootnoteReference"/>
          <w:sz w:val="24"/>
          <w:lang w:val="hr-HR"/>
        </w:rPr>
        <w:footnoteRef/>
      </w:r>
      <w:r w:rsidR="008B01C6" w:rsidRPr="008B01C6">
        <w:rPr>
          <w:sz w:val="24"/>
          <w:lang w:val="hr-HR"/>
        </w:rPr>
        <w:t xml:space="preserve"> </w:t>
      </w:r>
      <w:r w:rsidR="008B01C6" w:rsidRPr="008B01C6">
        <w:rPr>
          <w:sz w:val="24"/>
          <w:lang w:val="hr-HR"/>
        </w:rPr>
        <w:tab/>
      </w:r>
      <w:r w:rsidRPr="008B01C6">
        <w:rPr>
          <w:sz w:val="24"/>
          <w:lang w:val="hr-HR"/>
        </w:rPr>
        <w:t xml:space="preserve">SL C, C/2024/6555, 12.11.2024., ELI: </w:t>
      </w:r>
      <w:hyperlink r:id="rId12" w:history="1">
        <w:r w:rsidRPr="008B01C6">
          <w:rPr>
            <w:rStyle w:val="Hyperlink"/>
            <w:sz w:val="24"/>
            <w:lang w:val="hr-HR"/>
          </w:rPr>
          <w:t>http://data.europa.eu/eli/C/2024/6555/oj</w:t>
        </w:r>
      </w:hyperlink>
      <w:r w:rsidRPr="008B01C6">
        <w:rPr>
          <w:sz w:val="24"/>
          <w:lang w:val="hr-HR"/>
        </w:rPr>
        <w:t>.</w:t>
      </w:r>
    </w:p>
  </w:footnote>
  <w:footnote w:id="23">
    <w:p w14:paraId="3C611CBC" w14:textId="3D5BFE5B" w:rsidR="001178E5" w:rsidRPr="008B01C6" w:rsidRDefault="001178E5" w:rsidP="008B01C6">
      <w:pPr>
        <w:pStyle w:val="FootnoteText"/>
        <w:ind w:left="567" w:hanging="567"/>
        <w:rPr>
          <w:sz w:val="24"/>
          <w:lang w:val="hr-HR"/>
        </w:rPr>
      </w:pPr>
      <w:r w:rsidRPr="008B01C6">
        <w:rPr>
          <w:rStyle w:val="FootnoteReference"/>
          <w:sz w:val="24"/>
          <w:lang w:val="hr-HR"/>
        </w:rPr>
        <w:footnoteRef/>
      </w:r>
      <w:r w:rsidR="008B01C6" w:rsidRPr="008B01C6">
        <w:rPr>
          <w:sz w:val="24"/>
          <w:lang w:val="hr-HR"/>
        </w:rPr>
        <w:t xml:space="preserve"> </w:t>
      </w:r>
      <w:r w:rsidR="008B01C6" w:rsidRPr="008B01C6">
        <w:rPr>
          <w:sz w:val="24"/>
          <w:lang w:val="hr-HR"/>
        </w:rPr>
        <w:tab/>
      </w:r>
      <w:r w:rsidRPr="008B01C6">
        <w:rPr>
          <w:sz w:val="24"/>
          <w:lang w:val="hr-HR"/>
        </w:rPr>
        <w:t xml:space="preserve">SL C, C/2024/6746, 26.11.2024., ELI: </w:t>
      </w:r>
      <w:hyperlink r:id="rId13" w:history="1">
        <w:r w:rsidRPr="008B01C6">
          <w:rPr>
            <w:rStyle w:val="Hyperlink"/>
            <w:sz w:val="24"/>
            <w:lang w:val="hr-HR"/>
          </w:rPr>
          <w:t>http://data.europa.eu/eli/C/2024/6746/oj</w:t>
        </w:r>
      </w:hyperlink>
      <w:r w:rsidRPr="008B01C6">
        <w:rPr>
          <w:sz w:val="24"/>
          <w:lang w:val="hr-HR"/>
        </w:rPr>
        <w:t xml:space="preserve">. </w:t>
      </w:r>
    </w:p>
  </w:footnote>
  <w:footnote w:id="24">
    <w:p w14:paraId="74982A31" w14:textId="788CEA8A" w:rsidR="001178E5" w:rsidRPr="00CC0229" w:rsidRDefault="001178E5" w:rsidP="008B01C6">
      <w:pPr>
        <w:pStyle w:val="FootnoteText"/>
        <w:ind w:left="567" w:hanging="567"/>
        <w:rPr>
          <w:b/>
          <w:bCs/>
          <w:i/>
          <w:sz w:val="24"/>
          <w:lang w:val="hr-HR"/>
        </w:rPr>
      </w:pPr>
      <w:r w:rsidRPr="008B01C6">
        <w:rPr>
          <w:rStyle w:val="FootnoteReference"/>
          <w:rFonts w:eastAsiaTheme="majorEastAsia"/>
          <w:sz w:val="24"/>
          <w:lang w:val="hr-HR"/>
        </w:rPr>
        <w:footnoteRef/>
      </w:r>
      <w:r w:rsidR="008B01C6" w:rsidRPr="00CC0229">
        <w:rPr>
          <w:rStyle w:val="Emphasis"/>
          <w:rFonts w:ascii="Times New Roman" w:hAnsi="Times New Roman"/>
          <w:b w:val="0"/>
          <w:bCs/>
          <w:i w:val="0"/>
          <w:sz w:val="24"/>
          <w:lang w:val="hr-HR"/>
        </w:rPr>
        <w:t xml:space="preserve"> </w:t>
      </w:r>
      <w:r w:rsidR="008B01C6" w:rsidRPr="008B01C6">
        <w:rPr>
          <w:rStyle w:val="Emphasis"/>
          <w:rFonts w:ascii="Times New Roman" w:hAnsi="Times New Roman"/>
          <w:iCs w:val="0"/>
          <w:sz w:val="24"/>
          <w:lang w:val="hr-HR"/>
        </w:rPr>
        <w:tab/>
      </w:r>
      <w:r w:rsidRPr="00CC0229">
        <w:rPr>
          <w:rStyle w:val="Emphasis"/>
          <w:rFonts w:ascii="Times New Roman" w:hAnsi="Times New Roman"/>
          <w:b w:val="0"/>
          <w:bCs/>
          <w:i w:val="0"/>
          <w:sz w:val="24"/>
          <w:lang w:val="hr-HR"/>
        </w:rPr>
        <w:t>SL C 167, 11.5.2023., str. 105.</w:t>
      </w:r>
    </w:p>
  </w:footnote>
  <w:footnote w:id="25">
    <w:p w14:paraId="0C978819" w14:textId="39847C87" w:rsidR="001178E5" w:rsidRPr="008B01C6" w:rsidRDefault="001178E5" w:rsidP="008B01C6">
      <w:pPr>
        <w:pStyle w:val="FootnoteText"/>
        <w:ind w:left="567" w:hanging="567"/>
        <w:rPr>
          <w:sz w:val="24"/>
          <w:lang w:val="hr-HR"/>
        </w:rPr>
      </w:pPr>
      <w:r w:rsidRPr="008B01C6">
        <w:rPr>
          <w:rStyle w:val="FootnoteReference"/>
          <w:sz w:val="24"/>
          <w:lang w:val="hr-HR"/>
        </w:rPr>
        <w:footnoteRef/>
      </w:r>
      <w:r w:rsidR="008B01C6" w:rsidRPr="008B01C6">
        <w:rPr>
          <w:sz w:val="24"/>
          <w:lang w:val="hr-HR"/>
        </w:rPr>
        <w:t xml:space="preserve"> </w:t>
      </w:r>
      <w:r w:rsidR="008B01C6" w:rsidRPr="008B01C6">
        <w:rPr>
          <w:sz w:val="24"/>
          <w:lang w:val="hr-HR"/>
        </w:rPr>
        <w:tab/>
      </w:r>
      <w:r w:rsidRPr="008B01C6">
        <w:rPr>
          <w:sz w:val="24"/>
          <w:lang w:val="hr-HR"/>
        </w:rPr>
        <w:t xml:space="preserve">SL L 330, 20.9.2021., str. </w:t>
      </w:r>
      <w:r w:rsidRPr="008B01C6">
        <w:rPr>
          <w:sz w:val="24"/>
          <w:lang w:val="hr-HR"/>
        </w:rPr>
        <w:t xml:space="preserve">1., ELI: </w:t>
      </w:r>
      <w:hyperlink r:id="rId14" w:history="1">
        <w:r w:rsidRPr="008B01C6">
          <w:rPr>
            <w:rStyle w:val="Hyperlink"/>
            <w:sz w:val="24"/>
            <w:lang w:val="hr-HR"/>
          </w:rPr>
          <w:t>http://data.europa.eu/eli/reg/2021/1529/oj</w:t>
        </w:r>
      </w:hyperlink>
      <w:r w:rsidRPr="008B01C6">
        <w:rPr>
          <w:sz w:val="24"/>
          <w:lang w:val="hr-HR"/>
        </w:rPr>
        <w:t xml:space="preserve">. </w:t>
      </w:r>
    </w:p>
  </w:footnote>
  <w:footnote w:id="26">
    <w:p w14:paraId="2C4CE8F2" w14:textId="5A214244" w:rsidR="001178E5" w:rsidRPr="008B01C6" w:rsidRDefault="001178E5" w:rsidP="008B01C6">
      <w:pPr>
        <w:pStyle w:val="FootnoteText"/>
        <w:ind w:left="567" w:hanging="567"/>
        <w:rPr>
          <w:sz w:val="24"/>
          <w:lang w:val="hr-HR"/>
        </w:rPr>
      </w:pPr>
      <w:r w:rsidRPr="008B01C6">
        <w:rPr>
          <w:rStyle w:val="FootnoteReference"/>
          <w:sz w:val="24"/>
          <w:lang w:val="hr-HR"/>
        </w:rPr>
        <w:footnoteRef/>
      </w:r>
      <w:r w:rsidR="008B01C6" w:rsidRPr="008B01C6">
        <w:rPr>
          <w:sz w:val="24"/>
          <w:lang w:val="hr-HR"/>
        </w:rPr>
        <w:t xml:space="preserve"> </w:t>
      </w:r>
      <w:r w:rsidR="008B01C6" w:rsidRPr="008B01C6">
        <w:rPr>
          <w:sz w:val="24"/>
          <w:lang w:val="hr-HR"/>
        </w:rPr>
        <w:tab/>
      </w:r>
      <w:r w:rsidRPr="008B01C6">
        <w:rPr>
          <w:sz w:val="24"/>
          <w:lang w:val="hr-HR"/>
        </w:rPr>
        <w:t xml:space="preserve">SL L, 2024/1449, 24.5.2024., ELI: </w:t>
      </w:r>
      <w:hyperlink r:id="rId15" w:history="1">
        <w:r w:rsidRPr="008B01C6">
          <w:rPr>
            <w:rStyle w:val="Hyperlink"/>
            <w:sz w:val="24"/>
            <w:lang w:val="hr-HR"/>
          </w:rPr>
          <w:t>http://data.europa.eu/eli/reg/2024/1449/oj</w:t>
        </w:r>
      </w:hyperlink>
      <w:r w:rsidRPr="008B01C6">
        <w:rPr>
          <w:sz w:val="24"/>
          <w:lang w:val="hr-HR"/>
        </w:rPr>
        <w:t xml:space="preserve">. </w:t>
      </w:r>
    </w:p>
  </w:footnote>
  <w:footnote w:id="27">
    <w:p w14:paraId="1D9158CB" w14:textId="6FD5A304" w:rsidR="001178E5" w:rsidRPr="008B01C6" w:rsidRDefault="001178E5" w:rsidP="008B01C6">
      <w:pPr>
        <w:pStyle w:val="FootnoteText"/>
        <w:ind w:left="567" w:hanging="567"/>
        <w:rPr>
          <w:sz w:val="24"/>
          <w:lang w:val="hr-HR"/>
        </w:rPr>
      </w:pPr>
      <w:r w:rsidRPr="008B01C6">
        <w:rPr>
          <w:rStyle w:val="FootnoteReference"/>
          <w:sz w:val="24"/>
          <w:lang w:val="hr-HR"/>
        </w:rPr>
        <w:footnoteRef/>
      </w:r>
      <w:r w:rsidR="008B01C6" w:rsidRPr="008B01C6">
        <w:rPr>
          <w:sz w:val="24"/>
          <w:lang w:val="hr-HR"/>
        </w:rPr>
        <w:t xml:space="preserve"> </w:t>
      </w:r>
      <w:r w:rsidR="008B01C6" w:rsidRPr="008B01C6">
        <w:rPr>
          <w:sz w:val="24"/>
          <w:lang w:val="hr-HR"/>
        </w:rPr>
        <w:tab/>
      </w:r>
      <w:r w:rsidRPr="008B01C6">
        <w:rPr>
          <w:sz w:val="24"/>
          <w:lang w:val="hr-HR"/>
        </w:rPr>
        <w:t xml:space="preserve">SL L, 2024/792, 29.2.2024., ELI: </w:t>
      </w:r>
      <w:hyperlink r:id="rId16" w:history="1">
        <w:r w:rsidRPr="008B01C6">
          <w:rPr>
            <w:rStyle w:val="Hyperlink"/>
            <w:sz w:val="24"/>
            <w:lang w:val="hr-HR"/>
          </w:rPr>
          <w:t>http://data.europa.eu/eli/reg/2024/792/oj</w:t>
        </w:r>
      </w:hyperlink>
      <w:r w:rsidRPr="008B01C6">
        <w:rPr>
          <w:sz w:val="24"/>
          <w:lang w:val="hr-HR"/>
        </w:rPr>
        <w:t xml:space="preserve">. </w:t>
      </w:r>
    </w:p>
  </w:footnote>
  <w:footnote w:id="28">
    <w:p w14:paraId="6C082528" w14:textId="177EFE9D" w:rsidR="001178E5" w:rsidRPr="008B01C6" w:rsidRDefault="001178E5" w:rsidP="008B01C6">
      <w:pPr>
        <w:pStyle w:val="FootnoteText"/>
        <w:ind w:left="567" w:hanging="567"/>
        <w:rPr>
          <w:iCs/>
          <w:sz w:val="24"/>
          <w:lang w:val="hr-HR"/>
        </w:rPr>
      </w:pPr>
      <w:r w:rsidRPr="008B01C6">
        <w:rPr>
          <w:rStyle w:val="FootnoteReference"/>
          <w:sz w:val="24"/>
          <w:lang w:val="hr-HR"/>
        </w:rPr>
        <w:footnoteRef/>
      </w:r>
      <w:r w:rsidR="008B01C6" w:rsidRPr="008B01C6">
        <w:rPr>
          <w:sz w:val="24"/>
          <w:lang w:val="hr-HR"/>
        </w:rPr>
        <w:t xml:space="preserve"> </w:t>
      </w:r>
      <w:r w:rsidR="008B01C6" w:rsidRPr="008B01C6">
        <w:rPr>
          <w:sz w:val="24"/>
          <w:lang w:val="hr-HR"/>
        </w:rPr>
        <w:tab/>
      </w:r>
      <w:r w:rsidRPr="008B01C6">
        <w:rPr>
          <w:sz w:val="24"/>
          <w:lang w:val="hr-HR"/>
        </w:rPr>
        <w:t>SL L, 2025/535, 21.3.2025., ELI:</w:t>
      </w:r>
      <w:r w:rsidRPr="008B01C6">
        <w:rPr>
          <w:i/>
          <w:sz w:val="24"/>
          <w:lang w:val="hr-HR"/>
        </w:rPr>
        <w:t> </w:t>
      </w:r>
      <w:hyperlink r:id="rId17" w:tgtFrame="_blank" w:tooltip="Poveznica ELI URI za pristup dokumentu." w:history="1">
        <w:r w:rsidRPr="008B01C6">
          <w:rPr>
            <w:rStyle w:val="Hyperlink"/>
            <w:sz w:val="24"/>
            <w:lang w:val="hr-HR"/>
          </w:rPr>
          <w:t>http://data.europa.eu/eli/reg/2025/535/oj</w:t>
        </w:r>
      </w:hyperlink>
      <w:r w:rsidRPr="008B01C6">
        <w:rPr>
          <w:sz w:val="24"/>
          <w:lang w:val="hr-HR"/>
        </w:rPr>
        <w:t>.</w:t>
      </w:r>
    </w:p>
  </w:footnote>
  <w:footnote w:id="29">
    <w:p w14:paraId="0F865F54" w14:textId="0F4BE5D1" w:rsidR="001178E5" w:rsidRPr="008B01C6" w:rsidRDefault="001178E5" w:rsidP="008B01C6">
      <w:pPr>
        <w:pStyle w:val="FootnoteText"/>
        <w:ind w:left="567" w:hanging="567"/>
        <w:rPr>
          <w:sz w:val="24"/>
          <w:lang w:val="hr-HR"/>
        </w:rPr>
      </w:pPr>
      <w:r w:rsidRPr="008B01C6">
        <w:rPr>
          <w:rStyle w:val="FootnoteReference"/>
          <w:sz w:val="24"/>
          <w:lang w:val="hr-HR"/>
        </w:rPr>
        <w:footnoteRef/>
      </w:r>
      <w:r w:rsidR="008B01C6" w:rsidRPr="008B01C6">
        <w:rPr>
          <w:sz w:val="24"/>
          <w:lang w:val="hr-HR"/>
        </w:rPr>
        <w:t xml:space="preserve"> </w:t>
      </w:r>
      <w:r w:rsidR="008B01C6" w:rsidRPr="008B01C6">
        <w:rPr>
          <w:sz w:val="24"/>
          <w:lang w:val="hr-HR"/>
        </w:rPr>
        <w:tab/>
      </w:r>
      <w:r w:rsidRPr="008B01C6">
        <w:rPr>
          <w:sz w:val="24"/>
          <w:lang w:val="hr-HR"/>
        </w:rPr>
        <w:t>SL C 362, 8.9.2021., str. 114.</w:t>
      </w:r>
    </w:p>
  </w:footnote>
  <w:footnote w:id="30">
    <w:p w14:paraId="3103CD4B" w14:textId="67776AFC" w:rsidR="001178E5" w:rsidRPr="008B01C6" w:rsidRDefault="001178E5" w:rsidP="008B01C6">
      <w:pPr>
        <w:pStyle w:val="FootnoteText"/>
        <w:ind w:left="567" w:hanging="567"/>
        <w:rPr>
          <w:sz w:val="24"/>
          <w:lang w:val="hr-HR"/>
        </w:rPr>
      </w:pPr>
      <w:r w:rsidRPr="008B01C6">
        <w:rPr>
          <w:rStyle w:val="FootnoteReference"/>
          <w:sz w:val="24"/>
          <w:lang w:val="hr-HR"/>
        </w:rPr>
        <w:footnoteRef/>
      </w:r>
      <w:r w:rsidR="008B01C6" w:rsidRPr="008B01C6">
        <w:rPr>
          <w:sz w:val="24"/>
          <w:lang w:val="hr-HR"/>
        </w:rPr>
        <w:t xml:space="preserve"> </w:t>
      </w:r>
      <w:r w:rsidR="008B01C6" w:rsidRPr="008B01C6">
        <w:rPr>
          <w:sz w:val="24"/>
          <w:lang w:val="hr-HR"/>
        </w:rPr>
        <w:tab/>
      </w:r>
      <w:r w:rsidRPr="008B01C6">
        <w:rPr>
          <w:sz w:val="24"/>
          <w:lang w:val="hr-HR"/>
        </w:rPr>
        <w:t>Usvojeni tekstovi, P10_TA(2025)0248.</w:t>
      </w:r>
    </w:p>
  </w:footnote>
  <w:footnote w:id="31">
    <w:p w14:paraId="79E77D6D" w14:textId="00D8B0B4" w:rsidR="001178E5" w:rsidRPr="008B01C6" w:rsidRDefault="001178E5" w:rsidP="008B01C6">
      <w:pPr>
        <w:pStyle w:val="FootnoteText"/>
        <w:ind w:left="567" w:hanging="567"/>
        <w:rPr>
          <w:sz w:val="24"/>
          <w:lang w:val="hr-HR"/>
        </w:rPr>
      </w:pPr>
      <w:r w:rsidRPr="008B01C6">
        <w:rPr>
          <w:rStyle w:val="FootnoteReference"/>
          <w:sz w:val="24"/>
          <w:lang w:val="hr-HR"/>
        </w:rPr>
        <w:footnoteRef/>
      </w:r>
      <w:r w:rsidR="008B01C6" w:rsidRPr="008B01C6">
        <w:rPr>
          <w:sz w:val="24"/>
          <w:lang w:val="hr-HR"/>
        </w:rPr>
        <w:t xml:space="preserve"> </w:t>
      </w:r>
      <w:r w:rsidR="008B01C6" w:rsidRPr="008B01C6">
        <w:rPr>
          <w:sz w:val="24"/>
          <w:lang w:val="hr-HR"/>
        </w:rPr>
        <w:tab/>
      </w:r>
      <w:r w:rsidRPr="008B01C6">
        <w:rPr>
          <w:sz w:val="24"/>
          <w:lang w:val="hr-HR"/>
        </w:rPr>
        <w:t xml:space="preserve">SL C, C/2025/2251, 29.4.2025., ELI: </w:t>
      </w:r>
      <w:hyperlink r:id="rId18" w:history="1">
        <w:r w:rsidRPr="008B01C6">
          <w:rPr>
            <w:rStyle w:val="Hyperlink"/>
            <w:sz w:val="24"/>
            <w:lang w:val="hr-HR"/>
          </w:rPr>
          <w:t>http://data.europa.eu/eli/C/2025/2251/oj</w:t>
        </w:r>
      </w:hyperlink>
      <w:r w:rsidRPr="008B01C6">
        <w:rPr>
          <w:sz w:val="24"/>
          <w:lang w:val="hr-HR"/>
        </w:rPr>
        <w:t xml:space="preserve">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44453089">
    <w:abstractNumId w:val="9"/>
  </w:num>
  <w:num w:numId="2" w16cid:durableId="1754930069">
    <w:abstractNumId w:val="9"/>
  </w:num>
  <w:num w:numId="3" w16cid:durableId="1312635114">
    <w:abstractNumId w:val="7"/>
  </w:num>
  <w:num w:numId="4" w16cid:durableId="441194471">
    <w:abstractNumId w:val="7"/>
  </w:num>
  <w:num w:numId="5" w16cid:durableId="83767855">
    <w:abstractNumId w:val="6"/>
  </w:num>
  <w:num w:numId="6" w16cid:durableId="1322081704">
    <w:abstractNumId w:val="6"/>
  </w:num>
  <w:num w:numId="7" w16cid:durableId="890963157">
    <w:abstractNumId w:val="5"/>
  </w:num>
  <w:num w:numId="8" w16cid:durableId="215318281">
    <w:abstractNumId w:val="5"/>
  </w:num>
  <w:num w:numId="9" w16cid:durableId="377706170">
    <w:abstractNumId w:val="4"/>
  </w:num>
  <w:num w:numId="10" w16cid:durableId="1698890214">
    <w:abstractNumId w:val="4"/>
  </w:num>
  <w:num w:numId="11" w16cid:durableId="1542285279">
    <w:abstractNumId w:val="8"/>
  </w:num>
  <w:num w:numId="12" w16cid:durableId="1041396881">
    <w:abstractNumId w:val="8"/>
  </w:num>
  <w:num w:numId="13" w16cid:durableId="887113284">
    <w:abstractNumId w:val="3"/>
  </w:num>
  <w:num w:numId="14" w16cid:durableId="828180896">
    <w:abstractNumId w:val="3"/>
  </w:num>
  <w:num w:numId="15" w16cid:durableId="1851943872">
    <w:abstractNumId w:val="2"/>
  </w:num>
  <w:num w:numId="16" w16cid:durableId="328874372">
    <w:abstractNumId w:val="2"/>
  </w:num>
  <w:num w:numId="17" w16cid:durableId="861823236">
    <w:abstractNumId w:val="1"/>
  </w:num>
  <w:num w:numId="18" w16cid:durableId="2039620360">
    <w:abstractNumId w:val="1"/>
  </w:num>
  <w:num w:numId="19" w16cid:durableId="52048882">
    <w:abstractNumId w:val="0"/>
  </w:num>
  <w:num w:numId="20" w16cid:durableId="2143647143">
    <w:abstractNumId w:val="0"/>
  </w:num>
  <w:num w:numId="21" w16cid:durableId="1724062742">
    <w:abstractNumId w:val="9"/>
  </w:num>
  <w:num w:numId="22" w16cid:durableId="91054324">
    <w:abstractNumId w:val="7"/>
  </w:num>
  <w:num w:numId="23" w16cid:durableId="1588537124">
    <w:abstractNumId w:val="6"/>
  </w:num>
  <w:num w:numId="24" w16cid:durableId="426655666">
    <w:abstractNumId w:val="5"/>
  </w:num>
  <w:num w:numId="25" w16cid:durableId="460266490">
    <w:abstractNumId w:val="4"/>
  </w:num>
  <w:num w:numId="26" w16cid:durableId="1014115576">
    <w:abstractNumId w:val="8"/>
  </w:num>
  <w:num w:numId="27" w16cid:durableId="1731466540">
    <w:abstractNumId w:val="3"/>
  </w:num>
  <w:num w:numId="28" w16cid:durableId="150484146">
    <w:abstractNumId w:val="2"/>
  </w:num>
  <w:num w:numId="29" w16cid:durableId="1969511787">
    <w:abstractNumId w:val="1"/>
  </w:num>
  <w:num w:numId="30" w16cid:durableId="1599480204">
    <w:abstractNumId w:val="0"/>
  </w:num>
  <w:num w:numId="31" w16cid:durableId="1674407833">
    <w:abstractNumId w:val="9"/>
  </w:num>
  <w:num w:numId="32" w16cid:durableId="328797518">
    <w:abstractNumId w:val="7"/>
  </w:num>
  <w:num w:numId="33" w16cid:durableId="836387723">
    <w:abstractNumId w:val="6"/>
  </w:num>
  <w:num w:numId="34" w16cid:durableId="1393117789">
    <w:abstractNumId w:val="5"/>
  </w:num>
  <w:num w:numId="35" w16cid:durableId="727074346">
    <w:abstractNumId w:val="4"/>
  </w:num>
  <w:num w:numId="36" w16cid:durableId="1380478428">
    <w:abstractNumId w:val="8"/>
  </w:num>
  <w:num w:numId="37" w16cid:durableId="2111855566">
    <w:abstractNumId w:val="3"/>
  </w:num>
  <w:num w:numId="38" w16cid:durableId="1810591491">
    <w:abstractNumId w:val="2"/>
  </w:num>
  <w:num w:numId="39" w16cid:durableId="1902476061">
    <w:abstractNumId w:val="1"/>
  </w:num>
  <w:num w:numId="40" w16cid:durableId="787506110">
    <w:abstractNumId w:val="0"/>
  </w:num>
  <w:num w:numId="41" w16cid:durableId="1711421666">
    <w:abstractNumId w:val="10"/>
  </w:num>
  <w:num w:numId="42" w16cid:durableId="333993255">
    <w:abstractNumId w:val="10"/>
  </w:num>
  <w:num w:numId="43" w16cid:durableId="142476316">
    <w:abstractNumId w:val="10"/>
  </w:num>
  <w:num w:numId="44" w16cid:durableId="12452160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6/2026"/>
    <w:docVar w:name="dvlangue" w:val="HR"/>
    <w:docVar w:name="dvnumam" w:val="0"/>
    <w:docVar w:name="dvpe" w:val="778.144"/>
    <w:docVar w:name="dvrapporteur" w:val="Izvjestitelj: "/>
    <w:docVar w:name="dvtitre" w:val="Rezolucija Europskog parlamenta od .... 2026. o strategiji proširenja EU-a(2025/2110(INI))"/>
  </w:docVars>
  <w:rsids>
    <w:rsidRoot w:val="00530AE3"/>
    <w:rsid w:val="00002272"/>
    <w:rsid w:val="00064002"/>
    <w:rsid w:val="000677B9"/>
    <w:rsid w:val="000831BA"/>
    <w:rsid w:val="000A42CC"/>
    <w:rsid w:val="000E7DD9"/>
    <w:rsid w:val="0010095E"/>
    <w:rsid w:val="001178E5"/>
    <w:rsid w:val="00125B37"/>
    <w:rsid w:val="0014297C"/>
    <w:rsid w:val="00187494"/>
    <w:rsid w:val="001F32AE"/>
    <w:rsid w:val="00210D34"/>
    <w:rsid w:val="002767FF"/>
    <w:rsid w:val="002B18FE"/>
    <w:rsid w:val="002B5493"/>
    <w:rsid w:val="00343214"/>
    <w:rsid w:val="00361C00"/>
    <w:rsid w:val="0036370B"/>
    <w:rsid w:val="00384DA1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0AE3"/>
    <w:rsid w:val="00545827"/>
    <w:rsid w:val="00560270"/>
    <w:rsid w:val="005C2568"/>
    <w:rsid w:val="005F1B17"/>
    <w:rsid w:val="006037C0"/>
    <w:rsid w:val="006631B6"/>
    <w:rsid w:val="00664237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0D6A"/>
    <w:rsid w:val="00842779"/>
    <w:rsid w:val="00865F67"/>
    <w:rsid w:val="00881A7B"/>
    <w:rsid w:val="008840E5"/>
    <w:rsid w:val="00887B3E"/>
    <w:rsid w:val="008B01C6"/>
    <w:rsid w:val="008C2AC6"/>
    <w:rsid w:val="009227A7"/>
    <w:rsid w:val="00930C23"/>
    <w:rsid w:val="0093193B"/>
    <w:rsid w:val="009509D8"/>
    <w:rsid w:val="00950B64"/>
    <w:rsid w:val="00981893"/>
    <w:rsid w:val="00A1687D"/>
    <w:rsid w:val="00A41E21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74B6"/>
    <w:rsid w:val="00CC0229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4F9F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1D49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E833A4"/>
  <w15:chartTrackingRefBased/>
  <w15:docId w15:val="{0F179B6D-4DFD-4ECF-B8E0-E7FB77F54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qFormat="1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1178E5"/>
    <w:pPr>
      <w:spacing w:after="240"/>
      <w:ind w:left="567" w:hanging="567"/>
    </w:pPr>
  </w:style>
  <w:style w:type="paragraph" w:customStyle="1" w:styleId="EPComma">
    <w:name w:val="EPComma"/>
    <w:basedOn w:val="Normal"/>
    <w:rsid w:val="001178E5"/>
    <w:pPr>
      <w:spacing w:before="480" w:after="240"/>
    </w:pPr>
  </w:style>
  <w:style w:type="character" w:styleId="Hyperlink">
    <w:name w:val="Hyperlink"/>
    <w:basedOn w:val="DefaultParagraphFont"/>
    <w:rsid w:val="001178E5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1178E5"/>
    <w:rPr>
      <w:rFonts w:asciiTheme="minorHAnsi" w:hAnsiTheme="minorHAnsi" w:hint="default"/>
      <w:b/>
      <w:bCs w:val="0"/>
      <w:i/>
      <w:iCs/>
    </w:rPr>
  </w:style>
  <w:style w:type="character" w:customStyle="1" w:styleId="Normal12HangingChar">
    <w:name w:val="Normal12Hanging Char"/>
    <w:link w:val="Normal12Hanging"/>
    <w:locked/>
    <w:rsid w:val="001178E5"/>
    <w:rPr>
      <w:sz w:val="24"/>
    </w:rPr>
  </w:style>
  <w:style w:type="paragraph" w:customStyle="1" w:styleId="Normal12Hanging">
    <w:name w:val="Normal12Hanging"/>
    <w:basedOn w:val="Normal"/>
    <w:link w:val="Normal12HangingChar"/>
    <w:rsid w:val="001178E5"/>
    <w:pPr>
      <w:spacing w:after="240"/>
      <w:ind w:left="567" w:hanging="567"/>
    </w:pPr>
    <w:rPr>
      <w:lang w:val="en-GB"/>
    </w:rPr>
  </w:style>
  <w:style w:type="character" w:customStyle="1" w:styleId="NormalHanging12aChar">
    <w:name w:val="NormalHanging12a Char"/>
    <w:link w:val="NormalHanging12a"/>
    <w:rsid w:val="001178E5"/>
    <w:rPr>
      <w:sz w:val="24"/>
      <w:lang w:val="hr-HR"/>
    </w:rPr>
  </w:style>
  <w:style w:type="paragraph" w:styleId="Revision">
    <w:name w:val="Revision"/>
    <w:hidden/>
    <w:uiPriority w:val="99"/>
    <w:semiHidden/>
    <w:rsid w:val="00664237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agree_internation/2004/239(2)/oj" TargetMode="External"/><Relationship Id="rId13" Type="http://schemas.openxmlformats.org/officeDocument/2006/relationships/hyperlink" Target="http://data.europa.eu/eli/C/2024/6746/oj" TargetMode="External"/><Relationship Id="rId18" Type="http://schemas.openxmlformats.org/officeDocument/2006/relationships/hyperlink" Target="http://data.europa.eu/eli/C/2025/2251/oj" TargetMode="External"/><Relationship Id="rId3" Type="http://schemas.openxmlformats.org/officeDocument/2006/relationships/hyperlink" Target="http://data.europa.eu/eli/agree_internation/2015/997/oj" TargetMode="External"/><Relationship Id="rId7" Type="http://schemas.openxmlformats.org/officeDocument/2006/relationships/hyperlink" Target="http://data.europa.eu/eli/agree_internation/2010/224/oj" TargetMode="External"/><Relationship Id="rId12" Type="http://schemas.openxmlformats.org/officeDocument/2006/relationships/hyperlink" Target="http://data.europa.eu/eli/C/2024/6555/oj" TargetMode="External"/><Relationship Id="rId17" Type="http://schemas.openxmlformats.org/officeDocument/2006/relationships/hyperlink" Target="http://data.europa.eu/eli/reg/2025/535/oj" TargetMode="External"/><Relationship Id="rId2" Type="http://schemas.openxmlformats.org/officeDocument/2006/relationships/hyperlink" Target="http://data.europa.eu/eli/agree_internation/2009/332/oj" TargetMode="External"/><Relationship Id="rId16" Type="http://schemas.openxmlformats.org/officeDocument/2006/relationships/hyperlink" Target="http://data.europa.eu/eli/reg/2024/792/oj" TargetMode="External"/><Relationship Id="rId1" Type="http://schemas.openxmlformats.org/officeDocument/2006/relationships/hyperlink" Target="http://data.europa.eu/eli/C/2024/4173/oj" TargetMode="External"/><Relationship Id="rId6" Type="http://schemas.openxmlformats.org/officeDocument/2006/relationships/hyperlink" Target="http://data.europa.eu/eli/agree_internation/2014/492/oj" TargetMode="External"/><Relationship Id="rId11" Type="http://schemas.openxmlformats.org/officeDocument/2006/relationships/hyperlink" Target="http://data.europa.eu/eli/agree_internation/2014/295/oj" TargetMode="External"/><Relationship Id="rId5" Type="http://schemas.openxmlformats.org/officeDocument/2006/relationships/hyperlink" Target="http://data.europa.eu/eli/agree_internation/2016/342/oj" TargetMode="External"/><Relationship Id="rId15" Type="http://schemas.openxmlformats.org/officeDocument/2006/relationships/hyperlink" Target="http://data.europa.eu/eli/reg/2024/1449/oj" TargetMode="External"/><Relationship Id="rId10" Type="http://schemas.openxmlformats.org/officeDocument/2006/relationships/hyperlink" Target="http://data.europa.eu/eli/agree_internation/1964/732/oj" TargetMode="External"/><Relationship Id="rId4" Type="http://schemas.openxmlformats.org/officeDocument/2006/relationships/hyperlink" Target="http://data.europa.eu/eli/agree_internation/2014/494/oj" TargetMode="External"/><Relationship Id="rId9" Type="http://schemas.openxmlformats.org/officeDocument/2006/relationships/hyperlink" Target="http://data.europa.eu/eli/agree_internation/2013/490/oj" TargetMode="External"/><Relationship Id="rId14" Type="http://schemas.openxmlformats.org/officeDocument/2006/relationships/hyperlink" Target="http://data.europa.eu/eli/reg/2021/15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5959</Words>
  <Characters>37226</Characters>
  <Application>Microsoft Office Word</Application>
  <DocSecurity>0</DocSecurity>
  <Lines>310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2026-05-12T13:29:00Z</dcterms:created>
  <dcterms:modified xsi:type="dcterms:W3CDTF">2026-05-12T13:29:00Z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P10_TA(2026)0077_</vt:lpwstr>
  </property>
  <property fmtid="{D5CDD505-2E9C-101B-9397-08002B2CF9AE}" pid="4" name="&lt;Type&gt;">
    <vt:lpwstr>RR</vt:lpwstr>
  </property>
</Properties>
</file>