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55C9" w14:paraId="56FC7C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BEF17E" w14:textId="77777777" w:rsidR="00751A4A" w:rsidRPr="002D55C9" w:rsidRDefault="00C53CFB" w:rsidP="0010095E">
            <w:pPr>
              <w:pStyle w:val="EPName"/>
            </w:pPr>
            <w:r w:rsidRPr="002D55C9">
              <w:t>Európsky parlament</w:t>
            </w:r>
          </w:p>
          <w:p w14:paraId="5F435294" w14:textId="77777777" w:rsidR="00751A4A" w:rsidRPr="002D55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55C9">
              <w:t>2024</w:t>
            </w:r>
            <w:r w:rsidR="00817416" w:rsidRPr="002D55C9">
              <w:t>-202</w:t>
            </w:r>
            <w:r w:rsidRPr="002D55C9">
              <w:t>9</w:t>
            </w:r>
          </w:p>
        </w:tc>
        <w:tc>
          <w:tcPr>
            <w:tcW w:w="2268" w:type="dxa"/>
            <w:shd w:val="clear" w:color="auto" w:fill="auto"/>
          </w:tcPr>
          <w:p w14:paraId="34C3CF82" w14:textId="77777777" w:rsidR="00751A4A" w:rsidRPr="002D55C9" w:rsidRDefault="00187494" w:rsidP="0010095E">
            <w:pPr>
              <w:pStyle w:val="EPLogo"/>
            </w:pPr>
            <w:r w:rsidRPr="002D55C9">
              <w:rPr>
                <w:noProof/>
                <w:lang w:eastAsia="ja-JP"/>
              </w:rPr>
              <w:drawing>
                <wp:inline distT="0" distB="0" distL="0" distR="0" wp14:anchorId="51BA8576" wp14:editId="7B9ECE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4F9A3" w14:textId="77777777" w:rsidR="00D058B8" w:rsidRPr="002D55C9" w:rsidRDefault="00D058B8" w:rsidP="004C5D52">
      <w:pPr>
        <w:pStyle w:val="LineTop"/>
      </w:pPr>
    </w:p>
    <w:p w14:paraId="0429A5F4" w14:textId="77777777" w:rsidR="00680577" w:rsidRPr="002D55C9" w:rsidRDefault="00C53CFB" w:rsidP="00680577">
      <w:pPr>
        <w:pStyle w:val="EPBodyTA1"/>
      </w:pPr>
      <w:r w:rsidRPr="002D55C9">
        <w:t>PRIJATÉ TEXTY</w:t>
      </w:r>
    </w:p>
    <w:p w14:paraId="4CD03CE9" w14:textId="77777777" w:rsidR="00D058B8" w:rsidRPr="002D55C9" w:rsidRDefault="00D058B8" w:rsidP="00D058B8">
      <w:pPr>
        <w:pStyle w:val="LineBottom"/>
      </w:pPr>
    </w:p>
    <w:p w14:paraId="6BBD841E" w14:textId="068CFE05" w:rsidR="00C53CFB" w:rsidRPr="002D55C9" w:rsidRDefault="00C53CFB" w:rsidP="00C53CFB">
      <w:pPr>
        <w:pStyle w:val="ATHeading1"/>
      </w:pPr>
      <w:bookmarkStart w:id="0" w:name="TANumber"/>
      <w:r w:rsidRPr="002D55C9">
        <w:t>P10_TA(2026)00</w:t>
      </w:r>
      <w:r w:rsidR="001F7268" w:rsidRPr="002D55C9">
        <w:t>7</w:t>
      </w:r>
      <w:bookmarkEnd w:id="0"/>
      <w:r w:rsidR="00C269F4" w:rsidRPr="002D55C9">
        <w:t>7</w:t>
      </w:r>
    </w:p>
    <w:p w14:paraId="60826C0E" w14:textId="77777777" w:rsidR="00C53CFB" w:rsidRPr="002D55C9" w:rsidRDefault="00C53CFB" w:rsidP="00C53CFB">
      <w:pPr>
        <w:pStyle w:val="ATHeading2"/>
      </w:pPr>
      <w:bookmarkStart w:id="1" w:name="title"/>
      <w:r w:rsidRPr="002D55C9">
        <w:t>Stratégia rozširovania EÚ</w:t>
      </w:r>
      <w:bookmarkEnd w:id="1"/>
    </w:p>
    <w:p w14:paraId="06784A5A" w14:textId="77777777" w:rsidR="00C53CFB" w:rsidRPr="002D55C9" w:rsidRDefault="00C53CFB" w:rsidP="00C53CFB">
      <w:pPr>
        <w:rPr>
          <w:i/>
          <w:vanish/>
        </w:rPr>
      </w:pPr>
      <w:r w:rsidRPr="002D55C9">
        <w:rPr>
          <w:i/>
        </w:rPr>
        <w:fldChar w:fldCharType="begin"/>
      </w:r>
      <w:r w:rsidRPr="002D55C9">
        <w:rPr>
          <w:i/>
        </w:rPr>
        <w:instrText xml:space="preserve"> TC"(</w:instrText>
      </w:r>
      <w:bookmarkStart w:id="2" w:name="DocNumber"/>
      <w:r w:rsidRPr="002D55C9">
        <w:rPr>
          <w:i/>
        </w:rPr>
        <w:instrText>A10-0016/2026</w:instrText>
      </w:r>
      <w:bookmarkEnd w:id="2"/>
      <w:r w:rsidRPr="002D55C9">
        <w:rPr>
          <w:i/>
        </w:rPr>
        <w:instrText xml:space="preserve"> - Spravodajca: </w:instrText>
      </w:r>
      <w:proofErr w:type="spellStart"/>
      <w:r w:rsidRPr="002D55C9">
        <w:rPr>
          <w:i/>
        </w:rPr>
        <w:instrText>Petras</w:instrText>
      </w:r>
      <w:proofErr w:type="spellEnd"/>
      <w:r w:rsidRPr="002D55C9">
        <w:rPr>
          <w:i/>
        </w:rPr>
        <w:instrText xml:space="preserve"> </w:instrText>
      </w:r>
      <w:proofErr w:type="spellStart"/>
      <w:r w:rsidRPr="002D55C9">
        <w:rPr>
          <w:i/>
        </w:rPr>
        <w:instrText>Auštrevičius</w:instrText>
      </w:r>
      <w:proofErr w:type="spellEnd"/>
      <w:r w:rsidRPr="002D55C9">
        <w:rPr>
          <w:i/>
        </w:rPr>
        <w:instrText xml:space="preserve">)"\l3 \n&gt; \* MERGEFORMAT </w:instrText>
      </w:r>
      <w:r w:rsidRPr="002D55C9">
        <w:rPr>
          <w:i/>
        </w:rPr>
        <w:fldChar w:fldCharType="end"/>
      </w:r>
    </w:p>
    <w:p w14:paraId="4FC91C70" w14:textId="77777777" w:rsidR="00C53CFB" w:rsidRPr="002D55C9" w:rsidRDefault="00C53CFB" w:rsidP="00C53CFB">
      <w:pPr>
        <w:rPr>
          <w:vanish/>
        </w:rPr>
      </w:pPr>
      <w:bookmarkStart w:id="3" w:name="Commission"/>
      <w:r w:rsidRPr="002D55C9">
        <w:rPr>
          <w:vanish/>
        </w:rPr>
        <w:t>Výbor pre zahraničné veci</w:t>
      </w:r>
      <w:bookmarkEnd w:id="3"/>
    </w:p>
    <w:p w14:paraId="7154C1F0" w14:textId="77777777" w:rsidR="00C53CFB" w:rsidRPr="002D55C9" w:rsidRDefault="00C53CFB" w:rsidP="00C53CFB">
      <w:pPr>
        <w:rPr>
          <w:vanish/>
        </w:rPr>
      </w:pPr>
      <w:bookmarkStart w:id="4" w:name="PE"/>
      <w:r w:rsidRPr="002D55C9">
        <w:rPr>
          <w:vanish/>
        </w:rPr>
        <w:t>PE778.144</w:t>
      </w:r>
      <w:bookmarkEnd w:id="4"/>
    </w:p>
    <w:p w14:paraId="5BA0F871" w14:textId="7F084A3D" w:rsidR="00C53CFB" w:rsidRPr="002D55C9" w:rsidRDefault="00C53CFB" w:rsidP="00C53CFB">
      <w:pPr>
        <w:pStyle w:val="ATHeading3"/>
      </w:pPr>
      <w:bookmarkStart w:id="5" w:name="Sujet"/>
      <w:r w:rsidRPr="002D55C9">
        <w:t xml:space="preserve">Uznesenie Európskeho parlamentu </w:t>
      </w:r>
      <w:r w:rsidR="003E4819" w:rsidRPr="002D55C9">
        <w:t xml:space="preserve">z </w:t>
      </w:r>
      <w:r w:rsidR="00A70F20" w:rsidRPr="002D55C9">
        <w:t>11. marca</w:t>
      </w:r>
      <w:r w:rsidRPr="002D55C9">
        <w:t xml:space="preserve"> 2026 o stratégii rozširovania EÚ</w:t>
      </w:r>
      <w:bookmarkEnd w:id="5"/>
      <w:r w:rsidRPr="002D55C9">
        <w:t xml:space="preserve"> </w:t>
      </w:r>
      <w:bookmarkStart w:id="6" w:name="References"/>
      <w:r w:rsidRPr="002D55C9">
        <w:t>(2025/2110(INI))</w:t>
      </w:r>
      <w:bookmarkEnd w:id="6"/>
    </w:p>
    <w:p w14:paraId="6C8D339D" w14:textId="77777777" w:rsidR="00B24779" w:rsidRPr="002D55C9" w:rsidRDefault="00B24779" w:rsidP="00B24779">
      <w:pPr>
        <w:pStyle w:val="EPComma"/>
      </w:pPr>
      <w:r w:rsidRPr="002D55C9">
        <w:rPr>
          <w:i/>
          <w:iCs/>
        </w:rPr>
        <w:t>Európsky parlament</w:t>
      </w:r>
      <w:r w:rsidRPr="002D55C9">
        <w:t>,</w:t>
      </w:r>
    </w:p>
    <w:p w14:paraId="0002125D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Zmluvu o Európskej únii (ďalej len „Zmluva o EÚ“), najmä na jej článok 49,</w:t>
      </w:r>
    </w:p>
    <w:p w14:paraId="6A8724DE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Zmluvu o fungovaní Európskej únie (ďalej len „ZFEÚ“),</w:t>
      </w:r>
    </w:p>
    <w:p w14:paraId="5D9E437F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závery Európskej rady z 23. až 24. júna 2022, 29. až 30. júna 2023, 26. až 27. októbra 2023, 14. až 15. decembra 2023, 27. júna 2024 a 17. decembra 2024 a na závery predsedníctva Európskej rady z Kodane z 21. až 22. júna 1993, známe aj ako kodanské kritériá,</w:t>
      </w:r>
    </w:p>
    <w:p w14:paraId="1B904797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svoje uznesenie z 13. decembra 2023 o 30 rokoch kodanských kritérií – ďalší impulz pre politiku rozširovania EÚ</w:t>
      </w:r>
      <w:r w:rsidRPr="002D55C9">
        <w:rPr>
          <w:rStyle w:val="FootnoteReference"/>
        </w:rPr>
        <w:footnoteReference w:id="1"/>
      </w:r>
      <w:r w:rsidRPr="002D55C9">
        <w:t>,</w:t>
      </w:r>
    </w:p>
    <w:p w14:paraId="09172747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dohody o pridružení medzi EÚ a Albánskom</w:t>
      </w:r>
      <w:r w:rsidRPr="002D55C9">
        <w:rPr>
          <w:rStyle w:val="FootnoteReference"/>
        </w:rPr>
        <w:footnoteReference w:id="2"/>
      </w:r>
      <w:r w:rsidRPr="002D55C9">
        <w:t>, Bosnou a Hercegovinou</w:t>
      </w:r>
      <w:r w:rsidRPr="002D55C9">
        <w:rPr>
          <w:rStyle w:val="FootnoteReference"/>
        </w:rPr>
        <w:footnoteReference w:id="3"/>
      </w:r>
      <w:r w:rsidRPr="002D55C9">
        <w:t>, Gruzínskom</w:t>
      </w:r>
      <w:r w:rsidRPr="002D55C9">
        <w:rPr>
          <w:rStyle w:val="FootnoteReference"/>
        </w:rPr>
        <w:footnoteReference w:id="4"/>
      </w:r>
      <w:r w:rsidRPr="002D55C9">
        <w:t>, Kosovom</w:t>
      </w:r>
      <w:r w:rsidRPr="002D55C9">
        <w:rPr>
          <w:rStyle w:val="FootnoteReference"/>
        </w:rPr>
        <w:footnoteReference w:id="5"/>
      </w:r>
      <w:r w:rsidRPr="002D55C9">
        <w:t>, Moldavskou republikou</w:t>
      </w:r>
      <w:r w:rsidRPr="002D55C9">
        <w:rPr>
          <w:rStyle w:val="FootnoteReference"/>
        </w:rPr>
        <w:footnoteReference w:id="6"/>
      </w:r>
      <w:r w:rsidRPr="002D55C9">
        <w:t xml:space="preserve"> (ďalej len „Moldavsko“), Čiernou </w:t>
      </w:r>
      <w:r w:rsidRPr="002D55C9">
        <w:lastRenderedPageBreak/>
        <w:t>Horou</w:t>
      </w:r>
      <w:r w:rsidRPr="002D55C9">
        <w:rPr>
          <w:rStyle w:val="FootnoteReference"/>
        </w:rPr>
        <w:footnoteReference w:id="7"/>
      </w:r>
      <w:r w:rsidRPr="002D55C9">
        <w:t>, Severným Macedónskom</w:t>
      </w:r>
      <w:r w:rsidRPr="002D55C9">
        <w:rPr>
          <w:rStyle w:val="FootnoteReference"/>
        </w:rPr>
        <w:footnoteReference w:id="8"/>
      </w:r>
      <w:r w:rsidRPr="002D55C9">
        <w:t>, Srbskom</w:t>
      </w:r>
      <w:r w:rsidRPr="002D55C9">
        <w:rPr>
          <w:rStyle w:val="FootnoteReference"/>
        </w:rPr>
        <w:footnoteReference w:id="9"/>
      </w:r>
      <w:r w:rsidRPr="002D55C9">
        <w:t>, Tureckom</w:t>
      </w:r>
      <w:r w:rsidRPr="002D55C9">
        <w:rPr>
          <w:rStyle w:val="FootnoteReference"/>
        </w:rPr>
        <w:footnoteReference w:id="10"/>
      </w:r>
      <w:r w:rsidRPr="002D55C9">
        <w:t xml:space="preserve"> a Ukrajinou</w:t>
      </w:r>
      <w:r w:rsidRPr="002D55C9">
        <w:rPr>
          <w:rStyle w:val="FootnoteReference"/>
        </w:rPr>
        <w:footnoteReference w:id="11"/>
      </w:r>
      <w:r w:rsidRPr="002D55C9">
        <w:t>,</w:t>
      </w:r>
    </w:p>
    <w:p w14:paraId="584A83D7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oznámenie Komisie zo 4. novembra 2025 s názvom Oznámenie o politike rozširovania EÚ za rok 2025 (COM(2025)0690) a na predchádzajúce každoročné oznámenia na túto tému,</w:t>
      </w:r>
    </w:p>
    <w:p w14:paraId="3DB0C006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svoje uznesenia o správach Komisie o Kosove</w:t>
      </w:r>
      <w:r w:rsidRPr="002D55C9">
        <w:rPr>
          <w:rStyle w:val="FootnoteReference"/>
          <w:bCs/>
          <w:iCs/>
        </w:rPr>
        <w:footnoteReference w:id="12"/>
      </w:r>
      <w:r w:rsidRPr="002D55C9">
        <w:t>, Srbsku</w:t>
      </w:r>
      <w:r w:rsidRPr="002D55C9">
        <w:rPr>
          <w:rStyle w:val="FootnoteReference"/>
          <w:bCs/>
          <w:iCs/>
        </w:rPr>
        <w:footnoteReference w:id="13"/>
      </w:r>
      <w:r w:rsidRPr="002D55C9">
        <w:t>, Albánsku</w:t>
      </w:r>
      <w:r w:rsidRPr="002D55C9">
        <w:rPr>
          <w:rStyle w:val="FootnoteReference"/>
          <w:bCs/>
          <w:iCs/>
        </w:rPr>
        <w:footnoteReference w:id="14"/>
      </w:r>
      <w:r w:rsidRPr="002D55C9">
        <w:t>, Bosne a Hercegovine</w:t>
      </w:r>
      <w:r w:rsidRPr="002D55C9">
        <w:rPr>
          <w:rStyle w:val="FootnoteReference"/>
        </w:rPr>
        <w:footnoteReference w:id="15"/>
      </w:r>
      <w:r w:rsidRPr="002D55C9">
        <w:t>, Severnom Macedónsku</w:t>
      </w:r>
      <w:r w:rsidRPr="002D55C9">
        <w:rPr>
          <w:rStyle w:val="FootnoteReference"/>
          <w:bCs/>
          <w:iCs/>
        </w:rPr>
        <w:footnoteReference w:id="16"/>
      </w:r>
      <w:r w:rsidRPr="002D55C9">
        <w:t>, Čiernej Hore</w:t>
      </w:r>
      <w:r w:rsidRPr="002D55C9">
        <w:rPr>
          <w:rStyle w:val="FootnoteReference"/>
          <w:bCs/>
          <w:iCs/>
        </w:rPr>
        <w:footnoteReference w:id="17"/>
      </w:r>
      <w:r w:rsidRPr="002D55C9">
        <w:t>, Ukrajine</w:t>
      </w:r>
      <w:r w:rsidRPr="002D55C9">
        <w:rPr>
          <w:rStyle w:val="FootnoteReference"/>
          <w:bCs/>
          <w:iCs/>
        </w:rPr>
        <w:footnoteReference w:id="18"/>
      </w:r>
      <w:r w:rsidRPr="002D55C9">
        <w:t>, Moldavsku</w:t>
      </w:r>
      <w:r w:rsidRPr="002D55C9">
        <w:rPr>
          <w:rStyle w:val="FootnoteReference"/>
          <w:bCs/>
          <w:iCs/>
        </w:rPr>
        <w:footnoteReference w:id="19"/>
      </w:r>
      <w:r w:rsidRPr="002D55C9">
        <w:t>, Gruzínsku</w:t>
      </w:r>
      <w:r w:rsidRPr="002D55C9">
        <w:rPr>
          <w:rStyle w:val="FootnoteReference"/>
          <w:bCs/>
          <w:iCs/>
        </w:rPr>
        <w:footnoteReference w:id="20"/>
      </w:r>
      <w:r w:rsidRPr="002D55C9">
        <w:t xml:space="preserve"> a Turecku</w:t>
      </w:r>
      <w:r w:rsidRPr="002D55C9">
        <w:rPr>
          <w:rStyle w:val="FootnoteReference"/>
          <w:bCs/>
          <w:iCs/>
        </w:rPr>
        <w:footnoteReference w:id="21"/>
      </w:r>
      <w:r w:rsidRPr="002D55C9">
        <w:t xml:space="preserve"> za roky 2023 a 2024,</w:t>
      </w:r>
    </w:p>
    <w:p w14:paraId="40C375C1" w14:textId="77777777" w:rsidR="00B24779" w:rsidRPr="002D55C9" w:rsidRDefault="00B24779" w:rsidP="00B24779">
      <w:pPr>
        <w:pStyle w:val="NormalHanging12a"/>
        <w:rPr>
          <w:bCs/>
          <w:iCs/>
        </w:rPr>
      </w:pPr>
      <w:r w:rsidRPr="002D55C9">
        <w:t>–</w:t>
      </w:r>
      <w:r w:rsidRPr="002D55C9">
        <w:tab/>
        <w:t>so zreteľom na svoje uznesenie z 13. marca 2024 o užších väzbách medzi EÚ a Arménskom a potrebe mierovej dohody medzi Azerbajdžanom a Arménskom</w:t>
      </w:r>
      <w:r w:rsidRPr="002D55C9">
        <w:rPr>
          <w:rStyle w:val="FootnoteReference"/>
          <w:bCs/>
          <w:iCs/>
        </w:rPr>
        <w:footnoteReference w:id="22"/>
      </w:r>
      <w:r w:rsidRPr="002D55C9">
        <w:t>,</w:t>
      </w:r>
    </w:p>
    <w:p w14:paraId="25894335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svoje uznesenie z 29. februára 2024 o prehĺbení integrácie EÚ s ohľadom na budúce rozšírenie</w:t>
      </w:r>
      <w:r w:rsidRPr="002D55C9">
        <w:rPr>
          <w:rStyle w:val="FootnoteReference"/>
        </w:rPr>
        <w:footnoteReference w:id="23"/>
      </w:r>
      <w:r w:rsidRPr="002D55C9">
        <w:t>,</w:t>
      </w:r>
    </w:p>
    <w:p w14:paraId="1DE416C8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oznámenie Komisie z 20. marca 2024 o reformách pred rozšírením a o preskúmaní politík (COM(2024)0146),</w:t>
      </w:r>
    </w:p>
    <w:p w14:paraId="524AB7EB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svoje odporúčanie z 23. novembra 2022 Rade, Komisii a podpredsedovi Komisie/vysokému predstaviteľovi Únie pre zahraničné veci a bezpečnostnú politiku k novej stratégii EÚ pre rozširovanie</w:t>
      </w:r>
      <w:r w:rsidRPr="002D55C9">
        <w:rPr>
          <w:vertAlign w:val="superscript"/>
        </w:rPr>
        <w:footnoteReference w:id="24"/>
      </w:r>
      <w:r w:rsidRPr="002D55C9">
        <w:t>,</w:t>
      </w:r>
    </w:p>
    <w:p w14:paraId="177E943B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nariadenie Európskeho parlamentu a Rady (EÚ) 2021/1529 z 15. septembra 2021, ktorým sa zriaďuje nástroj predvstupovej pomoci (IPA III)</w:t>
      </w:r>
      <w:r w:rsidRPr="002D55C9">
        <w:rPr>
          <w:rStyle w:val="FootnoteReference"/>
          <w:iCs/>
        </w:rPr>
        <w:footnoteReference w:id="25"/>
      </w:r>
      <w:r w:rsidRPr="002D55C9">
        <w:t>,</w:t>
      </w:r>
    </w:p>
    <w:p w14:paraId="6E095773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 xml:space="preserve">so zreteľom na nariadenie Európskeho parlamentu a Rady (EÚ) 2024/1449 zo 14. mája </w:t>
      </w:r>
      <w:r w:rsidRPr="002D55C9">
        <w:lastRenderedPageBreak/>
        <w:t>2024 o zriadení Nástroja na podporu reforiem a rastu pre západný Balkán</w:t>
      </w:r>
      <w:r w:rsidRPr="002D55C9">
        <w:rPr>
          <w:rStyle w:val="FootnoteReference"/>
          <w:iCs/>
        </w:rPr>
        <w:footnoteReference w:id="26"/>
      </w:r>
      <w:r w:rsidRPr="002D55C9">
        <w:t>,</w:t>
      </w:r>
    </w:p>
    <w:p w14:paraId="776CC392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nariadenie Európskeho parlamentu a Rady (EÚ) 2024/792 z 29. februára 2024, ktorým sa zriaďuje Nástroj pre Ukrajinu</w:t>
      </w:r>
      <w:r w:rsidRPr="002D55C9">
        <w:rPr>
          <w:rStyle w:val="FootnoteReference"/>
        </w:rPr>
        <w:footnoteReference w:id="27"/>
      </w:r>
      <w:r w:rsidRPr="002D55C9">
        <w:t>,</w:t>
      </w:r>
    </w:p>
    <w:p w14:paraId="2297AE5A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nariadenie Európskeho parlamentu a Rady (EÚ) 2025/535 z 18. marca 2025, ktorým sa zriaďuje Nástroj na podporu reforiem a rastu pre Moldavskú republiku</w:t>
      </w:r>
      <w:r w:rsidRPr="002D55C9">
        <w:rPr>
          <w:rStyle w:val="FootnoteReference"/>
        </w:rPr>
        <w:footnoteReference w:id="28"/>
      </w:r>
      <w:r w:rsidRPr="002D55C9">
        <w:t>,</w:t>
      </w:r>
    </w:p>
    <w:p w14:paraId="30088558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závery predsedníctva zo zasadnutia Európskej rady v Solúne, ktoré sa konalo 19. a 20. júna 2003,</w:t>
      </w:r>
    </w:p>
    <w:p w14:paraId="51F041DB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 xml:space="preserve">so zreteľom na vyhlásenia zo samitov EÚ – západný Balkán zo 17. mája 2018 v Sofii, zo 6. mája 2020 v Záhrebe, zo 6. októbra 2021 v Brde pri </w:t>
      </w:r>
      <w:proofErr w:type="spellStart"/>
      <w:r w:rsidRPr="002D55C9">
        <w:t>Kranju</w:t>
      </w:r>
      <w:proofErr w:type="spellEnd"/>
      <w:r w:rsidRPr="002D55C9">
        <w:t>, zo 6. decembra 2022 v Tirane, z 13. decembra 2023 v Bruseli a z 18. decembra 2024 v Bruseli,</w:t>
      </w:r>
    </w:p>
    <w:p w14:paraId="091B53F1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berlínsky proces, ktorý sa začal 28. augusta 2014,</w:t>
      </w:r>
    </w:p>
    <w:p w14:paraId="786FEECF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spoločné vyhlásenie zo samitov Východného partnerstva zo 7. mája 2009 v Prahe, z 29. až 30. septembra 2011 vo Varšave, z 28. až 29. novembra 2013 vo Vilniuse, z 21. až 22. mája 2015 v Rige, z 24. novembra 2017 v Bruseli a z 15. decembra 2021 v Bruseli,</w:t>
      </w:r>
    </w:p>
    <w:p w14:paraId="7929661E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svoje odporúčanie z 19. júna 2020 Rade, Komisii a podpredsedovi Komisie/vysokému predstaviteľovi Únie pre zahraničné veci a bezpečnostnú politiku k Východnému partnerstvu pred samitom v júni 2020</w:t>
      </w:r>
      <w:r w:rsidRPr="002D55C9">
        <w:rPr>
          <w:rStyle w:val="FootnoteReference"/>
        </w:rPr>
        <w:footnoteReference w:id="29"/>
      </w:r>
      <w:r w:rsidRPr="002D55C9">
        <w:t>,</w:t>
      </w:r>
    </w:p>
    <w:p w14:paraId="443F94E5" w14:textId="77777777" w:rsidR="00B24779" w:rsidRPr="002D55C9" w:rsidRDefault="00B24779" w:rsidP="00B24779">
      <w:pPr>
        <w:pStyle w:val="NormalHanging12a"/>
        <w:rPr>
          <w:bCs/>
        </w:rPr>
      </w:pPr>
      <w:r w:rsidRPr="002D55C9">
        <w:t>–</w:t>
      </w:r>
      <w:r w:rsidRPr="002D55C9">
        <w:tab/>
        <w:t>so zreteľom na svoje uznesenie z 22. októbra 2025 o polarizácii a náraste represií v Srbsku rok po tragédii v Novom Sade</w:t>
      </w:r>
      <w:r w:rsidRPr="002D55C9">
        <w:rPr>
          <w:rStyle w:val="FootnoteReference"/>
          <w:bCs/>
        </w:rPr>
        <w:footnoteReference w:id="30"/>
      </w:r>
      <w:r w:rsidRPr="002D55C9">
        <w:t>,</w:t>
      </w:r>
    </w:p>
    <w:p w14:paraId="563FE2BE" w14:textId="77777777" w:rsidR="00B24779" w:rsidRPr="002D55C9" w:rsidRDefault="00B24779" w:rsidP="00B24779">
      <w:pPr>
        <w:pStyle w:val="NormalHanging12a"/>
        <w:rPr>
          <w:bCs/>
        </w:rPr>
      </w:pPr>
      <w:r w:rsidRPr="002D55C9">
        <w:t>–</w:t>
      </w:r>
      <w:r w:rsidRPr="002D55C9">
        <w:tab/>
        <w:t>so zreteľom na svoje uznesenie z 13. februára 2025 o ďalšom zhoršovaní politickej situácie v Gruzínsku</w:t>
      </w:r>
      <w:r w:rsidRPr="002D55C9">
        <w:rPr>
          <w:rStyle w:val="FootnoteReference"/>
        </w:rPr>
        <w:footnoteReference w:id="31"/>
      </w:r>
      <w:r w:rsidRPr="002D55C9">
        <w:t>,</w:t>
      </w:r>
    </w:p>
    <w:p w14:paraId="6BEA6CC9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spoločné oznámenie Komisie a vysokého predstaviteľa Únie pre zahraničné veci a bezpečnostnú politiku z 29. novembra 2023 s názvom Aktuálny stav politických, hospodárskych a obchodných vzťahov medzi EÚ a Tureckom (JOIN(2023)0050),</w:t>
      </w:r>
    </w:p>
    <w:p w14:paraId="1B5C4C17" w14:textId="77777777" w:rsidR="00B24779" w:rsidRPr="002D55C9" w:rsidRDefault="00B24779" w:rsidP="00B24779">
      <w:pPr>
        <w:pStyle w:val="NormalHanging12a"/>
        <w:rPr>
          <w:iCs/>
        </w:rPr>
      </w:pPr>
      <w:r w:rsidRPr="002D55C9">
        <w:t>–</w:t>
      </w:r>
      <w:r w:rsidRPr="002D55C9">
        <w:tab/>
        <w:t>so zreteľom na stanovisko Európskeho výboru regiónov z 2. apríla 2025 k balíku Komisie týkajúcemu sa rozširovania 2024 – západný Balkán a Turecko,</w:t>
      </w:r>
    </w:p>
    <w:p w14:paraId="3EDFC594" w14:textId="77777777" w:rsidR="00B24779" w:rsidRPr="002D55C9" w:rsidRDefault="00B24779" w:rsidP="00B24779">
      <w:pPr>
        <w:pStyle w:val="NormalHanging12a"/>
        <w:rPr>
          <w:bCs/>
          <w:iCs/>
        </w:rPr>
      </w:pPr>
      <w:r w:rsidRPr="002D55C9">
        <w:t>–</w:t>
      </w:r>
      <w:r w:rsidRPr="002D55C9">
        <w:tab/>
        <w:t>so zreteľom na osobitnú správu Európskeho dvora audítorov č. 01/2022 z 10. januára 2022 s názvom Podpora EÚ pre právny štát na západnom Balkáne: napriek úsiliu zásadné problémy pretrvávajú,</w:t>
      </w:r>
    </w:p>
    <w:p w14:paraId="29AB9396" w14:textId="77777777" w:rsidR="00B24779" w:rsidRPr="002D55C9" w:rsidRDefault="00B24779" w:rsidP="00B24779">
      <w:pPr>
        <w:pStyle w:val="NormalHanging12a"/>
      </w:pPr>
      <w:r w:rsidRPr="002D55C9">
        <w:lastRenderedPageBreak/>
        <w:t>–</w:t>
      </w:r>
      <w:r w:rsidRPr="002D55C9">
        <w:tab/>
        <w:t>so zreteľom na správu Komisie o právnom štáte za roky 2024 a 2025,</w:t>
      </w:r>
    </w:p>
    <w:p w14:paraId="3649ACA5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</w:r>
      <w:bookmarkStart w:id="7" w:name="_Hlk209882928"/>
      <w:r w:rsidRPr="002D55C9">
        <w:t>so zreteľom na článok 55 rokovacieho poriadku,</w:t>
      </w:r>
    </w:p>
    <w:p w14:paraId="437116E6" w14:textId="77777777" w:rsidR="00B24779" w:rsidRPr="002D55C9" w:rsidRDefault="00B24779" w:rsidP="00B24779">
      <w:pPr>
        <w:pStyle w:val="NormalHanging12a"/>
      </w:pPr>
      <w:r w:rsidRPr="002D55C9">
        <w:t>–</w:t>
      </w:r>
      <w:r w:rsidRPr="002D55C9">
        <w:tab/>
        <w:t>so zreteľom na správu Výboru pre zahraničné veci (A10-0016/2026),</w:t>
      </w:r>
      <w:bookmarkEnd w:id="7"/>
    </w:p>
    <w:p w14:paraId="6488510A" w14:textId="77777777" w:rsidR="00B24779" w:rsidRPr="002D55C9" w:rsidRDefault="00B24779" w:rsidP="00B24779">
      <w:pPr>
        <w:pStyle w:val="NormalHanging12a"/>
      </w:pPr>
      <w:r w:rsidRPr="002D55C9">
        <w:t>A.</w:t>
      </w:r>
      <w:r w:rsidRPr="002D55C9">
        <w:tab/>
        <w:t>keďže proces rozširovania EÚ v posledných rokoch v niektorých kandidátskych krajinách výrazne pokročil; keďže deväť z desiatich krajín, ktoré sa v súčasnosti usilujú o vstup do EÚ, má štatút kandidátskej krajiny, niektoré z nich už mnoho rokov; keďže začatie prístupových rokovaní s Ukrajinou a Moldavskom prispelo k oživeniu politiky rozširovania;</w:t>
      </w:r>
    </w:p>
    <w:p w14:paraId="5C99E484" w14:textId="77777777" w:rsidR="00B24779" w:rsidRPr="002D55C9" w:rsidRDefault="00B24779" w:rsidP="00B24779">
      <w:pPr>
        <w:pStyle w:val="NormalHanging12a"/>
      </w:pPr>
      <w:r w:rsidRPr="002D55C9">
        <w:t>B.</w:t>
      </w:r>
      <w:r w:rsidRPr="002D55C9">
        <w:tab/>
        <w:t>keďže rozširovanie je jedným z najsilnejších zahraničnopolitických a geopolitických nástrojov EÚ a naďalej je kľúčovou hnacou silou dlhodobej bezpečnosti, mieru, stability a prosperity v Európe na základe spoločných demokratických hodnôt; keďže rozširovanie predstavuje historickú a jedinečnú príležitosť, s ktorou sú spojené významné sociálno-ekonomické, politické a bezpečnostné výhody pre EÚ aj pre krajiny zapojené do procesu rozširovania;</w:t>
      </w:r>
    </w:p>
    <w:p w14:paraId="16E08DC6" w14:textId="77777777" w:rsidR="00B24779" w:rsidRPr="002D55C9" w:rsidRDefault="00B24779" w:rsidP="00B24779">
      <w:pPr>
        <w:pStyle w:val="NormalHanging12a"/>
      </w:pPr>
      <w:r w:rsidRPr="002D55C9">
        <w:t>C.</w:t>
      </w:r>
      <w:r w:rsidRPr="002D55C9">
        <w:tab/>
        <w:t xml:space="preserve">keďže z najnovšej správy </w:t>
      </w:r>
      <w:proofErr w:type="spellStart"/>
      <w:r w:rsidRPr="002D55C9">
        <w:t>Eurobarometra</w:t>
      </w:r>
      <w:proofErr w:type="spellEnd"/>
      <w:r w:rsidRPr="002D55C9">
        <w:t xml:space="preserve"> o rozširovaní vyplýva, že 56 % občanov EÚ podporuje ďalšie rozširovanie Európskej únie, pričom Ukrajina je najpreferovanejšou kandidátskou krajinou na pristúpenie, potom ako sa splnia všetky kritériá členstva v EÚ;</w:t>
      </w:r>
    </w:p>
    <w:p w14:paraId="3FAB9509" w14:textId="77777777" w:rsidR="00B24779" w:rsidRPr="002D55C9" w:rsidRDefault="00B24779" w:rsidP="00B24779">
      <w:pPr>
        <w:pStyle w:val="NormalHanging12a"/>
      </w:pPr>
      <w:r w:rsidRPr="002D55C9">
        <w:t>D.</w:t>
      </w:r>
      <w:r w:rsidRPr="002D55C9">
        <w:tab/>
        <w:t xml:space="preserve">keďže podľa správy </w:t>
      </w:r>
      <w:proofErr w:type="spellStart"/>
      <w:r w:rsidRPr="002D55C9">
        <w:t>Eurobarometra</w:t>
      </w:r>
      <w:proofErr w:type="spellEnd"/>
      <w:r w:rsidRPr="002D55C9">
        <w:t xml:space="preserve"> predchádzajúce kolá rozširovania sú vnímané tak, že najväčšie výhody priniesli v oblasti hospodárskeho rastu a konkurencieschopnosti a ďalej posilneného globálneho vplyvu EÚ a lepšej bezpečnosti a obrany;</w:t>
      </w:r>
    </w:p>
    <w:p w14:paraId="34814546" w14:textId="77777777" w:rsidR="00B24779" w:rsidRPr="002D55C9" w:rsidRDefault="00B24779" w:rsidP="00B24779">
      <w:pPr>
        <w:pStyle w:val="NormalHanging12a"/>
      </w:pPr>
      <w:r w:rsidRPr="002D55C9">
        <w:t>E.</w:t>
      </w:r>
      <w:r w:rsidRPr="002D55C9">
        <w:tab/>
        <w:t>keďže proces pristúpenia k EÚ prináša hmatateľné výsledky sám osebe, pričom EÚ zostáva hlavným politickým, hospodárskym a obchodným partnerom krajín zapojených do procesu rozširovania; keďže celkový objem obchodu západného Balkánu s EÚ sa po nadobudnutí platnosti dohôd o stabilizácii a pridružení zvýšil o 62 %; keďže prehĺbené a komplexné dohody o voľnom obchode mali transformačný účinok na Moldavsko a Ukrajinu, pokiaľ ide o obchod aj hospodársky rozvoj, pričom obchod Moldavska sa zvýšil o 65,4 % a obchod Ukrajiny o 64,7 %;</w:t>
      </w:r>
    </w:p>
    <w:p w14:paraId="5E4B6173" w14:textId="77777777" w:rsidR="00B24779" w:rsidRPr="002D55C9" w:rsidRDefault="00B24779" w:rsidP="00B24779">
      <w:pPr>
        <w:pStyle w:val="NormalHanging12a"/>
      </w:pPr>
      <w:r w:rsidRPr="002D55C9">
        <w:t>F.</w:t>
      </w:r>
      <w:r w:rsidRPr="002D55C9">
        <w:tab/>
        <w:t>keďže rozsiahla útočná vojna Ruska proti Ukrajine predstavuje vážnu hrozbu pre bezpečnosť na európskom kontinente aj mimo neho, čo dokazuje, že nerozširovanie so sebou nesie značné strategické náklady a ohrozuje bezpečnosť a stabilitu na celom našom kontinente; keďže táto stagnácia v procese rozširovania počas posledných rokov vytvorila vákuum, čím sa otvoril priestor pre Rusko a Čínu a ďalších škodlivých aktérov mimo EÚ; keďže Rusko úmyselne zasahuje v krajinách Východného partnerstva a západného Balkánu prostredníctvom operácií hybridných hrozieb vrátane zasahovania do volieb a kampaní zahraničnej manipulácie s informáciami a zahraničného zasahovania, snaží sa zastaviť proces pristúpenia k EÚ v týchto krajinách a ohrozuje bezpečnosť týchto regiónov prostredníctvom nezákonnej okupácie častí územia troch kandidátskych krajín, ako aj celého kontinentu;</w:t>
      </w:r>
    </w:p>
    <w:p w14:paraId="0CE65C83" w14:textId="77777777" w:rsidR="00B24779" w:rsidRPr="002D55C9" w:rsidRDefault="00B24779" w:rsidP="00B24779">
      <w:pPr>
        <w:pStyle w:val="NormalHanging12a"/>
      </w:pPr>
      <w:r w:rsidRPr="002D55C9">
        <w:t>G.</w:t>
      </w:r>
      <w:r w:rsidRPr="002D55C9">
        <w:tab/>
        <w:t xml:space="preserve">keďže vplyv Číny sa nebezpečne rozširuje od projektov hospodárskej závislosti až po bezpečnostnú spoluprácu, najmä na západnom Balkáne a v Gruzínsku, pretože Čína naďalej využíva politickú nestabilitu a inštitucionálne nedostatky vo viacerých krajinách zapojených do procesu rozširovania na oslabenie ich cesty integrácie do EÚ a </w:t>
      </w:r>
      <w:r w:rsidRPr="002D55C9">
        <w:lastRenderedPageBreak/>
        <w:t>demokratickej správy vecí verejných;</w:t>
      </w:r>
    </w:p>
    <w:p w14:paraId="7C77B7FF" w14:textId="77777777" w:rsidR="00B24779" w:rsidRPr="002D55C9" w:rsidRDefault="00B24779" w:rsidP="00B24779">
      <w:pPr>
        <w:pStyle w:val="NormalHanging12a"/>
      </w:pPr>
      <w:r w:rsidRPr="002D55C9">
        <w:t>H.</w:t>
      </w:r>
      <w:r w:rsidRPr="002D55C9">
        <w:tab/>
        <w:t>keďže rozširovanie je proces založený na dosiahnutých výsledkoch, ktorého základným kameňom je naďalej nezvratný pokrok v oblasti právneho štátu, demokracie a základných hodnôt; keďže pristúpenie každej krajiny k EÚ závisí od trvalých, hĺbkových a nezvratných reforiem v základných oblastiach, počnúc právnym štátom a fungovaním demokratických inštitúcií; keďže o harmonograme pristúpenia rozhoduje kvalita potrebných reforiem, ktoré krajina uskutočňuje;</w:t>
      </w:r>
    </w:p>
    <w:p w14:paraId="17DAAA80" w14:textId="77777777" w:rsidR="00B24779" w:rsidRPr="002D55C9" w:rsidRDefault="00B24779" w:rsidP="00B24779">
      <w:pPr>
        <w:pStyle w:val="NormalHanging12a"/>
      </w:pPr>
      <w:r w:rsidRPr="002D55C9">
        <w:t>I.</w:t>
      </w:r>
      <w:r w:rsidRPr="002D55C9">
        <w:tab/>
        <w:t xml:space="preserve">keďže EÚ je naďalej najväčším poskytovateľom investičnej a finančnej pomoci prostredníctvom nástroja predvstupovej pomoci IPA III, hospodárskeho a investičného plánu pre západný Balkán, Nástroja pre západný Balkán, Nástroja pre Ukrajinu, Nástroja pre Moldavsko, Nástroja susedstva a rozvojovej a medzinárodnej spolupráce – Globálna Európa a </w:t>
      </w:r>
      <w:proofErr w:type="spellStart"/>
      <w:r w:rsidRPr="002D55C9">
        <w:t>makrofinančnej</w:t>
      </w:r>
      <w:proofErr w:type="spellEnd"/>
      <w:r w:rsidRPr="002D55C9">
        <w:t xml:space="preserve"> pomoci;</w:t>
      </w:r>
    </w:p>
    <w:p w14:paraId="3ACBA387" w14:textId="1BA013C3" w:rsidR="00B24779" w:rsidRPr="002D55C9" w:rsidRDefault="00B24779" w:rsidP="00B24779">
      <w:pPr>
        <w:pStyle w:val="NormalHanging12a"/>
      </w:pPr>
      <w:r w:rsidRPr="002D55C9">
        <w:t>J.</w:t>
      </w:r>
      <w:r w:rsidRPr="002D55C9">
        <w:tab/>
        <w:t>keďže zosúladenie kandidátskych krajín so spoločnou zahraničnou a bezpečnostnou politikou EÚ (</w:t>
      </w:r>
      <w:r w:rsidR="00A70F20" w:rsidRPr="002D55C9">
        <w:t>ďalej len „</w:t>
      </w:r>
      <w:r w:rsidRPr="002D55C9">
        <w:t>SZBP</w:t>
      </w:r>
      <w:r w:rsidR="00A70F20" w:rsidRPr="002D55C9">
        <w:t>“</w:t>
      </w:r>
      <w:r w:rsidRPr="002D55C9">
        <w:t>) zostáva jedným z kľúčových predpokladov pristúpenia k EÚ;</w:t>
      </w:r>
    </w:p>
    <w:p w14:paraId="314D4045" w14:textId="33A29E88" w:rsidR="00B24779" w:rsidRPr="002D55C9" w:rsidRDefault="00B24779" w:rsidP="00B24779">
      <w:pPr>
        <w:pStyle w:val="NormalHanging12a"/>
      </w:pPr>
      <w:r w:rsidRPr="002D55C9">
        <w:t>K.</w:t>
      </w:r>
      <w:r w:rsidRPr="002D55C9">
        <w:tab/>
        <w:t>keďže rozhodovací proces týkajúci sa rozširovania je stanovený v článku 49 Z</w:t>
      </w:r>
      <w:r w:rsidR="00A70F20" w:rsidRPr="002D55C9">
        <w:t xml:space="preserve">mluvy o </w:t>
      </w:r>
      <w:r w:rsidRPr="002D55C9">
        <w:t>EÚ a v rokovacích rámcoch vypracovaných pre každú kandidátsku krajinu;</w:t>
      </w:r>
    </w:p>
    <w:p w14:paraId="7BA762D1" w14:textId="1713A9E4" w:rsidR="00B24779" w:rsidRPr="002D55C9" w:rsidRDefault="00B24779" w:rsidP="00B24779">
      <w:pPr>
        <w:pStyle w:val="NormalHanging12a"/>
      </w:pPr>
      <w:r w:rsidRPr="002D55C9">
        <w:t>L</w:t>
      </w:r>
      <w:r w:rsidR="00A70F20" w:rsidRPr="002D55C9">
        <w:t>.</w:t>
      </w:r>
      <w:r w:rsidRPr="002D55C9">
        <w:tab/>
        <w:t xml:space="preserve">keďže </w:t>
      </w:r>
      <w:r w:rsidR="00A70F20" w:rsidRPr="002D55C9">
        <w:t>Európsky p</w:t>
      </w:r>
      <w:r w:rsidRPr="002D55C9">
        <w:t>arlament zostáva spoľahlivým partnerom pristupujúcich krajín a obhajcom procesu rozširovania, ktorý umožňuje inštitucionálne a sociálno-ekonomické reformy v prospech občanov;</w:t>
      </w:r>
    </w:p>
    <w:p w14:paraId="5F86DE44" w14:textId="77777777" w:rsidR="00B24779" w:rsidRPr="002D55C9" w:rsidRDefault="00B24779" w:rsidP="00B24779">
      <w:pPr>
        <w:pStyle w:val="NormalHanging12a"/>
        <w:rPr>
          <w:b/>
          <w:i/>
          <w:iCs/>
        </w:rPr>
      </w:pPr>
      <w:proofErr w:type="spellStart"/>
      <w:r w:rsidRPr="002D55C9">
        <w:rPr>
          <w:b/>
          <w:i/>
        </w:rPr>
        <w:t>Geostrategický</w:t>
      </w:r>
      <w:proofErr w:type="spellEnd"/>
      <w:r w:rsidRPr="002D55C9">
        <w:rPr>
          <w:b/>
          <w:i/>
        </w:rPr>
        <w:t xml:space="preserve"> rozmer rozširovania</w:t>
      </w:r>
    </w:p>
    <w:p w14:paraId="5409B7BC" w14:textId="77777777" w:rsidR="00B24779" w:rsidRPr="002D55C9" w:rsidRDefault="00B24779" w:rsidP="00B24779">
      <w:pPr>
        <w:pStyle w:val="Normal12Hanging"/>
        <w:rPr>
          <w:lang w:val="sk-SK"/>
        </w:rPr>
      </w:pPr>
      <w:r w:rsidRPr="002D55C9">
        <w:rPr>
          <w:rStyle w:val="NormalHanging12aChar"/>
        </w:rPr>
        <w:t>1.</w:t>
      </w:r>
      <w:r w:rsidRPr="002D55C9">
        <w:rPr>
          <w:rStyle w:val="NormalHanging12aChar"/>
        </w:rPr>
        <w:tab/>
        <w:t>opakuje, že rozširovanie je strategickou reakciou na novú geopolitickú realitu a investíciou mimoriadneho významu pre bezpečnosť a stabilitu EÚ vzhľadom na rozsiahlu útočnú vojnu Ruska proti Ukrajine, opakované porušovanie hraníc, hybridné útoky a iné nepriateľské akcie proti susedom, ako aj iné spoločné geopolitické výzvy, ktoré si vyžadujú dlhodobú politickú demokratickú víziu a odvážne rozhodnutia a kroky smerom k dokončeniu európskeho projektu;</w:t>
      </w:r>
    </w:p>
    <w:p w14:paraId="13DA89C1" w14:textId="77777777" w:rsidR="00B24779" w:rsidRPr="002D55C9" w:rsidRDefault="00B24779" w:rsidP="00B24779">
      <w:pPr>
        <w:pStyle w:val="NormalHanging12a"/>
      </w:pPr>
      <w:r w:rsidRPr="002D55C9">
        <w:t>2.</w:t>
      </w:r>
      <w:r w:rsidRPr="002D55C9">
        <w:tab/>
        <w:t>opakuje, že rozširovanie je prínosné pre súčasné aj budúce členské štáty; zdôrazňuje, že z politického hľadiska je naliehavo potrebné, aby EÚ prejavila aktívne odhodlanie v súvislosti s procesom rozširovania, a to aj s cieľom zachovať dôveryhodnosť EÚ vo vzťahu ku krajinám zapojeným do procesu rozširovania a ich spoločnostiam; trvá na tom, že rozšírenie EÚ posilní európsku bezpečnosť a hospodárstvo; opäť zdôrazňuje, že budúcnosť západného Balkánu, Ukrajiny a Moldavska je v EÚ, v súlade s túžbami ich obyvateľov; zdôrazňuje, že náklady v prípade nerozšírenia presahujú náklady na dokončenie procesu a že nerozšírenie by predstavovalo riziko vytvorenia geopolitických šedých zón ohrozených škodlivým vplyvom tretích krajín, ktoré sa usilujú rozšíriť svoj politický, hospodársky a strategický vplyv;</w:t>
      </w:r>
    </w:p>
    <w:p w14:paraId="41E37E84" w14:textId="77777777" w:rsidR="00B24779" w:rsidRPr="002D55C9" w:rsidRDefault="00B24779" w:rsidP="00B24779">
      <w:pPr>
        <w:pStyle w:val="NormalHanging12a"/>
      </w:pPr>
      <w:r w:rsidRPr="002D55C9">
        <w:t>3.</w:t>
      </w:r>
      <w:r w:rsidRPr="002D55C9">
        <w:tab/>
        <w:t xml:space="preserve">zdôrazňuje, že pristúpenie je kľúčovým nástrojom na podporu trvalého mieru, demokracie, právneho štátu a základných práv, na podporu regionálneho zmierenia a stability a na ochranu kandidátskych krajín a susedstva EÚ pred škodlivým zahraničným zasahovaním, najmä z Ruska; domnieva sa, že politika rozširovania je nevyhnutným predpokladom vplyvu EÚ v čase zvýšenej geopolitickej nestability; </w:t>
      </w:r>
      <w:r w:rsidRPr="002D55C9">
        <w:lastRenderedPageBreak/>
        <w:t>zdôrazňuje, že prosperita a bezpečnosť EÚ spočíva v jej schopnosti brániť demokraciu, právny štát, ľudské práva a multilaterálny poriadok založený na pravidlách; pripomína spoločné kultúrne, historické a ľudské väzby medzi krajinami zapojenými do procesu rozširovania a členskými štátmi;</w:t>
      </w:r>
    </w:p>
    <w:p w14:paraId="4F7959C8" w14:textId="77777777" w:rsidR="00B24779" w:rsidRPr="002D55C9" w:rsidRDefault="00B24779" w:rsidP="00B24779">
      <w:pPr>
        <w:pStyle w:val="NormalHanging12a"/>
        <w:rPr>
          <w:b/>
          <w:bCs/>
          <w:i/>
        </w:rPr>
      </w:pPr>
      <w:r w:rsidRPr="002D55C9">
        <w:rPr>
          <w:b/>
          <w:i/>
        </w:rPr>
        <w:t>Strategické priority rozširovania EÚ: proces založený na dosiahnutých výsledkoch a podmienenosť</w:t>
      </w:r>
    </w:p>
    <w:p w14:paraId="7D762099" w14:textId="77777777" w:rsidR="00B24779" w:rsidRPr="002D55C9" w:rsidRDefault="00B24779" w:rsidP="00B24779">
      <w:pPr>
        <w:pStyle w:val="NormalHanging12a"/>
      </w:pPr>
      <w:r w:rsidRPr="002D55C9">
        <w:t>4.</w:t>
      </w:r>
      <w:r w:rsidRPr="002D55C9">
        <w:tab/>
        <w:t>víta pokrok dosiahnutý v posledných rokoch, vďaka ktorému môže dôjsť k rozšíreniu EÚ v blízkej budúcnosti; oceňuje významný pokrok Čiernej Hory a Albánska, pričom berie na vedomie ambíciu Čiernej Hory ukončiť prístupové rokovania do konca roka 2026 a Albánska do konca roka 2027; naliehavo vyzýva inštitúcie EÚ, najmä Radu, aby túto ambíciu opätovali, odstránili prekážky na strane EÚ, a tým zvýšili dôveryhodnosť a predvídateľnosť procesu, pričom plne dodržia zásadu, že proces bude striktne založený na dosiahnutých výsledkoch; víta skutočnosť, že Bosna a Hercegovina má štatút kandidátskej krajiny, a nabáda krajinu, aby podnikla ďalšie kroky na uskutočnenie reforiem;</w:t>
      </w:r>
    </w:p>
    <w:p w14:paraId="37CD90B5" w14:textId="77777777" w:rsidR="00B24779" w:rsidRPr="002D55C9" w:rsidRDefault="00B24779" w:rsidP="00B24779">
      <w:pPr>
        <w:pStyle w:val="NormalHanging12a"/>
      </w:pPr>
      <w:r w:rsidRPr="002D55C9">
        <w:t>5.</w:t>
      </w:r>
      <w:r w:rsidRPr="002D55C9">
        <w:tab/>
        <w:t>oceňuje pozoruhodnú odolnosť a odhodlanie Ukrajiny na jej európskej ceste napriek útočnej vojne Ruska; vyzýva EÚ a jej členské štáty, aby naďalej podporovali Ukrajinu, a vyjadruje poľutovanie nad tým, že Rada nedospela k dohode v otázke využívania zmrazených ruských aktív; chváli Moldavsko za to, že napriek neustálym hybridným hrozbám výrazne pokročila na ceste k pristúpeniu k EÚ a úspešne dokončila proces preverovania; vyzýva na urýchlené otvorenie rokovacích blokov s Ukrajinou a Moldavskom a naliehavo vyzýva maďarskú vládu, aby sa zdržala ďalšieho blokovania rokovaní;</w:t>
      </w:r>
    </w:p>
    <w:p w14:paraId="643544CC" w14:textId="77777777" w:rsidR="00B24779" w:rsidRPr="002D55C9" w:rsidRDefault="00B24779" w:rsidP="00B24779">
      <w:pPr>
        <w:pStyle w:val="NormalHanging12a"/>
      </w:pPr>
      <w:r w:rsidRPr="002D55C9">
        <w:t>6.</w:t>
      </w:r>
      <w:r w:rsidRPr="002D55C9">
        <w:tab/>
        <w:t>opakuje, že v súlade s článkom 49 Zmluvy o EÚ môže každý európsky štát požiadať o členstvo v EÚ za predpokladu, že rešpektuje hodnoty uvedené v článku 2 Zmluvy o EÚ vrátane ľudskej dôstojnosti, slobody, demokracie, rovnosti, právneho štátu a ľudských práv vrátane práv menšín; berie na vedomie zvýšenú podporu členstvu v EÚ vo viacerých krajinách, ktoré sa v minulosti pripravovali na vstup do EÚ, vrátane Islandu, ktorý má v úmysle usporiadať do roku 2027 referendum o obnovení prístupových rokovaní, a nabáda vedúcich predstaviteľov EÚ, aby pokračovali v budovaní užších väzieb s týmito krajinami; konštatuje, že 26. marca 2025 arménsky parlament prijal zákon, ktorým formálne podporuje členstvo v EÚ, a vyzval vládu krajiny, aby začala proces pristúpenia k EÚ, a domnieva sa, že trvalé reformy upevňujúce demokraciu Arménska by mohli viesť k posunu vo vzťahoch medzi EÚ a Arménskom; víta potenciálne iniciatívy Grónska na posilnenie svojich politických, inštitucionálnych a hospodárskych väzieb s EÚ vzhľadom na rastúcu podporu pristúpenia k EÚ;</w:t>
      </w:r>
    </w:p>
    <w:p w14:paraId="6A9D262A" w14:textId="77777777" w:rsidR="00B24779" w:rsidRPr="002D55C9" w:rsidRDefault="00B24779" w:rsidP="00B24779">
      <w:pPr>
        <w:pStyle w:val="NormalHanging12a"/>
      </w:pPr>
      <w:r w:rsidRPr="002D55C9">
        <w:t>7.</w:t>
      </w:r>
      <w:r w:rsidRPr="002D55C9">
        <w:tab/>
        <w:t xml:space="preserve">pripomína, že predchádzajúce kolá rozširovania prispeli k značnému hospodárskemu rastu v nových aj starých členských štátoch; zdôrazňuje, že voľný pohyb zlepšil pracovné vyhliadky a mzdy a výrazne znížil chudobu prostredníctvom </w:t>
      </w:r>
      <w:proofErr w:type="spellStart"/>
      <w:r w:rsidRPr="002D55C9">
        <w:t>remitencií</w:t>
      </w:r>
      <w:proofErr w:type="spellEnd"/>
      <w:r w:rsidRPr="002D55C9">
        <w:t>; zdôrazňuje, že rozširovanie malo pozitívny vplyv na životnú úroveň zlepšením pracovného práva, zdravotných a bezpečnostných noriem, rodovej rovnosti, digitálnych služieb, vzdelávania a nediskriminácie;</w:t>
      </w:r>
    </w:p>
    <w:p w14:paraId="29CE1438" w14:textId="77777777" w:rsidR="00B24779" w:rsidRPr="002D55C9" w:rsidRDefault="00B24779" w:rsidP="00B24779">
      <w:pPr>
        <w:pStyle w:val="NormalHanging12a"/>
      </w:pPr>
      <w:r w:rsidRPr="002D55C9">
        <w:t>8.</w:t>
      </w:r>
      <w:r w:rsidRPr="002D55C9">
        <w:tab/>
        <w:t xml:space="preserve">opakuje, že pristúpenie musí byť naďalej zvratným procesom, založeným na dosiahnutých výsledkoch, pričom každého žiadateľa treba posudzovať z hľadiska kodanských kritérií, súladu s </w:t>
      </w:r>
      <w:proofErr w:type="spellStart"/>
      <w:r w:rsidRPr="002D55C9">
        <w:t>acquis</w:t>
      </w:r>
      <w:proofErr w:type="spellEnd"/>
      <w:r w:rsidRPr="002D55C9">
        <w:t xml:space="preserve"> EÚ a všetkých dodatočných podmienok </w:t>
      </w:r>
      <w:r w:rsidRPr="002D55C9">
        <w:lastRenderedPageBreak/>
        <w:t>stanovených v rámci rozširovania; zdôrazňuje, že cesta každej krajiny k integrácii do EÚ sa musí posudzovať na základe jej vlastných dosiahnutých výsledkov a že žiadna krajina by sa nemala spájať s inou krajinou ani by sa k nej nemalo pristupovať ako k súčasti balíka; zdôrazňuje, že v súvislosti s hodnotami a základnými zásadami EÚ nemožno umožniť žiadne skratky;</w:t>
      </w:r>
    </w:p>
    <w:p w14:paraId="61EA5E97" w14:textId="77777777" w:rsidR="00B24779" w:rsidRPr="002D55C9" w:rsidRDefault="00B24779" w:rsidP="00B24779">
      <w:pPr>
        <w:pStyle w:val="NormalHanging12a"/>
      </w:pPr>
      <w:r w:rsidRPr="002D55C9">
        <w:t>9.</w:t>
      </w:r>
      <w:r w:rsidRPr="002D55C9">
        <w:tab/>
        <w:t>zdôrazňuje, že hoci by sa proces mal stať postupnejším a dynamickejším s jasnými reformnými cieľmi, plánmi a priebežnými harmonogramami, nemôžu sa uplatňovať žiadne zrýchlené postupy, pretože by to mohlo ovplyvniť integritu prístupového procesu; konštatuje, že viaceré kandidátske krajiny si už stanovili ambiciózne ciele na ukončenie rokovaní, ktoré by sa mali podporovať, ak budú sprevádzané hmatateľnými reformami;</w:t>
      </w:r>
    </w:p>
    <w:p w14:paraId="773BB42C" w14:textId="77777777" w:rsidR="00B24779" w:rsidRPr="002D55C9" w:rsidRDefault="00B24779" w:rsidP="00B24779">
      <w:pPr>
        <w:pStyle w:val="NormalHanging12a"/>
      </w:pPr>
      <w:r w:rsidRPr="002D55C9">
        <w:t>10.</w:t>
      </w:r>
      <w:r w:rsidRPr="002D55C9">
        <w:tab/>
        <w:t>zdôrazňuje, že právny štát, demokratické reformy, sloboda médií a základné práva vrátane práv menšín musia byť naďalej v popredí rozširovania; zdôrazňuje význam nezávislosti súdnictva, boja proti korupcii, začlenenia a podpory občianskej spoločnosti a priaznivého prostredia bez zastrašovania ako kľúčových predpokladov udržateľného pokroku na ceste k členstvu v EÚ, najmä v čase silnejúcich autoritárskych tendencií; zdôrazňuje, že všetky ostatné rokovacie kapitoly sa musia riadiť pokrokom v oblasti základných hodnôt;</w:t>
      </w:r>
    </w:p>
    <w:p w14:paraId="487BFCB6" w14:textId="77777777" w:rsidR="00B24779" w:rsidRPr="002D55C9" w:rsidRDefault="00B24779" w:rsidP="00B24779">
      <w:pPr>
        <w:pStyle w:val="NormalHanging12a"/>
      </w:pPr>
      <w:r w:rsidRPr="002D55C9">
        <w:t>11.</w:t>
      </w:r>
      <w:r w:rsidRPr="002D55C9">
        <w:tab/>
        <w:t>zdôrazňuje potrebu dosiahnuť a uplatňovať rodovú rovnosť, a to aj odstránením rodovo motivovaného a domáceho násilia, chrániť práva detí a ich prístup ku kvalitnému vzdelávaniu a plne uplatňovať zásadu nediskriminácie, a to aj voči komunite LGBTIQ+ a osobám so zdravotným postihnutím, počas celého prístupového procesu; zdôrazňuje, že ľudské práva sa musia chrániť nielen v právnych predpisoch, ale aj dôsledným vykonávaním v praxi; zdôrazňuje, že je potrebné, aby všetky krajiny zapojené do procesu rozširovania zabezpečili skutočné zastúpenie menšín na všetkých úrovniach verejnej správy, zachovali kultúrnu a jazykovú identitu menšín, zabezpečili prístup ku kvalitnému vzdelávaniu v menšinových jazykoch a účinne bojovali proti nenávistným prejavom a trestným činom motivovaným nenávisťou;</w:t>
      </w:r>
    </w:p>
    <w:p w14:paraId="579AAE5A" w14:textId="77777777" w:rsidR="00B24779" w:rsidRPr="002D55C9" w:rsidRDefault="00B24779" w:rsidP="00B24779">
      <w:pPr>
        <w:pStyle w:val="NormalHanging12a"/>
      </w:pPr>
      <w:r w:rsidRPr="002D55C9">
        <w:t>12.</w:t>
      </w:r>
      <w:r w:rsidRPr="002D55C9">
        <w:tab/>
        <w:t>vyzýva Komisiu, aby do svojej výročnej správy o právnom štáte zahrnula všetky krajiny zapojené do procesu rozširovania, na ktoré sa táto správa v súčasnosti nevzťahuje; je osobitne znepokojený pretrvávajúcimi nedostatkami a stagnáciou procesov reformy súdnictva, pokusmi o zvrátenie pokroku v boji proti korupcii, obmedzeným pokrokom v reformách verejnej správy, nedostatočným zosúladením volebných právnych predpisov s európskymi normami, ako aj polarizáciou spoločnosti, zmenšujúcim sa priestorom pre občiansku spoločnosť a potláčaním práva na pokojné zhromažďovanie, ku ktorým dochádza v niektorých krajinách zapojených do procesu rozširovania;</w:t>
      </w:r>
    </w:p>
    <w:p w14:paraId="641FA389" w14:textId="77777777" w:rsidR="00B24779" w:rsidRPr="002D55C9" w:rsidRDefault="00B24779" w:rsidP="00B24779">
      <w:pPr>
        <w:pStyle w:val="NormalHanging12a"/>
      </w:pPr>
      <w:r w:rsidRPr="002D55C9">
        <w:t>13.</w:t>
      </w:r>
      <w:r w:rsidRPr="002D55C9">
        <w:tab/>
        <w:t>zdôrazňuje, že v EÚ ani v krajinách uchádzajúcich sa o členstvo v EÚ nie je miesto pre štvavú rétoriku, popieranie genocídy alebo glorifikáciu vojnových zločincov akejkoľvek strany; keďže konfrontácia s minulosťou je nevyhnutná pre skutočné zmierenie, ktoré má zásadný význam pre prosperujúce spoločnosti a úspešnú integráciu;</w:t>
      </w:r>
    </w:p>
    <w:p w14:paraId="2CD1ADBD" w14:textId="77777777" w:rsidR="00B24779" w:rsidRPr="002D55C9" w:rsidRDefault="00B24779" w:rsidP="00B24779">
      <w:pPr>
        <w:pStyle w:val="NormalHanging12a"/>
      </w:pPr>
      <w:r w:rsidRPr="002D55C9">
        <w:t>14.</w:t>
      </w:r>
      <w:r w:rsidRPr="002D55C9">
        <w:tab/>
        <w:t xml:space="preserve">nabáda krajiny zapojené do procesu rozširovania, aby naďalej odhodlane a včas vykonávali potrebné reformy a dosahovali hmatateľný a nezvratný pokrok, počnúc plnením základných hodnôt; trvá na tom, že je potrebné vyvíjať neustále úsilie o podporu plurality médií, ochranu práv novinárov, ochranu prostredia pre investigatívnu žurnalistiku a zabezpečenie slobody prejavu vo všetkých krajinách zapojených do </w:t>
      </w:r>
      <w:r w:rsidRPr="002D55C9">
        <w:lastRenderedPageBreak/>
        <w:t>procesu rozširovania a zároveň vykonávať účinné mechanizmy na riešenie problému nenávistných prejavov, očierňujúcich kampaní, obťažovania, hrozieb a útokov proti novinárom; trvá na tom, že treba vyšetrovať a stíhať takéto trestné činy a zároveň riešiť otázku koncentrácie médií, politického a hospodárskeho tlaku a nedostatočnej transparentnosti, pokiaľ ide o financovanie a vlastníctvo médií;</w:t>
      </w:r>
    </w:p>
    <w:p w14:paraId="030305E1" w14:textId="77777777" w:rsidR="00B24779" w:rsidRPr="002D55C9" w:rsidRDefault="00B24779" w:rsidP="00B24779">
      <w:pPr>
        <w:pStyle w:val="NormalHanging12a"/>
      </w:pPr>
      <w:r w:rsidRPr="002D55C9">
        <w:t>15.</w:t>
      </w:r>
      <w:r w:rsidRPr="002D55C9">
        <w:tab/>
        <w:t>zdôrazňuje potrebu zvýšiť zapojenie občanov a občianskej spoločnosti do procesu rozširovania; zdôrazňuje úlohu organizácií občianskej spoločnosti s preukázanými výsledkami a odvetvovými odbornými znalosťami pri preverovaní, prerokúvaní, vykonávaní a monitorovaní reforiem a pri zabezpečovaní transparentnosti, zodpovednosti a dôvery verejnosti v prístupový proces; zdôrazňuje význam trvalej podpory ich práce a bezpečného prostredia pre ich činnosť; naliehavo vyzýva na zvyšovanie vnútroštátneho povedomia o význame podpory občianskej spoločnosti a zvyšovania štátnej podpory jej činností vrátane prípravy na zmeny vo financovaní po pristúpení k EÚ;</w:t>
      </w:r>
    </w:p>
    <w:p w14:paraId="26053087" w14:textId="77777777" w:rsidR="00B24779" w:rsidRPr="002D55C9" w:rsidRDefault="00B24779" w:rsidP="00B24779">
      <w:pPr>
        <w:pStyle w:val="NormalHanging12a"/>
      </w:pPr>
      <w:r w:rsidRPr="002D55C9">
        <w:t>16.</w:t>
      </w:r>
      <w:r w:rsidRPr="002D55C9">
        <w:tab/>
        <w:t xml:space="preserve">opakuje svoju pozíciu, že zosúladenie so spoločnou zahraničnou a bezpečnostnou politikou EÚ je základným ukazovateľom jasnej </w:t>
      </w:r>
      <w:proofErr w:type="spellStart"/>
      <w:r w:rsidRPr="002D55C9">
        <w:t>geostrategickej</w:t>
      </w:r>
      <w:proofErr w:type="spellEnd"/>
      <w:r w:rsidRPr="002D55C9">
        <w:t xml:space="preserve"> orientácie kandidátskej krajiny, jej odhodlania presadzovať základné hodnoty a zásady EÚ a pripravenosti na budúce členstvo v EÚ;</w:t>
      </w:r>
    </w:p>
    <w:p w14:paraId="30236FD5" w14:textId="77777777" w:rsidR="00B24779" w:rsidRPr="002D55C9" w:rsidRDefault="00B24779" w:rsidP="00B24779">
      <w:pPr>
        <w:pStyle w:val="NormalHanging12a"/>
      </w:pPr>
      <w:r w:rsidRPr="002D55C9">
        <w:t>17.</w:t>
      </w:r>
      <w:r w:rsidRPr="002D55C9">
        <w:tab/>
        <w:t>konštatuje, že niektoré kandidátske krajiny, predovšetkým Ukrajina, už prispievajú k európskej bezpečnosti a obrane; vyjadruje hlbokú úctu a vďaku ukrajinskému ľudu, ktorý každodenne platí najvyššiu cenu za zachovanie európskeho spôsobu života;</w:t>
      </w:r>
    </w:p>
    <w:p w14:paraId="5A85FF1E" w14:textId="77777777" w:rsidR="00B24779" w:rsidRPr="002D55C9" w:rsidRDefault="00B24779" w:rsidP="00B24779">
      <w:pPr>
        <w:pStyle w:val="NormalHanging12a"/>
      </w:pPr>
      <w:r w:rsidRPr="002D55C9">
        <w:t>18.</w:t>
      </w:r>
      <w:r w:rsidRPr="002D55C9">
        <w:tab/>
        <w:t xml:space="preserve">víta úspešné obnovenie dialógu o SZBP s partnermi na západnom Balkáne a zdôrazňuje význam týchto partnerstiev pre mier a bezpečnosť; naliehavo vyzýva všetky kandidátske a potenciálne kandidátske krajiny, aby sa prednostne zameriavali na rýchle a úplné zosúladenie so SZBP, a opakuje, že pristúpenie danej krajiny sa môže uskutočniť až vtedy, keď dosiahne úplný súlad so SZBP vrátane prijatia a vykonávania reštriktívnych opatrení a zosúladenia s vízovou politikou EÚ; </w:t>
      </w:r>
      <w:bookmarkStart w:id="8" w:name="_Hlk217046534"/>
      <w:r w:rsidRPr="002D55C9">
        <w:t xml:space="preserve">konštatuje, že najviac znepokojujúci vývoj a úpadok demokracie pokračuje v krajinách zapojených do procesu rozširovania s najnižšou mierou zosúladenia so SZBP a v krajinách, ktorých proces pristúpenia k EÚ sa v skutočnosti zastavil, najmä v Srbsku, Gruzínsku a Turecku; naliehavo vyzýva EÚ a členské štáty, aby vyvinuli maximálne úsilie na zabránenie ďalším krajinám zapojeným do procesu rozširovania v tom, aby sa vydali rovnakou cestou; </w:t>
      </w:r>
      <w:bookmarkEnd w:id="8"/>
      <w:r w:rsidRPr="002D55C9">
        <w:t>zdôrazňuje, že systematické odkláňanie sa od zosúladenia so SZBP predstavuje základnú prekážku pristúpenia k EÚ; očakáva, že kandidátske a potenciálne kandidátske krajiny sa v plnej miere zosúladia aj so spoločnou bezpečnostnou a obrannou politikou (SBOP) vrátane jej zásad, cieľov a misií, keďže ide o kľúčový prvok prístupového procesu; nabáda Radu pre zahraničné veci, aby pozývala ministrov zahraničných vecí krajín zapojených do procesu rozširovania, ktoré sú plne zosúladené so SZBP, aby sa zúčastňovali na jej samitoch ako hostia;</w:t>
      </w:r>
    </w:p>
    <w:p w14:paraId="6198F957" w14:textId="77777777" w:rsidR="00B24779" w:rsidRPr="002D55C9" w:rsidRDefault="00B24779" w:rsidP="00B24779">
      <w:pPr>
        <w:pStyle w:val="NormalHanging12a"/>
      </w:pPr>
      <w:r w:rsidRPr="002D55C9">
        <w:t>19.</w:t>
      </w:r>
      <w:r w:rsidRPr="002D55C9">
        <w:tab/>
        <w:t xml:space="preserve">berie na vedomie význam posilnenia úlohy kandidátskych krajín v európskej bezpečnosti a obrane a podporuje ich účasť, ktorá je založená na dosiahnutých výsledkoch, na vybraných obranných nástrojoch, programoch a projektoch EÚ, ako aj udelenie štatútu pozorovateľa týmto krajinám v Európskej obrannej agentúre; naliehavo vyzýva, aby boli zahrnuté do diskusie a záväzkov týkajúcich sa poskytnutia bezpečnostných záruk Ukrajine; uznáva prínos viacerých kandidátskych krajín k misiám SBOP EÚ a ich boju proti zahraničnej manipulácii s informáciami a zahraničnému </w:t>
      </w:r>
      <w:r w:rsidRPr="002D55C9">
        <w:lastRenderedPageBreak/>
        <w:t>zasahovaniu proti EÚ a hybridným hrozbám a zdôrazňuje, že užšia integrácia posilňuje kolektívnu bezpečnosť a odolnosť voči hybridným hrozbám;</w:t>
      </w:r>
    </w:p>
    <w:p w14:paraId="44A25778" w14:textId="77777777" w:rsidR="00B24779" w:rsidRPr="002D55C9" w:rsidRDefault="00B24779" w:rsidP="00B24779">
      <w:pPr>
        <w:pStyle w:val="NormalHanging12a"/>
      </w:pPr>
      <w:r w:rsidRPr="002D55C9">
        <w:t>20.</w:t>
      </w:r>
      <w:r w:rsidRPr="002D55C9">
        <w:tab/>
        <w:t>zdôrazňuje, že nesúlad so SZBP predstavuje pre EÚ bezpečnostné riziká, ako je umožnenie občanom tretích krajín získať právo cestovať do EÚ v rámci bezvízového styku tým, že sa im udelí občianstvo kandidátskej krajiny, alebo ďalšie zvyšovanie závislosti od Číny; trvá na tom, že treba stanoviť jasné podmienky, pokiaľ ide o spoluprácu s geopolitickými rivalmi, ktorých cieľom je oslabiť medzinárodný poriadok založený na pravidlách a oslabiť Európu a jej demokraciu;</w:t>
      </w:r>
    </w:p>
    <w:p w14:paraId="230280C5" w14:textId="77777777" w:rsidR="00B24779" w:rsidRPr="002D55C9" w:rsidRDefault="00B24779" w:rsidP="00B24779">
      <w:pPr>
        <w:pStyle w:val="NormalHanging12a"/>
      </w:pPr>
      <w:r w:rsidRPr="002D55C9">
        <w:t>21.</w:t>
      </w:r>
      <w:r w:rsidRPr="002D55C9">
        <w:tab/>
        <w:t>zdôrazňuje, že regionálna spolupráca, najmä na západnom Balkáne, je predpokladom pristúpenia k EÚ; zdôrazňuje, že zmierenie, ktorého výsledkom sú dobré susedské vzťahy, je kľúčom k úspešnému pristúpeniu k EÚ; okrem toho zdôrazňuje, že nevyriešené dvojstranné záležitosti medzi krajinami EÚ a krajinami, ktoré nie sú členmi EÚ, by sa mali riešiť dvojstranne a v súlade s medzinárodným právom a nemali by sa využívať na blokovanie rozširovania; zdôrazňuje, že nadmerné oneskorenia môžu negatívne ovplyvniť verejnú mienku aj politické odhodlanie v kandidátskych krajinách;</w:t>
      </w:r>
    </w:p>
    <w:p w14:paraId="3212C7CE" w14:textId="77777777" w:rsidR="00B24779" w:rsidRPr="002D55C9" w:rsidRDefault="00B24779" w:rsidP="00B24779">
      <w:pPr>
        <w:pStyle w:val="NormalHanging12a"/>
      </w:pPr>
      <w:r w:rsidRPr="002D55C9">
        <w:t>22.</w:t>
      </w:r>
      <w:r w:rsidRPr="002D55C9">
        <w:tab/>
        <w:t>pripomína, že proces pristúpenia k EÚ závisí od plnenia podmienok uvedených v rokovacích rámcoch EÚ, podpory dobrých susedských vzťahov a dodržiavania dvojstranných a medzinárodných dohôd v súlade s kodanskými kritériami a zakladá sa na samotných výsledkoch danej krajiny; vyzýva Radu, aby zabránila tomu, aby dvojstranné otázky, ktoré nesúvisia s kodanskými kritériami, bránili pokroku;</w:t>
      </w:r>
    </w:p>
    <w:p w14:paraId="1587F332" w14:textId="77777777" w:rsidR="00B24779" w:rsidRPr="002D55C9" w:rsidRDefault="00B24779" w:rsidP="00B24779">
      <w:pPr>
        <w:pStyle w:val="NormalHanging12a"/>
      </w:pPr>
      <w:r w:rsidRPr="002D55C9">
        <w:t>23.</w:t>
      </w:r>
      <w:r w:rsidRPr="002D55C9">
        <w:tab/>
        <w:t xml:space="preserve">zdôrazňuje význam dialógu medzi Belehradom a Prištinou, ktorý má zásadný význam pre to, aby Srbsko a Kosovo pokročili na svojej ceste do Európy, a prispeje k regionálnej stabilite a prosperite, ako aj význam toho, aby sa naďalej v dobrej viere vykonávala Dohoda z </w:t>
      </w:r>
      <w:proofErr w:type="spellStart"/>
      <w:r w:rsidRPr="002D55C9">
        <w:t>Prespy</w:t>
      </w:r>
      <w:proofErr w:type="spellEnd"/>
      <w:r w:rsidRPr="002D55C9">
        <w:t xml:space="preserve"> medzi Severným Macedónskom a Gréckom a Zmluva o priateľstve, dobrých susedských vzťahoch a spolupráci medzi Severným Macedónskom a Bulharskom v súlade s rokovacím rámcom EÚ;</w:t>
      </w:r>
    </w:p>
    <w:p w14:paraId="1B8971F9" w14:textId="77777777" w:rsidR="00B24779" w:rsidRPr="002D55C9" w:rsidRDefault="00B24779" w:rsidP="00B24779">
      <w:pPr>
        <w:pStyle w:val="NormalHanging12a"/>
      </w:pPr>
      <w:r w:rsidRPr="002D55C9">
        <w:t>24.</w:t>
      </w:r>
      <w:r w:rsidRPr="002D55C9">
        <w:tab/>
        <w:t>opakuje svoje stanovisko, že je dôležité otvoriť a zverejniť vojnové a komunistické historické archívy s cieľom ďalej umožniť hľadanie pravdy a zmierenie a posilniť demokratickú správu vecí verejných; zdôrazňuje význam úplného vykonávania rozhodnutí vnútroštátnych a medzinárodných súdov, dodržiavania medzinárodných záväzkov týkajúcich sa vojnových zločinov a nezvestných osôb a riešenia glorifikácie vojnových zločincov a historického revizionizmu;</w:t>
      </w:r>
    </w:p>
    <w:p w14:paraId="02E628C4" w14:textId="77777777" w:rsidR="00B24779" w:rsidRPr="002D55C9" w:rsidRDefault="00B24779" w:rsidP="00B24779">
      <w:pPr>
        <w:pStyle w:val="NormalHanging12a"/>
      </w:pPr>
      <w:r w:rsidRPr="002D55C9">
        <w:t>25.</w:t>
      </w:r>
      <w:r w:rsidRPr="002D55C9">
        <w:tab/>
        <w:t>zdôrazňuje, že pri uplatňovaní prístupu založeného na dosiahnutých výsledkoch môže v prípade zhoršenia situácie v oblasti základných hodnôt dôjsť k zastaveniu alebo zrušeniu prístupových rokovaní, ktoré sa obnovia až po dosiahnutí dostatočného pokroku pri realizácii reforiem; zdôrazňuje, že krajiny s nedostatočnými výsledkami v oblasti demokratickej správy vecí verejných musia znášať dôsledky, aby sa zabezpečilo, že prístupový proces bude naďalej skutočne založený na dosiahnutých výsledkoch; opakuje, že EÚ musí proaktívne podporovať demokratické piliere v kandidátskych krajinách s cieľom posilniť stabilitu a dynamiku reforiem;</w:t>
      </w:r>
    </w:p>
    <w:p w14:paraId="52B6895F" w14:textId="77777777" w:rsidR="00B24779" w:rsidRPr="002D55C9" w:rsidRDefault="00B24779" w:rsidP="00B24779">
      <w:pPr>
        <w:pStyle w:val="NormalHanging12a"/>
      </w:pPr>
      <w:r w:rsidRPr="002D55C9">
        <w:t>26.</w:t>
      </w:r>
      <w:r w:rsidRPr="002D55C9">
        <w:tab/>
        <w:t xml:space="preserve">vyzýva na dôkladné vyhodnotenie politiky rozširovania z hľadiska jej obsahu, ako aj podstaty s cieľom posúdiť, prečo niektoré krajiny zapojené do procesu rozširovania dosiahli takýto obmedzený pokrok, najmä v oblasti právneho štátu, ľudských práv a demokracie; vyzýva na vyhodnotenie pokroku dosiahnutého nielen na legislatívnej </w:t>
      </w:r>
      <w:r w:rsidRPr="002D55C9">
        <w:lastRenderedPageBreak/>
        <w:t>úrovni, ale aj pokiaľ ide o vykonávanie;</w:t>
      </w:r>
    </w:p>
    <w:p w14:paraId="3FC0D4C2" w14:textId="77777777" w:rsidR="00B24779" w:rsidRPr="002D55C9" w:rsidRDefault="00B24779" w:rsidP="00B24779">
      <w:pPr>
        <w:pStyle w:val="NormalHanging12a"/>
      </w:pPr>
      <w:r w:rsidRPr="002D55C9">
        <w:t>27.</w:t>
      </w:r>
      <w:r w:rsidRPr="002D55C9">
        <w:tab/>
        <w:t>vyzýva Komisiu, aby zriadila skupinu na monitorovanie vykonávania reforiem v rámci bloku základných hodnôt, kde sú rýchly pokrok alebo zhoršenie situácie často najviditeľnejšie a môžu významne ovplyvniť dôveryhodnosť a udržateľnosť prístupového procesu;</w:t>
      </w:r>
    </w:p>
    <w:p w14:paraId="63AEFFC0" w14:textId="77777777" w:rsidR="00B24779" w:rsidRPr="002D55C9" w:rsidRDefault="00B24779" w:rsidP="00B24779">
      <w:pPr>
        <w:pStyle w:val="NormalHanging12a"/>
      </w:pPr>
      <w:r w:rsidRPr="002D55C9">
        <w:t>28.</w:t>
      </w:r>
      <w:r w:rsidRPr="002D55C9">
        <w:tab/>
        <w:t xml:space="preserve">uznáva, že veľké nedostatky v predchádzajúcich dokončených procesoch rozširovania umožnili, aby po pristúpení k EÚ došlo k úpadku demokracie, čím sa oslabila dôveryhodnosť politiky rozširovania EÚ; konštatuje, že v kandidátskych krajinách, ktoré nedosiahli dostatočný pokrok na ceste k členstvu v EÚ, by EÚ mala posilniť svoju pomoc </w:t>
      </w:r>
      <w:proofErr w:type="spellStart"/>
      <w:r w:rsidRPr="002D55C9">
        <w:t>proeurópskym</w:t>
      </w:r>
      <w:proofErr w:type="spellEnd"/>
      <w:r w:rsidRPr="002D55C9">
        <w:t xml:space="preserve"> demokratickým aktérom občianskej spoločnosti, ktorí sú odhodlaní presadzovať reformy a európske hodnoty;</w:t>
      </w:r>
    </w:p>
    <w:p w14:paraId="4B964A75" w14:textId="77777777" w:rsidR="00B24779" w:rsidRPr="002D55C9" w:rsidRDefault="00B24779" w:rsidP="00B24779">
      <w:pPr>
        <w:pStyle w:val="NormalHanging12a"/>
      </w:pPr>
      <w:r w:rsidRPr="002D55C9">
        <w:t>29.</w:t>
      </w:r>
      <w:r w:rsidRPr="002D55C9">
        <w:tab/>
        <w:t>vyzýva delegácie EÚ v teréne, aby sústavne uplatňovali vierohodný prístup založený na dosiahnutých výsledkoch a dodržiavaní zásad právneho štátu a ochrany ľudských práv;</w:t>
      </w:r>
    </w:p>
    <w:p w14:paraId="5FB33EF2" w14:textId="77777777" w:rsidR="00B24779" w:rsidRPr="002D55C9" w:rsidRDefault="00B24779" w:rsidP="00B24779">
      <w:pPr>
        <w:pStyle w:val="NormalHanging12a"/>
        <w:rPr>
          <w:b/>
          <w:i/>
        </w:rPr>
      </w:pPr>
      <w:r w:rsidRPr="002D55C9">
        <w:rPr>
          <w:b/>
          <w:i/>
        </w:rPr>
        <w:t>Zabezpečenie účinného fungovania rozšírenej Únie</w:t>
      </w:r>
    </w:p>
    <w:p w14:paraId="7A82BEF3" w14:textId="77777777" w:rsidR="00B24779" w:rsidRPr="002D55C9" w:rsidRDefault="00B24779" w:rsidP="00B24779">
      <w:pPr>
        <w:pStyle w:val="NormalHanging12a"/>
      </w:pPr>
      <w:r w:rsidRPr="002D55C9">
        <w:t>30.</w:t>
      </w:r>
      <w:r w:rsidRPr="002D55C9">
        <w:tab/>
        <w:t>domnieva sa, že proces prípravy na rozšírenie by mal prebiehať súbežne v EÚ aj v krajinách zapojených do procesu rozširovania, aby sa zabezpečilo účinné fungovanie rozšírenej Únie;</w:t>
      </w:r>
    </w:p>
    <w:p w14:paraId="04E465D8" w14:textId="77777777" w:rsidR="00B24779" w:rsidRPr="002D55C9" w:rsidRDefault="00B24779" w:rsidP="00B24779">
      <w:pPr>
        <w:pStyle w:val="NormalHanging12a"/>
      </w:pPr>
      <w:r w:rsidRPr="002D55C9">
        <w:t>31.</w:t>
      </w:r>
      <w:r w:rsidRPr="002D55C9">
        <w:tab/>
        <w:t>opakuje svoju výzvu inštitúciám EÚ a členským štátom, aby uskutočnili potrebné reformy na posilnenie EÚ a strategickej autonómie Európy, aby absencia takýchto reforiem neoddialila pristúpenie nových členských štátov;</w:t>
      </w:r>
    </w:p>
    <w:p w14:paraId="4923C2CB" w14:textId="77777777" w:rsidR="00B24779" w:rsidRPr="002D55C9" w:rsidRDefault="00B24779" w:rsidP="00B24779">
      <w:pPr>
        <w:pStyle w:val="Normal12Hanging"/>
        <w:rPr>
          <w:lang w:val="sk-SK"/>
        </w:rPr>
      </w:pPr>
      <w:r w:rsidRPr="002D55C9">
        <w:rPr>
          <w:lang w:val="sk-SK"/>
        </w:rPr>
        <w:t>32.</w:t>
      </w:r>
      <w:r w:rsidRPr="002D55C9">
        <w:rPr>
          <w:lang w:val="sk-SK"/>
        </w:rPr>
        <w:tab/>
        <w:t>opakuje svoju výzvu, aby sa posilnila schopnosť EÚ konať zavedením hlasovania kvalifikovanou väčšinou v oblastiach relevantných pre prístupový proces, a to najmä zrušením požiadavky jednomyseľnosti v čiastkových krokoch procesu rozširovania, keď sa rozhoduje o otvorení a uzavretí jednotlivých rokovacích blokov a kapitol; vyjadruje poľutovanie nad skutočnosťou, že nadmerné využívanie jednomyseľnosti v čiastkových krokoch procesu rozširovania opakovane spomalilo rozširovanie EÚ a oslabuje podporu integrácie do EÚ zo strany verejnosti;</w:t>
      </w:r>
    </w:p>
    <w:p w14:paraId="79D67319" w14:textId="6A082B9D" w:rsidR="00B24779" w:rsidRPr="002D55C9" w:rsidRDefault="001A74BB" w:rsidP="00B24779">
      <w:pPr>
        <w:pStyle w:val="NormalHanging12a"/>
      </w:pPr>
      <w:r w:rsidRPr="002D55C9">
        <w:t>33</w:t>
      </w:r>
      <w:r w:rsidR="00B24779" w:rsidRPr="002D55C9">
        <w:t>.</w:t>
      </w:r>
      <w:r w:rsidR="00B24779" w:rsidRPr="002D55C9">
        <w:tab/>
        <w:t>domnieva sa, že je potrebné preskúmať odvetvové politiky EÚ s cieľom posúdiť, ako začleniť nové členské štáty a zabezpečiť účinné fungovanie rozšírenej Únie; víta nadchádzajúce preskúmania politík pred rozširovaním ako zásadný krok pri príprave Únie na nových členov;</w:t>
      </w:r>
    </w:p>
    <w:p w14:paraId="330A79FF" w14:textId="567E1D78" w:rsidR="00B24779" w:rsidRPr="002D55C9" w:rsidRDefault="001A74BB" w:rsidP="00B24779">
      <w:pPr>
        <w:pStyle w:val="NormalHanging12a"/>
      </w:pPr>
      <w:r w:rsidRPr="002D55C9">
        <w:t>34</w:t>
      </w:r>
      <w:r w:rsidR="00B24779" w:rsidRPr="002D55C9">
        <w:t>.</w:t>
      </w:r>
      <w:r w:rsidR="00B24779" w:rsidRPr="002D55C9">
        <w:tab/>
        <w:t>zdôrazňuje, že proces rozširovania ponúka značný potenciál zbližovania v niekoľkých kľúčových oblastiach, ako je hospodárstvo, ochrana životného prostredia a bezpečnosť, ako ukázali predchádzajúce kolá rozširovania; víta prvé účinky konvergencie vyvolané európskou perspektívou; zdôrazňuje, že politika súdržnosti a spoločná poľnohospodárska politika zohrávajú ústrednú úlohu pri podpore konvergencie medzi členskými štátmi EÚ a mali by sa zachovať pre rozšírenú Európsku úniu;</w:t>
      </w:r>
    </w:p>
    <w:p w14:paraId="33F7057A" w14:textId="3F3D72F7" w:rsidR="00B24779" w:rsidRPr="002D55C9" w:rsidRDefault="001A74BB" w:rsidP="00B24779">
      <w:pPr>
        <w:pStyle w:val="NormalHanging12a"/>
      </w:pPr>
      <w:r w:rsidRPr="002D55C9">
        <w:t>35</w:t>
      </w:r>
      <w:r w:rsidR="00B24779" w:rsidRPr="002D55C9">
        <w:t>.</w:t>
      </w:r>
      <w:r w:rsidR="00B24779" w:rsidRPr="002D55C9">
        <w:tab/>
        <w:t xml:space="preserve">uznáva význam širokého uplatňovania postupnej integrácie do spoločných politík EÚ, ako je jednotný trh vrátane jednotného digitálneho trhu, pre kandidátske krajiny, ktoré dosahujú významný pokrok v reformách súvisiacich s EÚ, a to spôsobom, ktorý je založený na dosiahnutých výsledkoch a je zvratný, pričom treba v plnej miere zachovať integritu vnútorného trhu EÚ a rovnaké podmienky; zdôrazňuje, že hoci postupná </w:t>
      </w:r>
      <w:r w:rsidR="00B24779" w:rsidRPr="002D55C9">
        <w:lastRenderedPageBreak/>
        <w:t xml:space="preserve">integrácia kandidátskych krajín môže týmto krajinám pomôcť pri vykonávaní </w:t>
      </w:r>
      <w:proofErr w:type="spellStart"/>
      <w:r w:rsidR="00B24779" w:rsidRPr="002D55C9">
        <w:t>acquis</w:t>
      </w:r>
      <w:proofErr w:type="spellEnd"/>
      <w:r w:rsidR="00B24779" w:rsidRPr="002D55C9">
        <w:t xml:space="preserve"> EÚ, a tým uľahčiť prechod na členstvo v EÚ, nemôže nahradiť plné členstvo v EÚ; zdôrazňuje, že budúce členské štáty by mali mať rovnaké práva a povinnosti ako súčasné členské štáty, a dôrazne nesúhlasí s vytvorením rôznych tried členstva;</w:t>
      </w:r>
    </w:p>
    <w:p w14:paraId="2699EAFE" w14:textId="33703690" w:rsidR="00B24779" w:rsidRPr="002D55C9" w:rsidRDefault="001A74BB" w:rsidP="00B24779">
      <w:pPr>
        <w:pStyle w:val="NormalHanging12a"/>
      </w:pPr>
      <w:r w:rsidRPr="002D55C9">
        <w:t>36</w:t>
      </w:r>
      <w:r w:rsidR="00B24779" w:rsidRPr="002D55C9">
        <w:t>.</w:t>
      </w:r>
      <w:r w:rsidR="00B24779" w:rsidRPr="002D55C9">
        <w:tab/>
        <w:t>zdôrazňuje skutočnosť, že najcennejším a najlepšie prijímaným výsledkom postupnej integrácie je liberalizácia vízového režimu; podporuje nové pravidlá, ktoré by umožnili pozastavenie liberalizácie vízového režimu pre štátnych príslušníkov krajín zapojených do procesu rozširovania, ktorí sú zodpovední za úpadok demokracie a závažné porušovanie ľudských práv vrátane prenasledovania pokojných demonštrantov, občianskej spoločnosti, pracovníkov médií a opozičných politikov a používania násilia proti nim;</w:t>
      </w:r>
    </w:p>
    <w:p w14:paraId="79D8EBA9" w14:textId="72E9FB11" w:rsidR="00B24779" w:rsidRPr="002D55C9" w:rsidRDefault="001A74BB" w:rsidP="00B24779">
      <w:pPr>
        <w:pStyle w:val="NormalHanging12a"/>
      </w:pPr>
      <w:r w:rsidRPr="002D55C9">
        <w:t>37</w:t>
      </w:r>
      <w:r w:rsidR="00B24779" w:rsidRPr="002D55C9">
        <w:t>.</w:t>
      </w:r>
      <w:r w:rsidR="00B24779" w:rsidRPr="002D55C9">
        <w:tab/>
        <w:t>zdôrazňuje, že kandidátske krajiny by mali mať možnosť postupnej integrácie v súlade s prístupom založeným na dosiahnutých výsledkoch a podmienenosti; zdôrazňuje, že je nevyhnutné zabezpečiť, aby bola postupná integrácia zvratná v prípadoch, keď kandidátska krajina zaostáva v plnení záväzkov;</w:t>
      </w:r>
    </w:p>
    <w:p w14:paraId="11D5A6FC" w14:textId="1551A354" w:rsidR="00B24779" w:rsidRPr="002D55C9" w:rsidRDefault="001A74BB" w:rsidP="00B24779">
      <w:pPr>
        <w:pStyle w:val="NormalHanging12a"/>
      </w:pPr>
      <w:r w:rsidRPr="002D55C9">
        <w:t>38</w:t>
      </w:r>
      <w:r w:rsidR="00B24779" w:rsidRPr="002D55C9">
        <w:t>.</w:t>
      </w:r>
      <w:r w:rsidR="00B24779" w:rsidRPr="002D55C9">
        <w:tab/>
        <w:t xml:space="preserve">opakuje, že proces rozširovania by sa mal podporiť tým, že kandidátske krajiny budú zapojené do fungovania inštitúcií EÚ, a to aj prostredníctvom štatútu pozorovateľa v príslušných orgánoch a inštitúciách vrátane </w:t>
      </w:r>
      <w:r w:rsidR="00A70F20" w:rsidRPr="002D55C9">
        <w:t>Európskeho p</w:t>
      </w:r>
      <w:r w:rsidR="00B24779" w:rsidRPr="002D55C9">
        <w:t>arlamentu a Agentúry EÚ pre základné práva;</w:t>
      </w:r>
    </w:p>
    <w:p w14:paraId="4C73DD4D" w14:textId="77F39392" w:rsidR="00B24779" w:rsidRPr="002D55C9" w:rsidRDefault="001A74BB" w:rsidP="00B24779">
      <w:pPr>
        <w:pStyle w:val="NormalHanging12a"/>
      </w:pPr>
      <w:r w:rsidRPr="002D55C9">
        <w:t>39</w:t>
      </w:r>
      <w:r w:rsidR="00B24779" w:rsidRPr="002D55C9">
        <w:t>.</w:t>
      </w:r>
      <w:r w:rsidR="00B24779" w:rsidRPr="002D55C9">
        <w:tab/>
        <w:t>zdôrazňuje, že je dôležité podporovať informovanosť verejnosti v európskych spoločnostiach o rozširovaní EÚ a jeho úlohe, ktorú bude zohrávať pri zabezpečovaní nadčasovej európskej integrácie; zdôrazňuje skutočnosť, že úspešný proces rozširovania bude výrazne závisieť od jasnej a transparentnej komunikačnej stratégie;</w:t>
      </w:r>
    </w:p>
    <w:p w14:paraId="13FD9EF4" w14:textId="77777777" w:rsidR="00B24779" w:rsidRPr="002D55C9" w:rsidRDefault="00B24779" w:rsidP="00B24779">
      <w:pPr>
        <w:pStyle w:val="Normal12Hanging"/>
        <w:rPr>
          <w:b/>
          <w:bCs/>
          <w:i/>
          <w:iCs/>
          <w:lang w:val="sk-SK"/>
        </w:rPr>
      </w:pPr>
      <w:r w:rsidRPr="002D55C9">
        <w:rPr>
          <w:b/>
          <w:i/>
          <w:lang w:val="sk-SK"/>
        </w:rPr>
        <w:t>Podpora krajín zapojených do procesu rozširovania na ich ceste k členstvu v EÚ</w:t>
      </w:r>
    </w:p>
    <w:p w14:paraId="03C7B12A" w14:textId="567141DF" w:rsidR="00B24779" w:rsidRPr="002D55C9" w:rsidRDefault="001A74BB" w:rsidP="00B24779">
      <w:pPr>
        <w:pStyle w:val="NormalHanging12a"/>
      </w:pPr>
      <w:r w:rsidRPr="002D55C9">
        <w:t>40</w:t>
      </w:r>
      <w:r w:rsidR="00B24779" w:rsidRPr="002D55C9">
        <w:t>.</w:t>
      </w:r>
      <w:r w:rsidR="00B24779" w:rsidRPr="002D55C9">
        <w:tab/>
        <w:t>zdôrazňuje, že EÚ by mala okrem stanovenia individuálnych reformných cieľov, plánov a priebežných harmonogramov pre každú pristupujúcu krajinu posilniť transparentnosť procesu a stanoviť jasné a predvídateľné harmonogramy pristúpenia kandidátskych krajín, ktoré na ceste k pristúpeniu najviac pokročili, aby nedošlo k oslabeniu dynamiky a strate dôveryhodnosti; domnieva sa, že rozšírenie EÚ by sa malo uskutočniť hneď po splnení všetkých prístupových podmienok v príslušných kandidátskych krajinách;</w:t>
      </w:r>
    </w:p>
    <w:p w14:paraId="1EE4466A" w14:textId="51F8EF56" w:rsidR="00B24779" w:rsidRPr="002D55C9" w:rsidRDefault="001A74BB" w:rsidP="00B24779">
      <w:pPr>
        <w:pStyle w:val="NormalHanging12a"/>
      </w:pPr>
      <w:r w:rsidRPr="002D55C9">
        <w:t>41</w:t>
      </w:r>
      <w:r w:rsidR="00B24779" w:rsidRPr="002D55C9">
        <w:t>.</w:t>
      </w:r>
      <w:r w:rsidR="00B24779" w:rsidRPr="002D55C9">
        <w:tab/>
        <w:t xml:space="preserve">zdôrazňuje, že kľúčové reformy ovplyvňujúce fungovanie a nezávislosť inštitúcií nesmú byť unáhlené ani politicky </w:t>
      </w:r>
      <w:proofErr w:type="spellStart"/>
      <w:r w:rsidR="00B24779" w:rsidRPr="002D55C9">
        <w:t>inštrumentalizované</w:t>
      </w:r>
      <w:proofErr w:type="spellEnd"/>
      <w:r w:rsidR="00B24779" w:rsidRPr="002D55C9">
        <w:t>, najmä v kandidátskych krajinách so zložitým ústavným usporiadaním; zdôrazňuje, že zrýchlené postupy alebo tlak na dodržiavanie politických harmonogramov nesmú byť na úkor právnej kvality a inštitucionálnej integrity reforiem;</w:t>
      </w:r>
    </w:p>
    <w:p w14:paraId="366E2627" w14:textId="5602A296" w:rsidR="00B24779" w:rsidRPr="002D55C9" w:rsidRDefault="001A74BB" w:rsidP="00B24779">
      <w:pPr>
        <w:pStyle w:val="NormalHanging12a"/>
      </w:pPr>
      <w:r w:rsidRPr="002D55C9">
        <w:t>42</w:t>
      </w:r>
      <w:r w:rsidR="00B24779" w:rsidRPr="002D55C9">
        <w:t>.</w:t>
      </w:r>
      <w:r w:rsidR="00B24779" w:rsidRPr="002D55C9">
        <w:tab/>
        <w:t xml:space="preserve">domnieva sa, že predvstupová finančná pomoc vrátane nástrojov na podporu západného Balkánu, Ukrajiny a Moldavska má kľúčový význam pri zabezpečovaní toho, aby krajiny zapojené do procesu rozširovania dostali štruktúrovanú finančnú podporu na inštitucionálnu a hospodársku transformáciu; zdôrazňuje, že všetka finančná pomoc EÚ musí dodržiavať a zachovávať podmienenosť predvstupovej pomoci, a to aj v oblasti právneho štátu a boja proti korupcii, aby boli chránené finančné záujmy EÚ a občanov oboch strán; konštatuje, že je potrebné upraviť spôsoby vykonávania nástroja IPA s cieľom uľahčiť proces prípravy a vzdelávania potrebný na využívanie štrukturálnych </w:t>
      </w:r>
      <w:r w:rsidR="00B24779" w:rsidRPr="002D55C9">
        <w:lastRenderedPageBreak/>
        <w:t>fondov;</w:t>
      </w:r>
    </w:p>
    <w:p w14:paraId="3ABA713F" w14:textId="3E24475C" w:rsidR="00B24779" w:rsidRPr="002D55C9" w:rsidRDefault="001A74BB" w:rsidP="00B24779">
      <w:pPr>
        <w:pStyle w:val="NormalHanging12a"/>
      </w:pPr>
      <w:r w:rsidRPr="002D55C9">
        <w:t>43</w:t>
      </w:r>
      <w:r w:rsidR="00B24779" w:rsidRPr="002D55C9">
        <w:t>.</w:t>
      </w:r>
      <w:r w:rsidR="00B24779" w:rsidRPr="002D55C9">
        <w:tab/>
        <w:t>zdôrazňuje, že rozširovanie si vyžaduje finančné reformy s cieľom riešiť okrem iného výzvy v oblasti politiky súdržnosti a poľnohospodárskej politiky a zabezpečiť, že rozpočet EÚ bude aj naďalej schopný plniť existujúce programy a politické priority;</w:t>
      </w:r>
    </w:p>
    <w:p w14:paraId="1D9757E1" w14:textId="10D2595C" w:rsidR="00B24779" w:rsidRPr="002D55C9" w:rsidRDefault="001A74BB" w:rsidP="00B24779">
      <w:pPr>
        <w:pStyle w:val="NormalHanging12a"/>
      </w:pPr>
      <w:r w:rsidRPr="002D55C9">
        <w:t>44</w:t>
      </w:r>
      <w:r w:rsidR="00B24779" w:rsidRPr="002D55C9">
        <w:t>.</w:t>
      </w:r>
      <w:r w:rsidR="00B24779" w:rsidRPr="002D55C9">
        <w:tab/>
        <w:t xml:space="preserve">konštatuje, že v návrhu </w:t>
      </w:r>
      <w:r w:rsidR="00185008" w:rsidRPr="002D55C9">
        <w:t>viacročného finančného rámca (ďalej len „</w:t>
      </w:r>
      <w:r w:rsidR="00B24779" w:rsidRPr="002D55C9">
        <w:t>VFR</w:t>
      </w:r>
      <w:r w:rsidR="00185008" w:rsidRPr="002D55C9">
        <w:t>“)</w:t>
      </w:r>
      <w:r w:rsidR="00B24779" w:rsidRPr="002D55C9">
        <w:t xml:space="preserve"> na roky 2028 – 2034, ktorý predložila Komisia, sa rozširovanie jasne označuje za jednu zo strategických priorít Únie; zdôrazňuje skutočnosť, že rozširovanie tvorí ústredný pilier nástroja Globálna Európa a predstavuje 21 % (43,1 miliardy EUR) jeho navrhovaného rozpočtu, zahŕňa všetky súčasné a potenciálne kandidátske krajiny, ako aj partnerov vo východnom susedstve, a poskytuje cielené financovanie predvstupovej pomoci, posilňovania inštitúcií a vnútorných príprav EÚ na budúce pristúpenia;</w:t>
      </w:r>
    </w:p>
    <w:p w14:paraId="52130BFC" w14:textId="70BAD617" w:rsidR="00B24779" w:rsidRPr="002D55C9" w:rsidRDefault="001A74BB" w:rsidP="00B24779">
      <w:pPr>
        <w:pStyle w:val="NormalHanging12a"/>
      </w:pPr>
      <w:r w:rsidRPr="002D55C9">
        <w:t>45</w:t>
      </w:r>
      <w:r w:rsidR="00B24779" w:rsidRPr="002D55C9">
        <w:t>.</w:t>
      </w:r>
      <w:r w:rsidR="00B24779" w:rsidRPr="002D55C9">
        <w:tab/>
        <w:t>požaduje primerané predvstupové financovanie v rámci nového VFR, ktoré bude vhodné pre očakávané rozšírenie EÚ počas jeho uplatňovania, keďže niektoré kandidátske krajiny pravdepodobne vstúpia do EÚ počas obdobia uplatňovania nadchádzajúceho VFR; požaduje jasné a konzistentné prideľovanie a vyčleňovanie predvstupových finančných prostriedkov pre kandidátske a potenciálne kandidátske krajiny v pilieri VFR Globálna Európa a zdôrazňuje, že tieto prostriedky musia byť chránené pred presmerovaním na iné vonkajšie priority a mali by jasne odrážať priority v základných oblastiach a zároveň zlepšovať viditeľnosť a transparentnosť predvstupovej pomoci; trvá na tom, že finančné prostriedky musia priamo podporovať právny štát, reformu verejnej správy, sociálnu a územnú súdržnosť a posilnenie postavenia miestnych aktérov občianskej spoločnosti a nezávislých médií a ich zapojenie; vyzýva Komisiu, aby dôsledne uplatňovala cielenú podmienenosť na základe jasných kritérií pokroku, odmeňovala reformy a sankcionovala regresiu alebo pretrvávajúci nedostatok pokroku;</w:t>
      </w:r>
    </w:p>
    <w:p w14:paraId="3FBF93B2" w14:textId="4AB42EFC" w:rsidR="00B24779" w:rsidRPr="002D55C9" w:rsidRDefault="001A74BB" w:rsidP="00B24779">
      <w:pPr>
        <w:pStyle w:val="NormalHanging12a"/>
      </w:pPr>
      <w:r w:rsidRPr="002D55C9">
        <w:t>46</w:t>
      </w:r>
      <w:r w:rsidR="00B24779" w:rsidRPr="002D55C9">
        <w:t>.</w:t>
      </w:r>
      <w:r w:rsidR="00B24779" w:rsidRPr="002D55C9">
        <w:tab/>
        <w:t>opakuje svoju výzvu na vytvorenie rámca pre účinnú spoluprácu medzi Európskou prokuratúrou a prístupovými krajinami; nabáda kandidátov a potenciálnych kandidátov na pristúpenie k EÚ, aby urýchlene uzavreli dvojstranné pracovné dohody s Európskou prokuratúrou s cieľom uľahčiť úzku spoluprácu a stíhanie zneužívania finančných prostriedkov EÚ;</w:t>
      </w:r>
    </w:p>
    <w:p w14:paraId="3391E2A4" w14:textId="7D7B527C" w:rsidR="00B24779" w:rsidRPr="002D55C9" w:rsidRDefault="001A74BB" w:rsidP="00B24779">
      <w:pPr>
        <w:pStyle w:val="NormalHanging12a"/>
        <w:rPr>
          <w:bCs/>
          <w:iCs/>
        </w:rPr>
      </w:pPr>
      <w:r w:rsidRPr="002D55C9">
        <w:t>47</w:t>
      </w:r>
      <w:r w:rsidR="00B24779" w:rsidRPr="002D55C9">
        <w:t>.</w:t>
      </w:r>
      <w:r w:rsidR="00B24779" w:rsidRPr="002D55C9">
        <w:tab/>
        <w:t>zdôrazňuje potrebu posilniť a lepšie zosúladiť financovanie vykonávania opatrení v oblasti životného prostredia, klímy a dobrých životných podmienok zvierat, ako aj podporu budovania kapacít pre kandidátske krajiny; berie na vedomie medziodvetvovú povahu a vysoké náklady týchto opatrení a skutočnosť, že majú zásadný význam pre udržateľný rozvoj, zosúladenie s Európskou zelenou dohodou a právnymi predpismi EÚ v oblasti dobrých životných podmienok zvierat a integráciu do vnútorného trhu;</w:t>
      </w:r>
    </w:p>
    <w:p w14:paraId="7EB07249" w14:textId="7F18502F" w:rsidR="00B24779" w:rsidRPr="002D55C9" w:rsidRDefault="001A74BB" w:rsidP="00B24779">
      <w:pPr>
        <w:pStyle w:val="NormalHanging12a"/>
      </w:pPr>
      <w:r w:rsidRPr="002D55C9">
        <w:t>48</w:t>
      </w:r>
      <w:r w:rsidR="00B24779" w:rsidRPr="002D55C9">
        <w:t>.</w:t>
      </w:r>
      <w:r w:rsidR="00B24779" w:rsidRPr="002D55C9">
        <w:tab/>
        <w:t>zdôrazňuje význam zapojenia kandidátskych krajín do prebiehajúcich a budúcich projektov EÚ v oblasti prepojenosti, dopravy, energetickej infraštruktúry, zelenej transformácie, digitálnej bezpečnosti, odolnosti a vojenskej mobility EÚ s cieľom posilniť bezpečnosť Európy v náročnom geopolitickom prostredí;</w:t>
      </w:r>
    </w:p>
    <w:p w14:paraId="521D4A03" w14:textId="62C92610" w:rsidR="00B24779" w:rsidRPr="002D55C9" w:rsidRDefault="001A74BB" w:rsidP="00B24779">
      <w:pPr>
        <w:pStyle w:val="NormalHanging12a"/>
      </w:pPr>
      <w:r w:rsidRPr="002D55C9">
        <w:t>49</w:t>
      </w:r>
      <w:r w:rsidR="00B24779" w:rsidRPr="002D55C9">
        <w:t>.</w:t>
      </w:r>
      <w:r w:rsidR="00B24779" w:rsidRPr="002D55C9">
        <w:tab/>
        <w:t xml:space="preserve">zdôrazňuje strategický význam čiernomorského regiónu pre bezpečnosť a prosperitu celého európskeho kontinentu; zdôrazňuje potrebu zlepšiť prepojenosť medzi Ukrajinou, Moldavskom, Rumunskom, Bulharskom a Tureckom v oblasti dopravnej, energetickej a digitálnej infraštruktúry s cieľom posilniť regionálnu odolnosť, </w:t>
      </w:r>
      <w:proofErr w:type="spellStart"/>
      <w:r w:rsidR="00B24779" w:rsidRPr="002D55C9">
        <w:lastRenderedPageBreak/>
        <w:t>diverzifikovať</w:t>
      </w:r>
      <w:proofErr w:type="spellEnd"/>
      <w:r w:rsidR="00B24779" w:rsidRPr="002D55C9">
        <w:t xml:space="preserve"> dodávateľské reťazce a zabezpečiť alternatívne obchodné trasy;</w:t>
      </w:r>
    </w:p>
    <w:p w14:paraId="48AD39B8" w14:textId="59C631EA" w:rsidR="00B24779" w:rsidRPr="002D55C9" w:rsidRDefault="001A74BB" w:rsidP="00B24779">
      <w:pPr>
        <w:pStyle w:val="NormalHanging12a"/>
      </w:pPr>
      <w:r w:rsidRPr="002D55C9">
        <w:t>50</w:t>
      </w:r>
      <w:r w:rsidR="00B24779" w:rsidRPr="002D55C9">
        <w:t>.</w:t>
      </w:r>
      <w:r w:rsidR="00B24779" w:rsidRPr="002D55C9">
        <w:tab/>
        <w:t xml:space="preserve">zdôrazňuje strategický význam projektov dopravnej a energetickej infraštruktúry vo východnom susedstve EÚ a na západnom Balkáne s cieľom posilniť </w:t>
      </w:r>
      <w:proofErr w:type="spellStart"/>
      <w:r w:rsidR="00B24779" w:rsidRPr="002D55C9">
        <w:t>geostrategickú</w:t>
      </w:r>
      <w:proofErr w:type="spellEnd"/>
      <w:r w:rsidR="00B24779" w:rsidRPr="002D55C9">
        <w:t xml:space="preserve"> autonómiu EÚ a vyzýva na ich rýchle dokončenie a plné uvedenie do prevádzky;</w:t>
      </w:r>
    </w:p>
    <w:p w14:paraId="388C1F83" w14:textId="2375D2C0" w:rsidR="00B24779" w:rsidRPr="002D55C9" w:rsidRDefault="001A74BB" w:rsidP="00B24779">
      <w:pPr>
        <w:pStyle w:val="NormalHanging12a"/>
      </w:pPr>
      <w:r w:rsidRPr="002D55C9">
        <w:t>51</w:t>
      </w:r>
      <w:r w:rsidR="00B24779" w:rsidRPr="002D55C9">
        <w:t>.</w:t>
      </w:r>
      <w:r w:rsidR="00B24779" w:rsidRPr="002D55C9">
        <w:tab/>
        <w:t>je znepokojený rastúcim vplyvom Číny v krajinách zapojených do procesu rozširovania, hospodárskou a politickou závislosťou vyplývajúcou z čínskych programov finančnej pomoci a značných investícií do kľúčových odvetví, ako je energetika, telekomunikácie, infraštruktúra a ťažobný priemysel a odvetvie surovín, a dlhodobými dôsledkami pre demokratickú odolnosť, hospodársku bezpečnosť a európske záujmy; vyzýva na silnejšiu a viditeľnejšiu angažovanosť EÚ, a to aj prostredníctvom dôveryhodných investičných alternatív;</w:t>
      </w:r>
    </w:p>
    <w:p w14:paraId="72A1ABFE" w14:textId="7A22C313" w:rsidR="00B24779" w:rsidRPr="002D55C9" w:rsidRDefault="001A74BB" w:rsidP="00B24779">
      <w:pPr>
        <w:pStyle w:val="NormalHanging12a"/>
      </w:pPr>
      <w:r w:rsidRPr="002D55C9">
        <w:t>52</w:t>
      </w:r>
      <w:r w:rsidR="00B24779" w:rsidRPr="002D55C9">
        <w:t>.</w:t>
      </w:r>
      <w:r w:rsidR="00B24779" w:rsidRPr="002D55C9">
        <w:tab/>
        <w:t xml:space="preserve">víta dosiahnuté hmatateľné výsledky pre občanov pri znižovaní </w:t>
      </w:r>
      <w:proofErr w:type="spellStart"/>
      <w:r w:rsidR="00B24779" w:rsidRPr="002D55C9">
        <w:t>roamingových</w:t>
      </w:r>
      <w:proofErr w:type="spellEnd"/>
      <w:r w:rsidR="00B24779" w:rsidRPr="002D55C9">
        <w:t xml:space="preserve"> poplatkov medzi EÚ a západným Balkánom; vyzýva Komisiu, aby urýchlila úsilie o rozšírenie takýchto </w:t>
      </w:r>
      <w:proofErr w:type="spellStart"/>
      <w:r w:rsidR="00B24779" w:rsidRPr="002D55C9">
        <w:t>roamingových</w:t>
      </w:r>
      <w:proofErr w:type="spellEnd"/>
      <w:r w:rsidR="00B24779" w:rsidRPr="002D55C9">
        <w:t xml:space="preserve"> dohôd na všetky krajiny zapojené do procesu rozširovania s cieľom čo najskôr dosiahnuť roaming za vnútroštátne ceny a jednotnú oblasť platieb v eurách (SEPA) pre všetky kandidátske a potenciálne kandidátske krajiny;</w:t>
      </w:r>
    </w:p>
    <w:p w14:paraId="3F503373" w14:textId="22A29A01" w:rsidR="00B24779" w:rsidRPr="002D55C9" w:rsidRDefault="001A74BB" w:rsidP="00B24779">
      <w:pPr>
        <w:pStyle w:val="NormalHanging12a"/>
      </w:pPr>
      <w:r w:rsidRPr="002D55C9">
        <w:t>53</w:t>
      </w:r>
      <w:r w:rsidR="00B24779" w:rsidRPr="002D55C9">
        <w:t>.</w:t>
      </w:r>
      <w:r w:rsidR="00B24779" w:rsidRPr="002D55C9">
        <w:tab/>
        <w:t>vyzýva na väčšie zameranie na investície do ľudského kapitálu s cieľom podporiť konkurencieschopnosť a inovácie v kandidátskych krajinách a nájsť konkrétne riešenia nezamestnanosti mladých ľudí;</w:t>
      </w:r>
    </w:p>
    <w:p w14:paraId="02D28624" w14:textId="52FAD3A1" w:rsidR="00B24779" w:rsidRPr="002D55C9" w:rsidRDefault="001A74BB" w:rsidP="00B24779">
      <w:pPr>
        <w:pStyle w:val="NormalHanging12a"/>
      </w:pPr>
      <w:r w:rsidRPr="002D55C9">
        <w:t>54</w:t>
      </w:r>
      <w:r w:rsidR="00B24779" w:rsidRPr="002D55C9">
        <w:t>.</w:t>
      </w:r>
      <w:r w:rsidR="00B24779" w:rsidRPr="002D55C9">
        <w:tab/>
        <w:t xml:space="preserve">opakuje svoju výzvu Rade, Komisii a Európskej službe pre vonkajšiu činnosť, aby posilnili proaktívne a strategické komunikačné úsilie zamerané na hmatateľné výhody členstva v EÚ v krajinách zapojených do procesu rozširovania a v členských štátoch, a to tak, že vypracujú prispôsobené komunikačné stratégie založené na faktoch a zamerané na výsledky, ktoré budú podporovať ciele EÚ a zahŕňať miestnu občiansku spoločnosť a médiá, a nebudú sa spoliehať na všeobecné komunikačné kampane; v tejto súvislosti zdôrazňuje kľúčovú úlohu mladých ľudí, keďže mládežnícke hnutia opakovane preukázali, že zásadnou mierou prispievajú k prodemokratickému </w:t>
      </w:r>
      <w:proofErr w:type="spellStart"/>
      <w:r w:rsidR="00B24779" w:rsidRPr="002D55C9">
        <w:t>aktivizmu</w:t>
      </w:r>
      <w:proofErr w:type="spellEnd"/>
      <w:r w:rsidR="00B24779" w:rsidRPr="002D55C9">
        <w:t xml:space="preserve"> v kandidátskych krajinách; okrem toho opakuje svoju výzvu Komisii, aby zabezpečila plnú viditeľnosť podpory a investícií EÚ v kandidátskych krajinách a informovanosť verejnosti o nich pomocou jasného označenia a vlajky EÚ, a to aj vtedy, keď sa poskytujú prostredníctvom medzinárodných organizácií; trvá na tom, že hoci USA prestali podporovať nezávislé médiá a aktérov občianskej spoločnosti v kandidátskych krajinách, EÚ má veľký záujem rýchlo posilniť svoje zapojenie; zdôrazňuje, že podpora občanov bude v ratifikačných procesoch rozhodujúca, a preto komunikácia musí apelovať na rozum aj emócie; naliehavo vyzýva inštitúcie EÚ, aby podporovali inkluzívne verejné diskusie o rozširovaní, zapájali širokú verejnosť do zmysluplnej diskusie a umožnili účinnú účasť verejnosti na tomto procese; zdôrazňuje význam väčšieho zapojenia občanov do procesu rozširovania na miestnej úrovni v členských štátoch EÚ aj v prístupových krajinách;</w:t>
      </w:r>
    </w:p>
    <w:p w14:paraId="6170D1DE" w14:textId="7B95BB53" w:rsidR="00B24779" w:rsidRPr="002D55C9" w:rsidRDefault="001A74BB" w:rsidP="00B24779">
      <w:pPr>
        <w:pStyle w:val="NormalHanging12a"/>
      </w:pPr>
      <w:r w:rsidRPr="002D55C9">
        <w:t>55</w:t>
      </w:r>
      <w:r w:rsidR="00B24779" w:rsidRPr="002D55C9">
        <w:t>.</w:t>
      </w:r>
      <w:r w:rsidR="00B24779" w:rsidRPr="002D55C9">
        <w:tab/>
        <w:t xml:space="preserve">zdôrazňuje kľúčovú úlohu orgánov a politických lídrov v krajinách zapojených do procesu rozširovania pri budovaní spolupráce medzi stranami na reformách pristúpenia k EÚ, udržiavaní celospoločenského konsenzu o členstve v EÚ a účinnom a neustálom informovaní občanov o výhodách pristúpenia k EÚ; zdôrazňuje kľúčovú úlohu organizácií občianskej spoločnosti pri podpore verejnej diskusie založenej na faktoch o </w:t>
      </w:r>
      <w:r w:rsidR="00B24779" w:rsidRPr="002D55C9">
        <w:lastRenderedPageBreak/>
        <w:t>integrácii EÚ, boji proti dezinformáciám a uľahčovaní informovanej verejnej diskusie; vyzýva Komisiu a členské štáty, aby systematicky zapájali aktérov občianskej spoločnosti do úsilia o strategickú komunikáciu v súvislosti s rozširovaním a reformami podporovanými EÚ;</w:t>
      </w:r>
    </w:p>
    <w:p w14:paraId="403013BB" w14:textId="3A405850" w:rsidR="00B24779" w:rsidRPr="002D55C9" w:rsidRDefault="001A74BB" w:rsidP="00B24779">
      <w:pPr>
        <w:pStyle w:val="NormalHanging12a"/>
      </w:pPr>
      <w:r w:rsidRPr="002D55C9">
        <w:t>56</w:t>
      </w:r>
      <w:r w:rsidR="00B24779" w:rsidRPr="002D55C9">
        <w:t>.</w:t>
      </w:r>
      <w:r w:rsidR="00B24779" w:rsidRPr="002D55C9">
        <w:tab/>
        <w:t xml:space="preserve">naliehavo vyzýva Komisiu, aby aj na najvyššej úrovni používala vo svojej verejnej komunikácii jasnejší a priamejší jazyk, a to aj v súvislosti s nedostatkami, nedostatočným pokrokom a akýkoľvek zhoršením, najmä v oblasti právneho štátu, s cieľom dodržiavať podmienenosť, hájiť základné hodnoty EÚ a zachovať dôveru </w:t>
      </w:r>
      <w:proofErr w:type="spellStart"/>
      <w:r w:rsidR="00B24779" w:rsidRPr="002D55C9">
        <w:t>proeurópskych</w:t>
      </w:r>
      <w:proofErr w:type="spellEnd"/>
      <w:r w:rsidR="00B24779" w:rsidRPr="002D55C9">
        <w:t xml:space="preserve"> a prodemokratických aktérov;</w:t>
      </w:r>
    </w:p>
    <w:p w14:paraId="0F71D4DD" w14:textId="5188C3F6" w:rsidR="00B24779" w:rsidRPr="002D55C9" w:rsidRDefault="001A74BB" w:rsidP="00B24779">
      <w:pPr>
        <w:pStyle w:val="NormalHanging12a"/>
      </w:pPr>
      <w:r w:rsidRPr="002D55C9">
        <w:t>57</w:t>
      </w:r>
      <w:r w:rsidR="00B24779" w:rsidRPr="002D55C9">
        <w:t>.</w:t>
      </w:r>
      <w:r w:rsidR="00B24779" w:rsidRPr="002D55C9">
        <w:tab/>
        <w:t xml:space="preserve">vyzýva inštitúcie EÚ a členské štáty, aby sa v plnej miere zapojili do ďalšieho posilňovania reformných procesov v kandidátskych krajinách, najmä posilnením ich administratívnych kapacít prostredníctvom cielených programov budovania kapacít; vyzýva na posilnenie akademickej spolupráce a spolupráce vo vzdelávaní medzi členskými štátmi EÚ a krajinami zapojenými do procesu rozširovania podporou kurzov odbornej prípravy zameraných na európske hodnoty a právny štát, dobrú správu vecí verejných, verejnú správu a odstránenie korupcie a vytvorením priestoru na spoločnú odbornú prípravu verejných činiteľov z krajín zapojených do procesu rozširovania vrátane úradníkov z miestnych a regionálnych samospráv; zdôrazňuje úspech </w:t>
      </w:r>
      <w:proofErr w:type="spellStart"/>
      <w:r w:rsidR="00B24779" w:rsidRPr="002D55C9">
        <w:t>twinningových</w:t>
      </w:r>
      <w:proofErr w:type="spellEnd"/>
      <w:r w:rsidR="00B24779" w:rsidRPr="002D55C9">
        <w:t xml:space="preserve"> projektov pri prenose odvetvových odborných znalostí a zdôrazňuje potrebu stavať na týchto pozitívnych skúsenostiach, v neposlednom rade s cieľom zvýšiť zodpovednosť za proces rozširovania v členských štátoch; zdôrazňuje, že programy budovania kapacít by mali uprednostňovať aj posilnenie nezávislých organizácií občianskej spoločnosti a ochranu priestoru, v ktorom pôsobia; vyzýva Komisiu, aby podporovala programy na posilnenie postavenia miestnych komunít, dobrovoľníkov a občianskych iniciatív, ktoré podporujú demokratickú kultúru, európske hodnoty a sociálnu súdržnosť;</w:t>
      </w:r>
    </w:p>
    <w:p w14:paraId="1CFFD34A" w14:textId="06D2987A" w:rsidR="00B24779" w:rsidRPr="002D55C9" w:rsidRDefault="001A74BB" w:rsidP="00B24779">
      <w:pPr>
        <w:pStyle w:val="NormalHanging12a"/>
      </w:pPr>
      <w:r w:rsidRPr="002D55C9">
        <w:t>58</w:t>
      </w:r>
      <w:r w:rsidR="00B24779" w:rsidRPr="002D55C9">
        <w:t>.</w:t>
      </w:r>
      <w:r w:rsidR="00B24779" w:rsidRPr="002D55C9">
        <w:tab/>
        <w:t xml:space="preserve">zdôrazňuje úlohu parlamentnej diplomacie, zodpovednosti a programov EÚ na podporu demokracie pri udržiavaní dynamiky reforiem; opakuje, že je pripravený posilniť pravidelný a transparentný dialóg a spoluprácu s národnými parlamentmi kandidátskych a potenciálnych kandidátskych krajín, a to nadviazaním na predchádzajúce pozitívne skúsenosti a úspešné formáty a tým, že bude plne využívať existujúce nástroje a iniciatívy </w:t>
      </w:r>
      <w:r w:rsidR="00A70F20" w:rsidRPr="002D55C9">
        <w:t>Európskeho p</w:t>
      </w:r>
      <w:r w:rsidR="00B24779" w:rsidRPr="002D55C9">
        <w:t>arlamentu na podporu demokracie a podporovať prísnejší parlamentný dohľad nad procesom pristúpenia k EÚ a súvisiacimi reformami;</w:t>
      </w:r>
    </w:p>
    <w:p w14:paraId="1D598FC8" w14:textId="58302735" w:rsidR="00B24779" w:rsidRPr="002D55C9" w:rsidRDefault="001A74BB" w:rsidP="00B24779">
      <w:pPr>
        <w:pStyle w:val="NormalHanging12a"/>
      </w:pPr>
      <w:r w:rsidRPr="002D55C9">
        <w:t>59</w:t>
      </w:r>
      <w:r w:rsidR="00B24779" w:rsidRPr="002D55C9">
        <w:t>.</w:t>
      </w:r>
      <w:r w:rsidR="00B24779" w:rsidRPr="002D55C9">
        <w:tab/>
        <w:t xml:space="preserve">zdôrazňuje, že je potrebné uskutočniť reformy volebného systému, ktoré zabezpečia slobodné, spravodlivé a demokratické voľby v súlade s medzinárodnými normami; zdôrazňuje, že predpokladom finančnej podpory a pokroku je splnenie kritérií týkajúcich sa plurality, integrity strán, transparentnosti financovania strán a médií a nezávislosti súdnictva a médií; nabáda EÚ a členské štáty, aby pred formálnym pristúpením využívali </w:t>
      </w:r>
      <w:proofErr w:type="spellStart"/>
      <w:r w:rsidR="00B24779" w:rsidRPr="002D55C9">
        <w:t>participatívne</w:t>
      </w:r>
      <w:proofErr w:type="spellEnd"/>
      <w:r w:rsidR="00B24779" w:rsidRPr="002D55C9">
        <w:t xml:space="preserve"> nástroje zapájajúce občanov, parlamenty, občiansku spoločnosť a mladých ľudí, aby si vymieňali názory, zvyšovali vzájomné porozumenie a posilňovali zmysel pre zodpovednosť;</w:t>
      </w:r>
    </w:p>
    <w:p w14:paraId="0FEDB397" w14:textId="4A5D0082" w:rsidR="00B24779" w:rsidRPr="002D55C9" w:rsidRDefault="001A74BB" w:rsidP="00B24779">
      <w:pPr>
        <w:pStyle w:val="NormalHanging12a"/>
      </w:pPr>
      <w:r w:rsidRPr="002D55C9">
        <w:t>60</w:t>
      </w:r>
      <w:r w:rsidR="00B24779" w:rsidRPr="002D55C9">
        <w:t>.</w:t>
      </w:r>
      <w:r w:rsidR="00B24779" w:rsidRPr="002D55C9">
        <w:tab/>
        <w:t xml:space="preserve">je znepokojený rozsiahlymi a škodlivými dezinformačnými kampaňami, ktoré už dlhé roky nepretržite vedie Rusko a ďalší aktéri a ktoré od začiatku útočnej vojny Ruska proti Ukrajine nabrali na intenzite; konštatuje, že kandidátske a potenciálne kandidátske krajiny a susedstvo EÚ sú jasným terčom ruských operácií zahraničnej manipulácie s informáciami a zahraničného zasahovania, pričom jedným z cieľov je diskreditovať EÚ </w:t>
      </w:r>
      <w:r w:rsidR="00B24779" w:rsidRPr="002D55C9">
        <w:lastRenderedPageBreak/>
        <w:t>a znížiť vnímanú hodnotu integrácie do EÚ;</w:t>
      </w:r>
    </w:p>
    <w:p w14:paraId="2D0F69B8" w14:textId="6CE95669" w:rsidR="00B24779" w:rsidRPr="002D55C9" w:rsidRDefault="001A74BB" w:rsidP="00B24779">
      <w:pPr>
        <w:pStyle w:val="NormalHanging12a"/>
      </w:pPr>
      <w:r w:rsidRPr="002D55C9">
        <w:t>61</w:t>
      </w:r>
      <w:r w:rsidR="00B24779" w:rsidRPr="002D55C9">
        <w:t>.</w:t>
      </w:r>
      <w:r w:rsidR="00B24779" w:rsidRPr="002D55C9">
        <w:tab/>
        <w:t>nabáda na posilnenie dialógu EÚ s občianskou spoločnosťou a zvýšenie podpory nezávislých investigatívnych médií, orgánov zaoberajúcich sa overovaním faktov a organizácií občianskej spoločnosti, ktoré pracujú v oblasti mediálnej gramotnosti, s cieľom účinne bojovať proti dezinformáciám a zahraničnej manipulácii s informáciami a zahraničnému zasahovaniu; zdôrazňuje potrebu nepretržitej podpory a úzkej spolupráce so všetkými krajinami zapojenými do procesu rozširovania, ktoré čelia silnému vonkajšiemu zasahovaniu do procesu zbližovania sa s EÚ a do volebných procesov; vyzýva na uplatnenie skúseností získaných z partnerskej misie EÚ v Moldavsku; zdôrazňuje, že je dôležité posúdiť a zlepšiť účinnosť nástrojov EÚ, ktoré majú pomáhať kandidátskym krajinám v boji proti zahraničnej manipulácii s informáciami a zahraničnému zasahovaniu; víta zámer Komisie rozšíriť navrhovaný Európsky štít na obranu demokracie na pristupujúce krajiny, a tak posilniť ich schopnosť reagovať na hrozby, ako sú zahraničná manipulácia s informáciami a zahraničné zasahovanie a dezinformačné kampane; vyzýva Komisiu a ESVČ, aby prehĺbili spoluprácu so zraniteľnými krajinami zapojenými do procesu rozširovania v oblasti informačnej odolnosti, kybernetickej bezpečnosti a hybridných hrozieb; vyzýva ESVČ a delegácie EÚ v tretích krajinách, aby ďalej posilňovali svoje príslušné kapacity v boji a odpore proti dezinformáciám a propagande namiereným proti SZBP EÚ, a to aj investovaním do komunikačných kampaní na boj proti zahraničnému vplyvu;</w:t>
      </w:r>
    </w:p>
    <w:p w14:paraId="435784B8" w14:textId="4EA4FC85" w:rsidR="00B24779" w:rsidRPr="002D55C9" w:rsidRDefault="001A74BB" w:rsidP="00B24779">
      <w:pPr>
        <w:pStyle w:val="NormalHanging12a"/>
      </w:pPr>
      <w:r w:rsidRPr="002D55C9">
        <w:t>62</w:t>
      </w:r>
      <w:r w:rsidR="00B24779" w:rsidRPr="002D55C9">
        <w:t>.</w:t>
      </w:r>
      <w:r w:rsidR="00B24779" w:rsidRPr="002D55C9">
        <w:tab/>
        <w:t xml:space="preserve">so znepokojením konštatuje, Rusko sa čoraz väčšmi prezentuje ako globálny obranca tzv. tradičných hodnôt, pričom využíva ruskú pravoslávnu cirkev ako nástroj na šírenie dezinformácií a projekciu mäkkej moci, najmä v krajinách bývalého Sovietskeho zväzu; zdôrazňuje, že takéto praktiky sú zamerané na oslabenie demokracie, sociálnej súdržnosti a </w:t>
      </w:r>
      <w:proofErr w:type="spellStart"/>
      <w:r w:rsidR="00B24779" w:rsidRPr="002D55C9">
        <w:t>proeurópskej</w:t>
      </w:r>
      <w:proofErr w:type="spellEnd"/>
      <w:r w:rsidR="00B24779" w:rsidRPr="002D55C9">
        <w:t xml:space="preserve"> orientácie; žiada, aby SZBP a politika rozširovania zahŕňala osobitné opatrenia na boj proti takémuto vplyvu vrátane diplomacie založenej na viere, strategickej komunikácie a podpory náboženských komunít, ktoré boli obeťami sovietskeho útlaku;</w:t>
      </w:r>
    </w:p>
    <w:p w14:paraId="0F8B6E9F" w14:textId="77777777" w:rsidR="00B24779" w:rsidRPr="002D55C9" w:rsidRDefault="00B24779" w:rsidP="00B24779">
      <w:pPr>
        <w:pStyle w:val="Normal12Hanging"/>
        <w:jc w:val="center"/>
        <w:rPr>
          <w:szCs w:val="24"/>
          <w:lang w:val="sk-SK"/>
        </w:rPr>
      </w:pPr>
      <w:r w:rsidRPr="002D55C9">
        <w:rPr>
          <w:lang w:val="sk-SK"/>
        </w:rPr>
        <w:t>°</w:t>
      </w:r>
    </w:p>
    <w:p w14:paraId="731F9330" w14:textId="77777777" w:rsidR="00B24779" w:rsidRPr="002D55C9" w:rsidRDefault="00B24779" w:rsidP="00B24779">
      <w:pPr>
        <w:pStyle w:val="Normal12Hanging"/>
        <w:jc w:val="center"/>
        <w:rPr>
          <w:szCs w:val="24"/>
          <w:lang w:val="sk-SK"/>
        </w:rPr>
      </w:pPr>
      <w:r w:rsidRPr="002D55C9">
        <w:rPr>
          <w:lang w:val="sk-SK"/>
        </w:rPr>
        <w:t>°</w:t>
      </w:r>
      <w:r w:rsidRPr="002D55C9">
        <w:rPr>
          <w:lang w:val="sk-SK"/>
        </w:rPr>
        <w:tab/>
        <w:t>°</w:t>
      </w:r>
    </w:p>
    <w:p w14:paraId="1D5E98F1" w14:textId="2A785641" w:rsidR="00131C30" w:rsidRPr="002D55C9" w:rsidRDefault="001A74BB" w:rsidP="00131C30">
      <w:pPr>
        <w:pStyle w:val="NormalHanging12a"/>
      </w:pPr>
      <w:r w:rsidRPr="002D55C9">
        <w:t>63</w:t>
      </w:r>
      <w:r w:rsidR="00B24779" w:rsidRPr="002D55C9">
        <w:t>.</w:t>
      </w:r>
      <w:r w:rsidR="00B24779" w:rsidRPr="002D55C9">
        <w:tab/>
        <w:t>poveruje svoju predsedníčku, aby postúpila toto uznesenie Rade, Komisii, podpredsedníčke Komisie/vysokej predstaviteľke Únie pre zahraničné veci a bezpečnostnú politiku, vládam a parlamentom členských štátov a vládam a parlamentom krajín zapojených do procesu rozširovania.</w:t>
      </w:r>
    </w:p>
    <w:p w14:paraId="0508B9B5" w14:textId="42623E3E" w:rsidR="00E365E1" w:rsidRPr="002D55C9" w:rsidRDefault="00E365E1" w:rsidP="00C53CFB"/>
    <w:sectPr w:rsidR="00E365E1" w:rsidRPr="002D55C9" w:rsidSect="00131C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1F22F" w14:textId="77777777" w:rsidR="00C53CFB" w:rsidRPr="00131C30" w:rsidRDefault="00C53CFB">
      <w:r w:rsidRPr="00131C30">
        <w:separator/>
      </w:r>
    </w:p>
  </w:endnote>
  <w:endnote w:type="continuationSeparator" w:id="0">
    <w:p w14:paraId="4E93562A" w14:textId="77777777" w:rsidR="00C53CFB" w:rsidRPr="00131C30" w:rsidRDefault="00C53CFB">
      <w:r w:rsidRPr="00131C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C42D" w14:textId="77777777" w:rsidR="00064002" w:rsidRPr="00131C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DBB1" w14:textId="77777777" w:rsidR="00064002" w:rsidRPr="00131C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7B1F" w14:textId="77777777" w:rsidR="00064002" w:rsidRPr="00131C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3DC2" w14:textId="77777777" w:rsidR="00C53CFB" w:rsidRPr="00131C30" w:rsidRDefault="00C53CFB">
      <w:r w:rsidRPr="00131C30">
        <w:separator/>
      </w:r>
    </w:p>
  </w:footnote>
  <w:footnote w:type="continuationSeparator" w:id="0">
    <w:p w14:paraId="6CC8D229" w14:textId="77777777" w:rsidR="00C53CFB" w:rsidRPr="00131C30" w:rsidRDefault="00C53CFB">
      <w:r w:rsidRPr="00131C30">
        <w:continuationSeparator/>
      </w:r>
    </w:p>
  </w:footnote>
  <w:footnote w:id="1">
    <w:p w14:paraId="0B440114" w14:textId="43C157B7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 v. EÚ C, C/2024/4173, 2.8.2024, ELI: </w:t>
      </w:r>
      <w:hyperlink r:id="rId1" w:history="1">
        <w:r w:rsidRPr="00131C30">
          <w:rPr>
            <w:rStyle w:val="Hyperlink"/>
            <w:sz w:val="24"/>
            <w:lang w:val="sk-SK"/>
          </w:rPr>
          <w:t>http://data.europa.eu/eli/C/2024/4173/oj</w:t>
        </w:r>
      </w:hyperlink>
      <w:r w:rsidRPr="00131C30">
        <w:rPr>
          <w:sz w:val="24"/>
          <w:lang w:val="sk-SK"/>
        </w:rPr>
        <w:t xml:space="preserve">. </w:t>
      </w:r>
    </w:p>
  </w:footnote>
  <w:footnote w:id="2">
    <w:p w14:paraId="4AEA0181" w14:textId="4E9C5C23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EÚ L 107, 28.4.2009, s. </w:t>
      </w:r>
      <w:r w:rsidRPr="00131C30">
        <w:rPr>
          <w:sz w:val="24"/>
          <w:lang w:val="sk-SK"/>
        </w:rPr>
        <w:t xml:space="preserve">166, ELI: </w:t>
      </w:r>
      <w:hyperlink r:id="rId2" w:history="1">
        <w:r w:rsidRPr="00131C30">
          <w:rPr>
            <w:rStyle w:val="Hyperlink"/>
            <w:sz w:val="24"/>
            <w:lang w:val="sk-SK"/>
          </w:rPr>
          <w:t>http://data.europa.eu/eli/agree_internation/2009/332/oj</w:t>
        </w:r>
      </w:hyperlink>
      <w:r w:rsidRPr="00131C30">
        <w:rPr>
          <w:sz w:val="24"/>
          <w:lang w:val="sk-SK"/>
        </w:rPr>
        <w:t xml:space="preserve">. </w:t>
      </w:r>
    </w:p>
  </w:footnote>
  <w:footnote w:id="3">
    <w:p w14:paraId="0E489645" w14:textId="6FA12E7A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EÚ L 164, 30.6.2015, s. </w:t>
      </w:r>
      <w:r w:rsidRPr="00131C30">
        <w:rPr>
          <w:sz w:val="24"/>
          <w:lang w:val="sk-SK"/>
        </w:rPr>
        <w:t xml:space="preserve">2, ELI: </w:t>
      </w:r>
      <w:hyperlink r:id="rId3" w:history="1">
        <w:r w:rsidRPr="00131C30">
          <w:rPr>
            <w:rStyle w:val="Hyperlink"/>
            <w:sz w:val="24"/>
            <w:lang w:val="sk-SK"/>
          </w:rPr>
          <w:t>http://data.europa.eu/eli/agree_internation/2015/997/oj</w:t>
        </w:r>
      </w:hyperlink>
      <w:r w:rsidRPr="00131C30">
        <w:rPr>
          <w:sz w:val="24"/>
          <w:lang w:val="sk-SK"/>
        </w:rPr>
        <w:t xml:space="preserve">. </w:t>
      </w:r>
    </w:p>
  </w:footnote>
  <w:footnote w:id="4">
    <w:p w14:paraId="11B997D5" w14:textId="0D5E52B6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 v. EÚ L 261, 30.8.2014, s. </w:t>
      </w:r>
      <w:r w:rsidRPr="00131C30">
        <w:rPr>
          <w:sz w:val="24"/>
          <w:lang w:val="sk-SK"/>
        </w:rPr>
        <w:t xml:space="preserve">4, ELI: </w:t>
      </w:r>
      <w:hyperlink r:id="rId4" w:history="1">
        <w:r w:rsidRPr="00131C30">
          <w:rPr>
            <w:rStyle w:val="Hyperlink"/>
            <w:sz w:val="24"/>
            <w:lang w:val="sk-SK"/>
          </w:rPr>
          <w:t>http://data.europa.eu/eli/agree_internation/2014/494/oj</w:t>
        </w:r>
      </w:hyperlink>
      <w:r w:rsidRPr="00131C30">
        <w:rPr>
          <w:sz w:val="24"/>
          <w:lang w:val="sk-SK"/>
        </w:rPr>
        <w:t xml:space="preserve">. </w:t>
      </w:r>
    </w:p>
  </w:footnote>
  <w:footnote w:id="5">
    <w:p w14:paraId="180273CA" w14:textId="37069217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 v. EÚ L 71, 16.3.2016, s. </w:t>
      </w:r>
      <w:r w:rsidRPr="00131C30">
        <w:rPr>
          <w:sz w:val="24"/>
          <w:lang w:val="sk-SK"/>
        </w:rPr>
        <w:t xml:space="preserve">3, ELI: </w:t>
      </w:r>
      <w:hyperlink r:id="rId5" w:history="1">
        <w:r w:rsidRPr="00131C30">
          <w:rPr>
            <w:rStyle w:val="Hyperlink"/>
            <w:sz w:val="24"/>
            <w:lang w:val="sk-SK"/>
          </w:rPr>
          <w:t>http://data.europa.eu/eli/agree_internation/2016/342/oj</w:t>
        </w:r>
      </w:hyperlink>
      <w:r w:rsidRPr="00131C30">
        <w:rPr>
          <w:sz w:val="24"/>
          <w:lang w:val="sk-SK"/>
        </w:rPr>
        <w:t xml:space="preserve">. </w:t>
      </w:r>
    </w:p>
  </w:footnote>
  <w:footnote w:id="6">
    <w:p w14:paraId="3120C2B5" w14:textId="562C59FE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 v. EÚ L 260, 30.8.2014, s. </w:t>
      </w:r>
      <w:r w:rsidRPr="00131C30">
        <w:rPr>
          <w:sz w:val="24"/>
          <w:lang w:val="sk-SK"/>
        </w:rPr>
        <w:t xml:space="preserve">4, ELI: </w:t>
      </w:r>
      <w:hyperlink r:id="rId6" w:history="1">
        <w:r w:rsidRPr="00131C30">
          <w:rPr>
            <w:rStyle w:val="Hyperlink"/>
            <w:sz w:val="24"/>
            <w:lang w:val="sk-SK"/>
          </w:rPr>
          <w:t>http://data.europa.eu/eli/agree_internation/2014/492/oj</w:t>
        </w:r>
      </w:hyperlink>
      <w:r w:rsidRPr="00131C30">
        <w:rPr>
          <w:sz w:val="24"/>
          <w:lang w:val="sk-SK"/>
        </w:rPr>
        <w:t xml:space="preserve">. </w:t>
      </w:r>
    </w:p>
  </w:footnote>
  <w:footnote w:id="7">
    <w:p w14:paraId="50DA67AE" w14:textId="59518784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 v. EÚ L 108, 29.4.2010, s. </w:t>
      </w:r>
      <w:r w:rsidRPr="00131C30">
        <w:rPr>
          <w:sz w:val="24"/>
          <w:lang w:val="sk-SK"/>
        </w:rPr>
        <w:t xml:space="preserve">3, ELI: </w:t>
      </w:r>
      <w:hyperlink r:id="rId7" w:history="1">
        <w:r w:rsidRPr="00131C30">
          <w:rPr>
            <w:rStyle w:val="Hyperlink"/>
            <w:sz w:val="24"/>
            <w:lang w:val="sk-SK"/>
          </w:rPr>
          <w:t>http://data.europa.eu/eli/agree_internation/2010/224/oj</w:t>
        </w:r>
      </w:hyperlink>
      <w:r w:rsidRPr="00131C30">
        <w:rPr>
          <w:sz w:val="24"/>
          <w:lang w:val="sk-SK"/>
        </w:rPr>
        <w:t xml:space="preserve">. </w:t>
      </w:r>
    </w:p>
  </w:footnote>
  <w:footnote w:id="8">
    <w:p w14:paraId="65C85474" w14:textId="5622A033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</w:t>
      </w:r>
      <w:r w:rsidRPr="00131C30">
        <w:rPr>
          <w:sz w:val="24"/>
          <w:lang w:val="sk-SK"/>
        </w:rPr>
        <w:t xml:space="preserve">EÚ L 84, </w:t>
      </w:r>
      <w:r w:rsidR="005D24D1">
        <w:rPr>
          <w:sz w:val="24"/>
          <w:lang w:val="sk-SK"/>
        </w:rPr>
        <w:t xml:space="preserve">20.3.2004, </w:t>
      </w:r>
      <w:r w:rsidRPr="00131C30">
        <w:rPr>
          <w:sz w:val="24"/>
          <w:lang w:val="sk-SK"/>
        </w:rPr>
        <w:t xml:space="preserve">s. 13, ELI: </w:t>
      </w:r>
      <w:hyperlink r:id="rId8" w:history="1">
        <w:r w:rsidRPr="00131C30">
          <w:rPr>
            <w:rStyle w:val="Hyperlink"/>
            <w:sz w:val="24"/>
            <w:lang w:val="sk-SK"/>
          </w:rPr>
          <w:t>http://data.europa.eu/eli/agree_internation/2004/239(2)/oj</w:t>
        </w:r>
      </w:hyperlink>
      <w:r w:rsidRPr="00131C30">
        <w:rPr>
          <w:sz w:val="24"/>
          <w:lang w:val="sk-SK"/>
        </w:rPr>
        <w:t xml:space="preserve">. </w:t>
      </w:r>
    </w:p>
  </w:footnote>
  <w:footnote w:id="9">
    <w:p w14:paraId="515CC29A" w14:textId="13F2CF25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EÚ L 278, 18.10.2013, s. </w:t>
      </w:r>
      <w:r w:rsidRPr="00131C30">
        <w:rPr>
          <w:sz w:val="24"/>
          <w:lang w:val="sk-SK"/>
        </w:rPr>
        <w:t xml:space="preserve">16, ELI: </w:t>
      </w:r>
      <w:hyperlink r:id="rId9" w:history="1">
        <w:r w:rsidRPr="00131C30">
          <w:rPr>
            <w:rStyle w:val="Hyperlink"/>
            <w:sz w:val="24"/>
            <w:lang w:val="sk-SK"/>
          </w:rPr>
          <w:t>http://data.europa.eu/eli/agree_internation/2013/490/oj</w:t>
        </w:r>
      </w:hyperlink>
      <w:r w:rsidRPr="00131C30">
        <w:rPr>
          <w:sz w:val="24"/>
          <w:lang w:val="sk-SK"/>
        </w:rPr>
        <w:t xml:space="preserve">. </w:t>
      </w:r>
    </w:p>
  </w:footnote>
  <w:footnote w:id="10">
    <w:p w14:paraId="6EA26D54" w14:textId="04568C38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ES L 361, 31.12.1977, s. </w:t>
      </w:r>
      <w:r w:rsidRPr="00131C30">
        <w:rPr>
          <w:sz w:val="24"/>
          <w:lang w:val="sk-SK"/>
        </w:rPr>
        <w:t xml:space="preserve">29, ELI: </w:t>
      </w:r>
      <w:hyperlink r:id="rId10" w:history="1">
        <w:r w:rsidRPr="00131C30">
          <w:rPr>
            <w:rStyle w:val="Hyperlink"/>
            <w:sz w:val="24"/>
            <w:lang w:val="sk-SK"/>
          </w:rPr>
          <w:t>http://data.europa.eu/eli/agree_internation/1964/732/oj</w:t>
        </w:r>
      </w:hyperlink>
      <w:r w:rsidRPr="00131C30">
        <w:rPr>
          <w:sz w:val="24"/>
          <w:lang w:val="sk-SK"/>
        </w:rPr>
        <w:t xml:space="preserve">. </w:t>
      </w:r>
    </w:p>
  </w:footnote>
  <w:footnote w:id="11">
    <w:p w14:paraId="6849121E" w14:textId="538CDC99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EÚ L 161, 29.5.2014, s. </w:t>
      </w:r>
      <w:r w:rsidRPr="00131C30">
        <w:rPr>
          <w:sz w:val="24"/>
          <w:lang w:val="sk-SK"/>
        </w:rPr>
        <w:t xml:space="preserve">3, ELI: </w:t>
      </w:r>
      <w:hyperlink r:id="rId11" w:history="1">
        <w:r w:rsidRPr="00131C30">
          <w:rPr>
            <w:rStyle w:val="Hyperlink"/>
            <w:sz w:val="24"/>
            <w:lang w:val="sk-SK"/>
          </w:rPr>
          <w:t>http://data.europa.eu/eli/agree_internation/2014/295/oj</w:t>
        </w:r>
      </w:hyperlink>
      <w:r w:rsidRPr="00131C30">
        <w:rPr>
          <w:sz w:val="24"/>
          <w:lang w:val="sk-SK"/>
        </w:rPr>
        <w:t xml:space="preserve">. </w:t>
      </w:r>
    </w:p>
  </w:footnote>
  <w:footnote w:id="12">
    <w:p w14:paraId="56490A99" w14:textId="0670DC75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Prijaté texty, P10_TA(2025)0094. </w:t>
      </w:r>
    </w:p>
  </w:footnote>
  <w:footnote w:id="13">
    <w:p w14:paraId="4B287988" w14:textId="765D60D6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P10_TA(2025)0093.</w:t>
      </w:r>
    </w:p>
  </w:footnote>
  <w:footnote w:id="14">
    <w:p w14:paraId="6ACB2A19" w14:textId="291030A1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P10_TA(2025)0155.</w:t>
      </w:r>
    </w:p>
  </w:footnote>
  <w:footnote w:id="15">
    <w:p w14:paraId="0F1AFD2B" w14:textId="747C7930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P10_TA(2025)0156.</w:t>
      </w:r>
    </w:p>
  </w:footnote>
  <w:footnote w:id="16">
    <w:p w14:paraId="196F064F" w14:textId="0FAC578A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P10_TA(2025)0157.</w:t>
      </w:r>
    </w:p>
  </w:footnote>
  <w:footnote w:id="17">
    <w:p w14:paraId="5351B434" w14:textId="5FA2CDEB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P10_TA(2025)0130.</w:t>
      </w:r>
    </w:p>
  </w:footnote>
  <w:footnote w:id="18">
    <w:p w14:paraId="007B0EE1" w14:textId="5B39D466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P10_TA(2025)0175.</w:t>
      </w:r>
    </w:p>
  </w:footnote>
  <w:footnote w:id="19">
    <w:p w14:paraId="0BF67501" w14:textId="1F39928C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P10_TA(2025)0131.</w:t>
      </w:r>
    </w:p>
  </w:footnote>
  <w:footnote w:id="20">
    <w:p w14:paraId="08F361BD" w14:textId="6B5DD36F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P10_TA(2025)0158.</w:t>
      </w:r>
    </w:p>
  </w:footnote>
  <w:footnote w:id="21">
    <w:p w14:paraId="7BF93B61" w14:textId="58659D2B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P10_TA(2025)0092.</w:t>
      </w:r>
    </w:p>
  </w:footnote>
  <w:footnote w:id="22">
    <w:p w14:paraId="2367E4C6" w14:textId="6188FB48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 v. </w:t>
      </w:r>
      <w:r w:rsidRPr="00131C30">
        <w:rPr>
          <w:sz w:val="24"/>
          <w:lang w:val="sk-SK"/>
        </w:rPr>
        <w:t xml:space="preserve">EÚ C, C/2024/6555, 12.11.2024, ELI: </w:t>
      </w:r>
      <w:hyperlink r:id="rId12" w:history="1">
        <w:r w:rsidRPr="00131C30">
          <w:rPr>
            <w:rStyle w:val="Hyperlink"/>
            <w:sz w:val="24"/>
            <w:lang w:val="sk-SK"/>
          </w:rPr>
          <w:t>http://data.europa.eu/eli/C/2024/6555/oj</w:t>
        </w:r>
      </w:hyperlink>
      <w:r w:rsidRPr="00131C30">
        <w:rPr>
          <w:sz w:val="24"/>
          <w:lang w:val="sk-SK"/>
        </w:rPr>
        <w:t>.</w:t>
      </w:r>
    </w:p>
  </w:footnote>
  <w:footnote w:id="23">
    <w:p w14:paraId="63C04AC8" w14:textId="73FC0296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 v. </w:t>
      </w:r>
      <w:r w:rsidRPr="00131C30">
        <w:rPr>
          <w:sz w:val="24"/>
          <w:lang w:val="sk-SK"/>
        </w:rPr>
        <w:t xml:space="preserve">EÚ C, C/2024/6746, 26.11.2024, ELI: </w:t>
      </w:r>
      <w:hyperlink r:id="rId13" w:history="1">
        <w:r w:rsidRPr="00131C30">
          <w:rPr>
            <w:rStyle w:val="Hyperlink"/>
            <w:sz w:val="24"/>
            <w:lang w:val="sk-SK"/>
          </w:rPr>
          <w:t>http://data.europa.eu/eli/C/2024/6746/oj</w:t>
        </w:r>
      </w:hyperlink>
      <w:r w:rsidRPr="00131C30">
        <w:rPr>
          <w:sz w:val="24"/>
          <w:lang w:val="sk-SK"/>
        </w:rPr>
        <w:t xml:space="preserve">. </w:t>
      </w:r>
    </w:p>
  </w:footnote>
  <w:footnote w:id="24">
    <w:p w14:paraId="6301C61A" w14:textId="53C12D8D" w:rsidR="00B24779" w:rsidRPr="00131C30" w:rsidRDefault="00B24779" w:rsidP="00131C30">
      <w:pPr>
        <w:pStyle w:val="FootnoteText"/>
        <w:ind w:left="567" w:hanging="567"/>
        <w:rPr>
          <w:b/>
          <w:i/>
          <w:sz w:val="24"/>
          <w:lang w:val="sk-SK"/>
        </w:rPr>
      </w:pPr>
      <w:r w:rsidRPr="00131C30">
        <w:rPr>
          <w:rStyle w:val="FootnoteReference"/>
          <w:rFonts w:eastAsiaTheme="majorEastAsia"/>
          <w:sz w:val="24"/>
          <w:lang w:val="sk-SK"/>
        </w:rPr>
        <w:footnoteRef/>
      </w:r>
      <w:r w:rsidR="00131C30" w:rsidRPr="00131C30">
        <w:rPr>
          <w:rStyle w:val="Emphasis"/>
          <w:rFonts w:ascii="Times New Roman" w:hAnsi="Times New Roman"/>
          <w:sz w:val="24"/>
          <w:lang w:val="sk-SK"/>
        </w:rPr>
        <w:t xml:space="preserve"> </w:t>
      </w:r>
      <w:r w:rsidR="00131C30" w:rsidRPr="00131C30">
        <w:rPr>
          <w:rStyle w:val="Emphasis"/>
          <w:rFonts w:ascii="Times New Roman" w:hAnsi="Times New Roman"/>
          <w:sz w:val="24"/>
          <w:lang w:val="sk-SK"/>
        </w:rPr>
        <w:tab/>
      </w:r>
      <w:r w:rsidRPr="001F7268">
        <w:rPr>
          <w:rStyle w:val="Emphasis"/>
          <w:rFonts w:ascii="Times New Roman" w:hAnsi="Times New Roman"/>
          <w:b w:val="0"/>
          <w:bCs/>
          <w:i w:val="0"/>
          <w:iCs w:val="0"/>
          <w:sz w:val="24"/>
          <w:lang w:val="sk-SK"/>
        </w:rPr>
        <w:t>Ú. v. EÚ C 167, 11.5.2023, s. 105.</w:t>
      </w:r>
    </w:p>
  </w:footnote>
  <w:footnote w:id="25">
    <w:p w14:paraId="5619BF6A" w14:textId="7643D355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EÚ L 330, 20.9.2021, s. </w:t>
      </w:r>
      <w:r w:rsidRPr="00131C30">
        <w:rPr>
          <w:sz w:val="24"/>
          <w:lang w:val="sk-SK"/>
        </w:rPr>
        <w:t xml:space="preserve">1, ELI: </w:t>
      </w:r>
      <w:hyperlink r:id="rId14" w:history="1">
        <w:r w:rsidRPr="00131C30">
          <w:rPr>
            <w:rStyle w:val="Hyperlink"/>
            <w:sz w:val="24"/>
            <w:lang w:val="sk-SK"/>
          </w:rPr>
          <w:t>http://data.europa.eu/eli/reg/2021/1529/oj</w:t>
        </w:r>
      </w:hyperlink>
      <w:r w:rsidRPr="00131C30">
        <w:rPr>
          <w:sz w:val="24"/>
          <w:lang w:val="sk-SK"/>
        </w:rPr>
        <w:t xml:space="preserve">. </w:t>
      </w:r>
    </w:p>
  </w:footnote>
  <w:footnote w:id="26">
    <w:p w14:paraId="34D13BE5" w14:textId="21C41CB0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</w:t>
      </w:r>
      <w:r w:rsidRPr="00131C30">
        <w:rPr>
          <w:sz w:val="24"/>
          <w:lang w:val="sk-SK"/>
        </w:rPr>
        <w:t xml:space="preserve">EÚ L, 2024/1449, 24.5.2024, ELI: </w:t>
      </w:r>
      <w:hyperlink r:id="rId15" w:history="1">
        <w:r w:rsidRPr="00131C30">
          <w:rPr>
            <w:rStyle w:val="Hyperlink"/>
            <w:sz w:val="24"/>
            <w:lang w:val="sk-SK"/>
          </w:rPr>
          <w:t>http://data.europa.eu/eli/reg/2024/1449/oj</w:t>
        </w:r>
      </w:hyperlink>
      <w:r w:rsidRPr="00131C30">
        <w:rPr>
          <w:sz w:val="24"/>
          <w:lang w:val="sk-SK"/>
        </w:rPr>
        <w:t xml:space="preserve">. </w:t>
      </w:r>
    </w:p>
  </w:footnote>
  <w:footnote w:id="27">
    <w:p w14:paraId="59F399BB" w14:textId="79A8FEEB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</w:t>
      </w:r>
      <w:r w:rsidRPr="00131C30">
        <w:rPr>
          <w:sz w:val="24"/>
          <w:lang w:val="sk-SK"/>
        </w:rPr>
        <w:t xml:space="preserve">EÚ L, 2024/792, 29.2.2024, ELI: </w:t>
      </w:r>
      <w:hyperlink r:id="rId16" w:history="1">
        <w:r w:rsidRPr="00131C30">
          <w:rPr>
            <w:rStyle w:val="Hyperlink"/>
            <w:sz w:val="24"/>
            <w:lang w:val="sk-SK"/>
          </w:rPr>
          <w:t>http://data.europa.eu/eli/reg/2024/792/oj</w:t>
        </w:r>
      </w:hyperlink>
      <w:r w:rsidRPr="00131C30">
        <w:rPr>
          <w:sz w:val="24"/>
          <w:lang w:val="sk-SK"/>
        </w:rPr>
        <w:t xml:space="preserve">. </w:t>
      </w:r>
    </w:p>
  </w:footnote>
  <w:footnote w:id="28">
    <w:p w14:paraId="715D7718" w14:textId="708770D1" w:rsidR="00B24779" w:rsidRPr="00131C30" w:rsidRDefault="00B24779" w:rsidP="00131C30">
      <w:pPr>
        <w:pStyle w:val="FootnoteText"/>
        <w:ind w:left="567" w:hanging="567"/>
        <w:rPr>
          <w:iCs/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 xml:space="preserve">Ú. v. </w:t>
      </w:r>
      <w:r w:rsidRPr="00131C30">
        <w:rPr>
          <w:sz w:val="24"/>
          <w:lang w:val="sk-SK"/>
        </w:rPr>
        <w:t>EÚ L, 2025/535, 21.3.2025, ELI:</w:t>
      </w:r>
      <w:r w:rsidRPr="00131C30">
        <w:rPr>
          <w:i/>
          <w:sz w:val="24"/>
          <w:lang w:val="sk-SK"/>
        </w:rPr>
        <w:t> </w:t>
      </w:r>
      <w:hyperlink r:id="rId17" w:tgtFrame="_blank" w:tooltip="Umožňuje prístup k tomuto dokumentu prostredníctvom identifikátora URI používaného v rámci ELI." w:history="1">
        <w:r w:rsidRPr="00131C30">
          <w:rPr>
            <w:rStyle w:val="Hyperlink"/>
            <w:sz w:val="24"/>
            <w:lang w:val="sk-SK"/>
          </w:rPr>
          <w:t>http://data.europa.eu/eli/reg/2025/535/oj</w:t>
        </w:r>
      </w:hyperlink>
      <w:r w:rsidRPr="00131C30">
        <w:rPr>
          <w:sz w:val="24"/>
          <w:lang w:val="sk-SK"/>
        </w:rPr>
        <w:t>.</w:t>
      </w:r>
    </w:p>
  </w:footnote>
  <w:footnote w:id="29">
    <w:p w14:paraId="29AEBD98" w14:textId="7513EC88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 v. EÚ C 362, 8.9.2021, s. 114.</w:t>
      </w:r>
    </w:p>
  </w:footnote>
  <w:footnote w:id="30">
    <w:p w14:paraId="2FAC3D06" w14:textId="1CC20714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Prijaté texty, P10_TA(2025)0248.</w:t>
      </w:r>
    </w:p>
  </w:footnote>
  <w:footnote w:id="31">
    <w:p w14:paraId="7DADC99F" w14:textId="53F8EF18" w:rsidR="00B24779" w:rsidRPr="00131C30" w:rsidRDefault="00B24779" w:rsidP="00131C30">
      <w:pPr>
        <w:pStyle w:val="FootnoteText"/>
        <w:ind w:left="567" w:hanging="567"/>
        <w:rPr>
          <w:sz w:val="24"/>
          <w:lang w:val="sk-SK"/>
        </w:rPr>
      </w:pPr>
      <w:r w:rsidRPr="00131C30">
        <w:rPr>
          <w:rStyle w:val="FootnoteReference"/>
          <w:sz w:val="24"/>
          <w:lang w:val="sk-SK"/>
        </w:rPr>
        <w:footnoteRef/>
      </w:r>
      <w:r w:rsidR="00131C30" w:rsidRPr="00131C30">
        <w:rPr>
          <w:sz w:val="24"/>
          <w:lang w:val="sk-SK"/>
        </w:rPr>
        <w:t xml:space="preserve"> </w:t>
      </w:r>
      <w:r w:rsidR="00131C30" w:rsidRPr="00131C30">
        <w:rPr>
          <w:sz w:val="24"/>
          <w:lang w:val="sk-SK"/>
        </w:rPr>
        <w:tab/>
      </w:r>
      <w:r w:rsidRPr="00131C30">
        <w:rPr>
          <w:sz w:val="24"/>
          <w:lang w:val="sk-SK"/>
        </w:rPr>
        <w:t>Ú. v. </w:t>
      </w:r>
      <w:r w:rsidRPr="00131C30">
        <w:rPr>
          <w:sz w:val="24"/>
          <w:lang w:val="sk-SK"/>
        </w:rPr>
        <w:t xml:space="preserve">EÚ C, C/2025/2251, 29.4.2025, ELI: </w:t>
      </w:r>
      <w:hyperlink r:id="rId18" w:history="1">
        <w:r w:rsidRPr="00131C30">
          <w:rPr>
            <w:rStyle w:val="Hyperlink"/>
            <w:sz w:val="24"/>
            <w:lang w:val="sk-SK"/>
          </w:rPr>
          <w:t>http://data.europa.eu/eli/C/2025/2251/oj</w:t>
        </w:r>
      </w:hyperlink>
      <w:r w:rsidRPr="00131C30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A7F0" w14:textId="77777777" w:rsidR="00064002" w:rsidRPr="00131C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C50B" w14:textId="77777777" w:rsidR="00064002" w:rsidRPr="00131C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7BB9" w14:textId="77777777" w:rsidR="00064002" w:rsidRPr="00131C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8355983">
    <w:abstractNumId w:val="9"/>
  </w:num>
  <w:num w:numId="2" w16cid:durableId="965236130">
    <w:abstractNumId w:val="9"/>
  </w:num>
  <w:num w:numId="3" w16cid:durableId="876505816">
    <w:abstractNumId w:val="7"/>
  </w:num>
  <w:num w:numId="4" w16cid:durableId="697776802">
    <w:abstractNumId w:val="7"/>
  </w:num>
  <w:num w:numId="5" w16cid:durableId="15035758">
    <w:abstractNumId w:val="6"/>
  </w:num>
  <w:num w:numId="6" w16cid:durableId="82650745">
    <w:abstractNumId w:val="6"/>
  </w:num>
  <w:num w:numId="7" w16cid:durableId="1018700888">
    <w:abstractNumId w:val="5"/>
  </w:num>
  <w:num w:numId="8" w16cid:durableId="1293755839">
    <w:abstractNumId w:val="5"/>
  </w:num>
  <w:num w:numId="9" w16cid:durableId="112673526">
    <w:abstractNumId w:val="4"/>
  </w:num>
  <w:num w:numId="10" w16cid:durableId="59138115">
    <w:abstractNumId w:val="4"/>
  </w:num>
  <w:num w:numId="11" w16cid:durableId="241526872">
    <w:abstractNumId w:val="8"/>
  </w:num>
  <w:num w:numId="12" w16cid:durableId="707880559">
    <w:abstractNumId w:val="8"/>
  </w:num>
  <w:num w:numId="13" w16cid:durableId="74595079">
    <w:abstractNumId w:val="3"/>
  </w:num>
  <w:num w:numId="14" w16cid:durableId="69235471">
    <w:abstractNumId w:val="3"/>
  </w:num>
  <w:num w:numId="15" w16cid:durableId="831524039">
    <w:abstractNumId w:val="2"/>
  </w:num>
  <w:num w:numId="16" w16cid:durableId="550002192">
    <w:abstractNumId w:val="2"/>
  </w:num>
  <w:num w:numId="17" w16cid:durableId="1187520508">
    <w:abstractNumId w:val="1"/>
  </w:num>
  <w:num w:numId="18" w16cid:durableId="636226730">
    <w:abstractNumId w:val="1"/>
  </w:num>
  <w:num w:numId="19" w16cid:durableId="513615085">
    <w:abstractNumId w:val="0"/>
  </w:num>
  <w:num w:numId="20" w16cid:durableId="313917937">
    <w:abstractNumId w:val="0"/>
  </w:num>
  <w:num w:numId="21" w16cid:durableId="910695221">
    <w:abstractNumId w:val="9"/>
  </w:num>
  <w:num w:numId="22" w16cid:durableId="234164877">
    <w:abstractNumId w:val="7"/>
  </w:num>
  <w:num w:numId="23" w16cid:durableId="1899707014">
    <w:abstractNumId w:val="6"/>
  </w:num>
  <w:num w:numId="24" w16cid:durableId="139620436">
    <w:abstractNumId w:val="5"/>
  </w:num>
  <w:num w:numId="25" w16cid:durableId="1814758503">
    <w:abstractNumId w:val="4"/>
  </w:num>
  <w:num w:numId="26" w16cid:durableId="858156607">
    <w:abstractNumId w:val="8"/>
  </w:num>
  <w:num w:numId="27" w16cid:durableId="1936472598">
    <w:abstractNumId w:val="3"/>
  </w:num>
  <w:num w:numId="28" w16cid:durableId="739642567">
    <w:abstractNumId w:val="2"/>
  </w:num>
  <w:num w:numId="29" w16cid:durableId="170293788">
    <w:abstractNumId w:val="1"/>
  </w:num>
  <w:num w:numId="30" w16cid:durableId="945692540">
    <w:abstractNumId w:val="0"/>
  </w:num>
  <w:num w:numId="31" w16cid:durableId="159007057">
    <w:abstractNumId w:val="9"/>
  </w:num>
  <w:num w:numId="32" w16cid:durableId="298650442">
    <w:abstractNumId w:val="7"/>
  </w:num>
  <w:num w:numId="33" w16cid:durableId="657734888">
    <w:abstractNumId w:val="6"/>
  </w:num>
  <w:num w:numId="34" w16cid:durableId="120273223">
    <w:abstractNumId w:val="5"/>
  </w:num>
  <w:num w:numId="35" w16cid:durableId="1092124255">
    <w:abstractNumId w:val="4"/>
  </w:num>
  <w:num w:numId="36" w16cid:durableId="920918398">
    <w:abstractNumId w:val="8"/>
  </w:num>
  <w:num w:numId="37" w16cid:durableId="154802357">
    <w:abstractNumId w:val="3"/>
  </w:num>
  <w:num w:numId="38" w16cid:durableId="248464469">
    <w:abstractNumId w:val="2"/>
  </w:num>
  <w:num w:numId="39" w16cid:durableId="930703091">
    <w:abstractNumId w:val="1"/>
  </w:num>
  <w:num w:numId="40" w16cid:durableId="996572760">
    <w:abstractNumId w:val="0"/>
  </w:num>
  <w:num w:numId="41" w16cid:durableId="186524156">
    <w:abstractNumId w:val="10"/>
  </w:num>
  <w:num w:numId="42" w16cid:durableId="691108604">
    <w:abstractNumId w:val="10"/>
  </w:num>
  <w:num w:numId="43" w16cid:durableId="1877231244">
    <w:abstractNumId w:val="10"/>
  </w:num>
  <w:num w:numId="44" w16cid:durableId="3174223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6/2026"/>
    <w:docVar w:name="dvlangue" w:val="SK"/>
    <w:docVar w:name="dvnumam" w:val="0"/>
    <w:docVar w:name="dvpe" w:val="778.144"/>
    <w:docVar w:name="dvrapporteur" w:val="Spravodajca: "/>
    <w:docVar w:name="dvtitre" w:val="Uznesenie Európskeho parlamentu z/zo xx. xxx 2026 o stratégii rozširovania EÚ(2025/2110(INI))"/>
  </w:docVars>
  <w:rsids>
    <w:rsidRoot w:val="00C53CFB"/>
    <w:rsid w:val="00002272"/>
    <w:rsid w:val="00064002"/>
    <w:rsid w:val="000677B9"/>
    <w:rsid w:val="000831BA"/>
    <w:rsid w:val="000A42CC"/>
    <w:rsid w:val="000E7DD9"/>
    <w:rsid w:val="0010095E"/>
    <w:rsid w:val="00125B37"/>
    <w:rsid w:val="00131C30"/>
    <w:rsid w:val="00185008"/>
    <w:rsid w:val="00187494"/>
    <w:rsid w:val="00192202"/>
    <w:rsid w:val="001A74BB"/>
    <w:rsid w:val="001F32AE"/>
    <w:rsid w:val="001F7268"/>
    <w:rsid w:val="002767FF"/>
    <w:rsid w:val="002B18FE"/>
    <w:rsid w:val="002B5493"/>
    <w:rsid w:val="002D55C9"/>
    <w:rsid w:val="00343214"/>
    <w:rsid w:val="00361C00"/>
    <w:rsid w:val="00395FA1"/>
    <w:rsid w:val="003D1B1F"/>
    <w:rsid w:val="003E15D4"/>
    <w:rsid w:val="003E481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4D1"/>
    <w:rsid w:val="005F1B17"/>
    <w:rsid w:val="005F6C72"/>
    <w:rsid w:val="006037C0"/>
    <w:rsid w:val="006631B6"/>
    <w:rsid w:val="00680577"/>
    <w:rsid w:val="006C1583"/>
    <w:rsid w:val="006F74FA"/>
    <w:rsid w:val="00731ADD"/>
    <w:rsid w:val="00734777"/>
    <w:rsid w:val="00747932"/>
    <w:rsid w:val="00751A4A"/>
    <w:rsid w:val="00756632"/>
    <w:rsid w:val="00762C74"/>
    <w:rsid w:val="00786EC0"/>
    <w:rsid w:val="007B5E6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F88"/>
    <w:rsid w:val="00A70F20"/>
    <w:rsid w:val="00A778C7"/>
    <w:rsid w:val="00AB441E"/>
    <w:rsid w:val="00AB6293"/>
    <w:rsid w:val="00AE0928"/>
    <w:rsid w:val="00AF3B82"/>
    <w:rsid w:val="00B12E95"/>
    <w:rsid w:val="00B22876"/>
    <w:rsid w:val="00B24779"/>
    <w:rsid w:val="00B558F0"/>
    <w:rsid w:val="00BD48FE"/>
    <w:rsid w:val="00BD7BD8"/>
    <w:rsid w:val="00BE6ADC"/>
    <w:rsid w:val="00C05BFE"/>
    <w:rsid w:val="00C23CD4"/>
    <w:rsid w:val="00C269F4"/>
    <w:rsid w:val="00C53CF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57B67"/>
  <w15:chartTrackingRefBased/>
  <w15:docId w15:val="{280778C2-6B14-444D-82A3-E9E3F8B9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24779"/>
    <w:pPr>
      <w:spacing w:after="240"/>
      <w:ind w:left="567" w:hanging="567"/>
    </w:pPr>
  </w:style>
  <w:style w:type="paragraph" w:customStyle="1" w:styleId="EPComma">
    <w:name w:val="EPComma"/>
    <w:basedOn w:val="Normal"/>
    <w:rsid w:val="00B24779"/>
    <w:pPr>
      <w:spacing w:before="480" w:after="240"/>
    </w:pPr>
  </w:style>
  <w:style w:type="character" w:styleId="Hyperlink">
    <w:name w:val="Hyperlink"/>
    <w:basedOn w:val="DefaultParagraphFont"/>
    <w:rsid w:val="00B2477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24779"/>
    <w:rPr>
      <w:rFonts w:asciiTheme="minorHAnsi" w:hAnsiTheme="minorHAnsi" w:hint="default"/>
      <w:b/>
      <w:bCs w:val="0"/>
      <w:i/>
      <w:iCs/>
    </w:rPr>
  </w:style>
  <w:style w:type="character" w:customStyle="1" w:styleId="Normal12HangingChar">
    <w:name w:val="Normal12Hanging Char"/>
    <w:link w:val="Normal12Hanging"/>
    <w:locked/>
    <w:rsid w:val="00B24779"/>
    <w:rPr>
      <w:sz w:val="24"/>
    </w:rPr>
  </w:style>
  <w:style w:type="paragraph" w:customStyle="1" w:styleId="Normal12Hanging">
    <w:name w:val="Normal12Hanging"/>
    <w:basedOn w:val="Normal"/>
    <w:link w:val="Normal12HangingChar"/>
    <w:rsid w:val="00B24779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link w:val="NormalHanging12a"/>
    <w:rsid w:val="00B24779"/>
    <w:rPr>
      <w:sz w:val="24"/>
      <w:lang w:val="sk-SK"/>
    </w:rPr>
  </w:style>
  <w:style w:type="paragraph" w:styleId="Revision">
    <w:name w:val="Revision"/>
    <w:hidden/>
    <w:uiPriority w:val="99"/>
    <w:semiHidden/>
    <w:rsid w:val="00A70F2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agree_internation/2004/239(2)/oj" TargetMode="External"/><Relationship Id="rId13" Type="http://schemas.openxmlformats.org/officeDocument/2006/relationships/hyperlink" Target="http://data.europa.eu/eli/C/2024/6746/oj" TargetMode="External"/><Relationship Id="rId18" Type="http://schemas.openxmlformats.org/officeDocument/2006/relationships/hyperlink" Target="http://data.europa.eu/eli/C/2025/2251/oj" TargetMode="External"/><Relationship Id="rId3" Type="http://schemas.openxmlformats.org/officeDocument/2006/relationships/hyperlink" Target="http://data.europa.eu/eli/agree_internation/2015/997/oj" TargetMode="External"/><Relationship Id="rId7" Type="http://schemas.openxmlformats.org/officeDocument/2006/relationships/hyperlink" Target="http://data.europa.eu/eli/agree_internation/2010/224/oj" TargetMode="External"/><Relationship Id="rId12" Type="http://schemas.openxmlformats.org/officeDocument/2006/relationships/hyperlink" Target="http://data.europa.eu/eli/C/2024/6555/oj" TargetMode="External"/><Relationship Id="rId17" Type="http://schemas.openxmlformats.org/officeDocument/2006/relationships/hyperlink" Target="http://data.europa.eu/eli/reg/2025/535/oj" TargetMode="External"/><Relationship Id="rId2" Type="http://schemas.openxmlformats.org/officeDocument/2006/relationships/hyperlink" Target="http://data.europa.eu/eli/agree_internation/2009/332/oj" TargetMode="External"/><Relationship Id="rId16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4173/oj" TargetMode="External"/><Relationship Id="rId6" Type="http://schemas.openxmlformats.org/officeDocument/2006/relationships/hyperlink" Target="http://data.europa.eu/eli/agree_internation/2014/492/oj" TargetMode="External"/><Relationship Id="rId11" Type="http://schemas.openxmlformats.org/officeDocument/2006/relationships/hyperlink" Target="http://data.europa.eu/eli/agree_internation/2014/295/oj" TargetMode="External"/><Relationship Id="rId5" Type="http://schemas.openxmlformats.org/officeDocument/2006/relationships/hyperlink" Target="http://data.europa.eu/eli/agree_internation/2016/342/oj" TargetMode="External"/><Relationship Id="rId15" Type="http://schemas.openxmlformats.org/officeDocument/2006/relationships/hyperlink" Target="http://data.europa.eu/eli/reg/2024/1449/oj" TargetMode="External"/><Relationship Id="rId10" Type="http://schemas.openxmlformats.org/officeDocument/2006/relationships/hyperlink" Target="http://data.europa.eu/eli/agree_internation/1964/732/oj" TargetMode="External"/><Relationship Id="rId4" Type="http://schemas.openxmlformats.org/officeDocument/2006/relationships/hyperlink" Target="http://data.europa.eu/eli/agree_internation/2014/494/oj" TargetMode="External"/><Relationship Id="rId9" Type="http://schemas.openxmlformats.org/officeDocument/2006/relationships/hyperlink" Target="http://data.europa.eu/eli/agree_internation/2013/490/oj" TargetMode="External"/><Relationship Id="rId14" Type="http://schemas.openxmlformats.org/officeDocument/2006/relationships/hyperlink" Target="http://data.europa.eu/eli/reg/2021/1529/oj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5966</Words>
  <Characters>37948</Characters>
  <Application>Microsoft Office Word</Application>
  <DocSecurity>0</DocSecurity>
  <Lines>1224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2026-04-23T10:40:00Z</dcterms:created>
  <dcterms:modified xsi:type="dcterms:W3CDTF">2026-04-23T10:40:00Z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A10-0016/2026</vt:lpwstr>
  </property>
  <property fmtid="{D5CDD505-2E9C-101B-9397-08002B2CF9AE}" pid="4" name="&lt;Type&gt;">
    <vt:lpwstr>RR</vt:lpwstr>
  </property>
</Properties>
</file>