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7EDB" w14:paraId="2B9E36B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456674" w14:textId="77777777" w:rsidR="00751A4A" w:rsidRPr="002E7EDB" w:rsidRDefault="005F639E" w:rsidP="0010095E">
            <w:pPr>
              <w:pStyle w:val="EPName"/>
            </w:pPr>
            <w:r w:rsidRPr="002E7EDB">
              <w:t>Evropský parlament</w:t>
            </w:r>
          </w:p>
          <w:p w14:paraId="15782CB0" w14:textId="77777777" w:rsidR="00751A4A" w:rsidRPr="002E7ED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7EDB">
              <w:t>2024</w:t>
            </w:r>
            <w:r w:rsidR="00817416" w:rsidRPr="002E7EDB">
              <w:t>-202</w:t>
            </w:r>
            <w:r w:rsidRPr="002E7EDB">
              <w:t>9</w:t>
            </w:r>
          </w:p>
        </w:tc>
        <w:tc>
          <w:tcPr>
            <w:tcW w:w="2268" w:type="dxa"/>
            <w:shd w:val="clear" w:color="auto" w:fill="auto"/>
          </w:tcPr>
          <w:p w14:paraId="3E57066C" w14:textId="77777777" w:rsidR="00751A4A" w:rsidRPr="002E7EDB" w:rsidRDefault="00187494" w:rsidP="0010095E">
            <w:pPr>
              <w:pStyle w:val="EPLogo"/>
            </w:pPr>
            <w:r w:rsidRPr="002E7EDB">
              <w:rPr>
                <w:noProof/>
                <w:lang w:eastAsia="ja-JP"/>
              </w:rPr>
              <w:drawing>
                <wp:inline distT="0" distB="0" distL="0" distR="0" wp14:anchorId="2951F27A" wp14:editId="47CFF3C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A54638" w14:textId="77777777" w:rsidR="00D058B8" w:rsidRPr="002E7EDB" w:rsidRDefault="00D058B8" w:rsidP="004C5D52">
      <w:pPr>
        <w:pStyle w:val="LineTop"/>
      </w:pPr>
    </w:p>
    <w:p w14:paraId="3283C057" w14:textId="77777777" w:rsidR="00680577" w:rsidRPr="002E7EDB" w:rsidRDefault="005F639E" w:rsidP="00680577">
      <w:pPr>
        <w:pStyle w:val="EPBodyTA1"/>
      </w:pPr>
      <w:r w:rsidRPr="002E7EDB">
        <w:t>PŘIJATÉ TEXTY</w:t>
      </w:r>
    </w:p>
    <w:p w14:paraId="037695F6" w14:textId="77777777" w:rsidR="00D058B8" w:rsidRPr="002E7EDB" w:rsidRDefault="00D058B8" w:rsidP="00D058B8">
      <w:pPr>
        <w:pStyle w:val="LineBottom"/>
      </w:pPr>
    </w:p>
    <w:p w14:paraId="7763B55D" w14:textId="23CDC89F" w:rsidR="005F639E" w:rsidRPr="00B5279E" w:rsidRDefault="005F639E" w:rsidP="005F639E">
      <w:pPr>
        <w:pStyle w:val="ATHeading1"/>
      </w:pPr>
      <w:bookmarkStart w:id="0" w:name="TANumber"/>
      <w:r w:rsidRPr="00B5279E">
        <w:t>P10_TA(2026)00</w:t>
      </w:r>
      <w:r w:rsidR="000D159E">
        <w:t>78</w:t>
      </w:r>
      <w:bookmarkEnd w:id="0"/>
    </w:p>
    <w:p w14:paraId="47319710" w14:textId="77777777" w:rsidR="005F639E" w:rsidRPr="00B5279E" w:rsidRDefault="005F639E" w:rsidP="005F639E">
      <w:pPr>
        <w:pStyle w:val="ATHeading2"/>
      </w:pPr>
      <w:bookmarkStart w:id="1" w:name="title"/>
      <w:r w:rsidRPr="00B5279E">
        <w:t>Doporučení týkající se posílené spolupráce mezi EU a Kanadou v současném geopolitickém kontextu, a to i pokud jde o ohrožení hospodářské stability a svrchovanosti Kanady</w:t>
      </w:r>
      <w:bookmarkEnd w:id="1"/>
    </w:p>
    <w:p w14:paraId="547D1867" w14:textId="77777777" w:rsidR="005F639E" w:rsidRPr="002E7EDB" w:rsidRDefault="005F639E" w:rsidP="005F639E">
      <w:pPr>
        <w:rPr>
          <w:i/>
          <w:vanish/>
        </w:rPr>
      </w:pPr>
      <w:r w:rsidRPr="002E7EDB">
        <w:rPr>
          <w:i/>
        </w:rPr>
        <w:fldChar w:fldCharType="begin"/>
      </w:r>
      <w:r w:rsidRPr="002E7EDB">
        <w:rPr>
          <w:i/>
        </w:rPr>
        <w:instrText xml:space="preserve"> TC"(</w:instrText>
      </w:r>
      <w:bookmarkStart w:id="2" w:name="DocNumber"/>
      <w:r w:rsidRPr="002E7EDB">
        <w:rPr>
          <w:i/>
        </w:rPr>
        <w:instrText>A10-0035/2026</w:instrText>
      </w:r>
      <w:bookmarkEnd w:id="2"/>
      <w:r w:rsidRPr="002E7EDB">
        <w:rPr>
          <w:i/>
        </w:rPr>
        <w:instrText xml:space="preserve"> - Zpravodaj: Tobias </w:instrText>
      </w:r>
      <w:proofErr w:type="spellStart"/>
      <w:r w:rsidRPr="002E7EDB">
        <w:rPr>
          <w:i/>
        </w:rPr>
        <w:instrText>Cremer</w:instrText>
      </w:r>
      <w:proofErr w:type="spellEnd"/>
      <w:r w:rsidRPr="002E7EDB">
        <w:rPr>
          <w:i/>
        </w:rPr>
        <w:instrText xml:space="preserve">)"\l3 \n&gt; \* MERGEFORMAT </w:instrText>
      </w:r>
      <w:r w:rsidRPr="002E7EDB">
        <w:rPr>
          <w:i/>
        </w:rPr>
        <w:fldChar w:fldCharType="end"/>
      </w:r>
    </w:p>
    <w:p w14:paraId="5E1E0E38" w14:textId="77777777" w:rsidR="005F639E" w:rsidRPr="002E7EDB" w:rsidRDefault="005F639E" w:rsidP="005F639E">
      <w:pPr>
        <w:rPr>
          <w:vanish/>
        </w:rPr>
      </w:pPr>
      <w:bookmarkStart w:id="3" w:name="Commission"/>
      <w:r w:rsidRPr="002E7EDB">
        <w:rPr>
          <w:vanish/>
        </w:rPr>
        <w:t>Výbor pro zahraniční věci</w:t>
      </w:r>
      <w:bookmarkEnd w:id="3"/>
    </w:p>
    <w:p w14:paraId="42145C46" w14:textId="77777777" w:rsidR="005F639E" w:rsidRPr="002E7EDB" w:rsidRDefault="005F639E" w:rsidP="005F639E">
      <w:pPr>
        <w:rPr>
          <w:vanish/>
        </w:rPr>
      </w:pPr>
      <w:bookmarkStart w:id="4" w:name="PE"/>
      <w:r w:rsidRPr="002E7EDB">
        <w:rPr>
          <w:vanish/>
        </w:rPr>
        <w:t>PE778.092</w:t>
      </w:r>
      <w:bookmarkEnd w:id="4"/>
    </w:p>
    <w:p w14:paraId="2224D2C8" w14:textId="259BFD74" w:rsidR="005F639E" w:rsidRPr="00B5279E" w:rsidRDefault="00AA06F8" w:rsidP="005F639E">
      <w:pPr>
        <w:pStyle w:val="ATHeading3"/>
      </w:pPr>
      <w:bookmarkStart w:id="5" w:name="Sujet"/>
      <w:r>
        <w:t>D</w:t>
      </w:r>
      <w:r w:rsidR="005F639E" w:rsidRPr="00B5279E">
        <w:t xml:space="preserve">oporučení Evropského parlamentu </w:t>
      </w:r>
      <w:r w:rsidRPr="002438B1">
        <w:t>z</w:t>
      </w:r>
      <w:r w:rsidRPr="00F9645F">
        <w:t>e dne 11. března 202</w:t>
      </w:r>
      <w:r w:rsidR="00E87CF1">
        <w:t>6</w:t>
      </w:r>
      <w:r w:rsidRPr="00F9645F">
        <w:t xml:space="preserve"> </w:t>
      </w:r>
      <w:r w:rsidR="005F639E" w:rsidRPr="00B5279E">
        <w:t>Radě, Komisi a místopředsedkyni Komise, vysoké představitelce Unie pro zahraniční věci a bezpečnostní politiku týkajícím se posílené spolupráce mezi EU a Kanadou v současném geopolitickém kontextu, a to i pokud jde o ohrožení hospodářské stability a svrchovanosti Kanady</w:t>
      </w:r>
      <w:bookmarkEnd w:id="5"/>
      <w:r w:rsidR="005F639E" w:rsidRPr="00B5279E">
        <w:t xml:space="preserve"> </w:t>
      </w:r>
      <w:bookmarkStart w:id="6" w:name="References"/>
      <w:r w:rsidR="005F639E" w:rsidRPr="00B5279E">
        <w:t>(2025/2168(INI))</w:t>
      </w:r>
      <w:bookmarkEnd w:id="6"/>
    </w:p>
    <w:p w14:paraId="5CE5030D" w14:textId="77777777" w:rsidR="009C4FDC" w:rsidRPr="002E7EDB" w:rsidRDefault="009C4FDC" w:rsidP="009C4FDC">
      <w:pPr>
        <w:pStyle w:val="EPComma"/>
      </w:pPr>
      <w:r w:rsidRPr="002E7EDB">
        <w:rPr>
          <w:i/>
        </w:rPr>
        <w:t>Evropský parlament</w:t>
      </w:r>
      <w:r w:rsidRPr="002E7EDB">
        <w:t>,</w:t>
      </w:r>
    </w:p>
    <w:p w14:paraId="58B2F95D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t>–</w:t>
      </w:r>
      <w:r w:rsidRPr="002E7EDB">
        <w:tab/>
        <w:t>s o</w:t>
      </w:r>
      <w:r w:rsidRPr="002E7EDB">
        <w:rPr>
          <w:szCs w:val="24"/>
        </w:rPr>
        <w:t>hledem na Dohodu o strategickém partnerství mezi Evropskou unií a jejími členskými státy na jedné straně a Kanadou na straně druhé</w:t>
      </w:r>
      <w:r w:rsidRPr="002E7EDB">
        <w:rPr>
          <w:rStyle w:val="FootnoteReference"/>
          <w:szCs w:val="24"/>
        </w:rPr>
        <w:footnoteReference w:id="1"/>
      </w:r>
      <w:r w:rsidRPr="002E7EDB">
        <w:rPr>
          <w:szCs w:val="24"/>
        </w:rPr>
        <w:t xml:space="preserve"> podepsanou dne 30. října 2016 a prozatímně uplatňovanou ode dne 1. dubna 2017,</w:t>
      </w:r>
    </w:p>
    <w:p w14:paraId="65155759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–</w:t>
      </w:r>
      <w:r w:rsidRPr="002E7EDB">
        <w:rPr>
          <w:szCs w:val="24"/>
        </w:rPr>
        <w:tab/>
        <w:t>s ohledem na Komplexní hospodářskou a obchodní dohodu (CETA) mezi Kanadou na jedné straně a Evropskou unií a jejími členskými státy na straně druhé</w:t>
      </w:r>
      <w:r w:rsidRPr="002E7EDB">
        <w:rPr>
          <w:rStyle w:val="FootnoteReference"/>
          <w:szCs w:val="24"/>
        </w:rPr>
        <w:footnoteReference w:id="2"/>
      </w:r>
      <w:r w:rsidRPr="002E7EDB">
        <w:rPr>
          <w:szCs w:val="24"/>
        </w:rPr>
        <w:t>, která prozatímně vstoupila v platnost dne 21. září 2017,</w:t>
      </w:r>
    </w:p>
    <w:p w14:paraId="7EC4E71E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–</w:t>
      </w:r>
      <w:r w:rsidRPr="002E7EDB">
        <w:rPr>
          <w:szCs w:val="24"/>
        </w:rPr>
        <w:tab/>
        <w:t>s ohledem na strategické partnerství mezi EU a Kanadou v oblasti surovin, které bylo zahájeno dne 21. června 2021,</w:t>
      </w:r>
    </w:p>
    <w:p w14:paraId="62E3586A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–</w:t>
      </w:r>
      <w:r w:rsidRPr="002E7EDB">
        <w:rPr>
          <w:szCs w:val="24"/>
        </w:rPr>
        <w:tab/>
        <w:t>s ohledem na digitální partnerství mezi EU a Kanadou a </w:t>
      </w:r>
      <w:proofErr w:type="gramStart"/>
      <w:r w:rsidRPr="002E7EDB">
        <w:rPr>
          <w:szCs w:val="24"/>
        </w:rPr>
        <w:t>Zelenou</w:t>
      </w:r>
      <w:proofErr w:type="gramEnd"/>
      <w:r w:rsidRPr="002E7EDB">
        <w:rPr>
          <w:szCs w:val="24"/>
        </w:rPr>
        <w:t xml:space="preserve"> aliancí mezi EU a Kanadou, které byly zahájeny dne 23. listopadu 2023,</w:t>
      </w:r>
    </w:p>
    <w:p w14:paraId="46C3D7B7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–</w:t>
      </w:r>
      <w:r w:rsidRPr="002E7EDB">
        <w:rPr>
          <w:szCs w:val="24"/>
        </w:rPr>
        <w:tab/>
        <w:t>s ohledem na společné prohlášení vedoucích představitelů Evropské unie a Kanady nazvané „Trvalé partnerství, ambiciózní agenda“, které bylo přijato na summitu EU-Kanada konaném dne 23. června 2025 v Bruselu,</w:t>
      </w:r>
    </w:p>
    <w:p w14:paraId="62374EF6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–</w:t>
      </w:r>
      <w:r w:rsidRPr="002E7EDB">
        <w:rPr>
          <w:szCs w:val="24"/>
        </w:rPr>
        <w:tab/>
        <w:t xml:space="preserve">s ohledem na partnerství v oblasti bezpečnosti a obrany mezi Evropskou unií </w:t>
      </w:r>
      <w:r w:rsidRPr="002E7EDB">
        <w:rPr>
          <w:szCs w:val="24"/>
        </w:rPr>
        <w:lastRenderedPageBreak/>
        <w:t>a Kanadou, které bylo podepsáno na summitu EU-Kanada konaném dne 23. června 2025,</w:t>
      </w:r>
    </w:p>
    <w:p w14:paraId="7EDD1824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–</w:t>
      </w:r>
      <w:r w:rsidRPr="002E7EDB">
        <w:rPr>
          <w:szCs w:val="24"/>
        </w:rPr>
        <w:tab/>
        <w:t>s ohledem na prohlášení z Haagského summitu NATO ze dne 25. června 2025,</w:t>
      </w:r>
    </w:p>
    <w:p w14:paraId="02F4290C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–</w:t>
      </w:r>
      <w:r w:rsidRPr="002E7EDB">
        <w:rPr>
          <w:szCs w:val="24"/>
        </w:rPr>
        <w:tab/>
        <w:t>s ohledem na závěry Evropské rady ze dne 26. června 2025,</w:t>
      </w:r>
    </w:p>
    <w:p w14:paraId="6BD77086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–</w:t>
      </w:r>
      <w:r w:rsidRPr="002E7EDB">
        <w:rPr>
          <w:szCs w:val="24"/>
        </w:rPr>
        <w:tab/>
        <w:t>s ohledem na alianci pro těžbu kritických nerostných surovin pod vedením Kanady, která byla oznámena dne 17. června 2025 a zahájena 31. října 2025,</w:t>
      </w:r>
    </w:p>
    <w:p w14:paraId="4304A33E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–</w:t>
      </w:r>
      <w:r w:rsidRPr="002E7EDB">
        <w:rPr>
          <w:szCs w:val="24"/>
        </w:rPr>
        <w:tab/>
        <w:t>s ohledem na společné prohlášení vydané po čtvrtém zasedání Smíšeného ministerského výboru EU–Kanada dne 12. listopadu 2025,</w:t>
      </w:r>
    </w:p>
    <w:p w14:paraId="23F754EC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–</w:t>
      </w:r>
      <w:r w:rsidRPr="002E7EDB">
        <w:rPr>
          <w:szCs w:val="24"/>
        </w:rPr>
        <w:tab/>
        <w:t>s ohledem na Deklaraci OSN o právech původního obyvatelstva ze dne 13. září 2007,</w:t>
      </w:r>
    </w:p>
    <w:p w14:paraId="62819B94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–</w:t>
      </w:r>
      <w:r w:rsidRPr="002E7EDB">
        <w:rPr>
          <w:szCs w:val="24"/>
        </w:rPr>
        <w:tab/>
        <w:t>s ohledem na celosvětový rámec pro biologickou rozmanitost z </w:t>
      </w:r>
      <w:proofErr w:type="spellStart"/>
      <w:r w:rsidRPr="002E7EDB">
        <w:rPr>
          <w:szCs w:val="24"/>
        </w:rPr>
        <w:t>Kchun-mingu</w:t>
      </w:r>
      <w:proofErr w:type="spellEnd"/>
      <w:r w:rsidRPr="002E7EDB">
        <w:rPr>
          <w:szCs w:val="24"/>
        </w:rPr>
        <w:t xml:space="preserve"> a Montrealu v rámci Úmluvy o biologické rozmanitosti,</w:t>
      </w:r>
    </w:p>
    <w:p w14:paraId="213A5F4C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–</w:t>
      </w:r>
      <w:r w:rsidRPr="002E7EDB">
        <w:rPr>
          <w:szCs w:val="24"/>
        </w:rPr>
        <w:tab/>
        <w:t>s ohledem na své doporučení Radě, Komisi a místopředsedkyni Komise / vysoké představitelce Unie pro zahraniční věci a bezpečnostní politiku k diplomatické strategii EU a geopolitické spolupráci v Arktidě ze dne 26. listopadu 2025;</w:t>
      </w:r>
    </w:p>
    <w:p w14:paraId="5766BAFA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–</w:t>
      </w:r>
      <w:r w:rsidRPr="002E7EDB">
        <w:rPr>
          <w:szCs w:val="24"/>
        </w:rPr>
        <w:tab/>
        <w:t>s ohledem na článek 121 jednacího řádu,</w:t>
      </w:r>
    </w:p>
    <w:p w14:paraId="1B1FF6E4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–</w:t>
      </w:r>
      <w:r w:rsidRPr="002E7EDB">
        <w:rPr>
          <w:szCs w:val="24"/>
        </w:rPr>
        <w:tab/>
        <w:t>s ohledem na stanovisko Výboru pro mezinárodní obchod,</w:t>
      </w:r>
    </w:p>
    <w:p w14:paraId="344F5C26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–</w:t>
      </w:r>
      <w:r w:rsidRPr="002E7EDB">
        <w:rPr>
          <w:szCs w:val="24"/>
        </w:rPr>
        <w:tab/>
        <w:t>s ohledem na zprávu Výboru pro zahraniční věci (A10-0035/2026),</w:t>
      </w:r>
    </w:p>
    <w:p w14:paraId="638EF70B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A.</w:t>
      </w:r>
      <w:r w:rsidRPr="002E7EDB">
        <w:rPr>
          <w:szCs w:val="24"/>
        </w:rPr>
        <w:tab/>
        <w:t>vzhledem k tomu, že v geopolitickém kontextu vyznačujícím se zvýšenou rivalitou mezi velkými mocnostmi, politickou nestabilitou, roztříštěnými globálními dodavatelskými řetězci, rostoucím protekcionismem, zneužíváním obchodu jako zbraně, zranitelností hospodářské bezpečnosti a zrychlující se změnou klimatu musí EU prohloubit spolupráci s podobně smýšlejícími partnery, jako je Kanada; vzhledem k tomu, že EU a Kanada mají společný a zvýšený zájem na prohloubení své spolupráce, posílení svých hospodářských vazeb a prosazování mezinárodního řádu založeného na pravidlech a sdílejí společné postoje prakticky ve všech regionech světa; vzhledem k tomu, že EU zůstává trvale spolehlivým a loajálním spojencem Kanady;</w:t>
      </w:r>
    </w:p>
    <w:p w14:paraId="7EA847A5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B.</w:t>
      </w:r>
      <w:r w:rsidRPr="002E7EDB">
        <w:rPr>
          <w:szCs w:val="24"/>
        </w:rPr>
        <w:tab/>
        <w:t>vzhledem k tomu, že EU a Kanada jsou strategickými partnery, které spojuje přesvědčení, že demokracie, právní stát, lidská práva a mnohostranná spolupráce, zejména v oblasti bezpečnosti a obchodu, jsou prospěšné pro kanadskou i evropskou společnost a mezinárodní společenství, a celosvětové aliance podobně smýšlejících partnerů je proto musí hájit;</w:t>
      </w:r>
    </w:p>
    <w:p w14:paraId="18D17F4D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C.</w:t>
      </w:r>
      <w:r w:rsidRPr="002E7EDB">
        <w:rPr>
          <w:szCs w:val="24"/>
        </w:rPr>
        <w:tab/>
        <w:t>vzhledem k tomu, že partnerství mezi EU a Kanadou se stalo ústředním prvkem ochrany a prosazování multilateralismu a demokracie na celém světě v době, kdy jsou tyto dlouhodobé zásady a úspěchy neustále a v rostoucí míře ohrožovány; vzhledem k tomu, že Kanada a všechny členské státy EU jsou smluvními stranami Smlouvy o nešíření jaderných zbraní;</w:t>
      </w:r>
    </w:p>
    <w:p w14:paraId="380D7847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D.</w:t>
      </w:r>
      <w:r w:rsidRPr="002E7EDB">
        <w:rPr>
          <w:szCs w:val="24"/>
        </w:rPr>
        <w:tab/>
        <w:t xml:space="preserve">vzhledem k tomu, že EU a Kanada dlouhodobě spolupracují v rámci Světové obchodní organizace (WTO) a jsou odhodlány spolupracovat na stabilizaci a posílení </w:t>
      </w:r>
      <w:r w:rsidRPr="002E7EDB">
        <w:rPr>
          <w:szCs w:val="24"/>
        </w:rPr>
        <w:lastRenderedPageBreak/>
        <w:t>mezinárodního obchodního systému založeného na pravidlech, jehož existence je v současnosti v ohrožení, modernizovat WTO a oživit její systém řešení sporů, mimo jiné prostřednictvím Mnohostranného prozatímního ujednání o odvolání při rozhodčím řízení;</w:t>
      </w:r>
    </w:p>
    <w:p w14:paraId="77CC0452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E.</w:t>
      </w:r>
      <w:r w:rsidRPr="002E7EDB">
        <w:rPr>
          <w:szCs w:val="24"/>
        </w:rPr>
        <w:tab/>
        <w:t>vzhledem k tomu, že účinná spolupráce mezi EU a Kanadou založená na společném vedení a odpovědnosti má zásadní význam pro řešení globálních výzev, jako je válka Ruska proti Ukrajině, hybridní válka Ruska proti demokratickým společnostem, geopolitická soutěž v Arktidě, čím dál asertivnější jednání a hospodářský nátlak Číny mimo mezinárodně zřízené rámce, větší nestálost zahraniční politiky USA, změna klimatu a situace na Blízkém východě;</w:t>
      </w:r>
    </w:p>
    <w:p w14:paraId="68CEB765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F.</w:t>
      </w:r>
      <w:r w:rsidRPr="002E7EDB">
        <w:rPr>
          <w:szCs w:val="24"/>
        </w:rPr>
        <w:tab/>
        <w:t>vzhledem k tomu, že spolupráce mezi EU a Kanadou ve stávajících rámcích má zásadní význam pro zachování a zvýšení prosperity obou stran; vzhledem k tomu, že mezi příklady této zásadní spolupráce patří obchodní a hospodářská spolupráce a společné ambice řešit výzvy, jako je ekologická a digitální transformace, umělá inteligence a další vznikající technologie, bezpečnost, včetně vojenské spolupráce, boj proti terorismu a boj proti organizované trestné činnosti, a infrastruktura, energetika, zdraví a potravinové zabezpečení;</w:t>
      </w:r>
    </w:p>
    <w:p w14:paraId="5D5E9666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G.</w:t>
      </w:r>
      <w:r w:rsidRPr="002E7EDB">
        <w:rPr>
          <w:szCs w:val="24"/>
        </w:rPr>
        <w:tab/>
        <w:t>vzhledem k tomu, že dne 1. prosince 2025 Kanada a EU úspěšně uzavřely jednání o dohodě o účasti Kanady na programu Bezpečnostní akce pro Evropu (SAFE), čímž navázaly na své partnerství v oblasti bezpečnosti a obrany podepsané na summitu EU-Kanada v červnu 2025;</w:t>
      </w:r>
    </w:p>
    <w:p w14:paraId="10BCB8CD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H.</w:t>
      </w:r>
      <w:r w:rsidRPr="002E7EDB">
        <w:rPr>
          <w:szCs w:val="24"/>
        </w:rPr>
        <w:tab/>
        <w:t>vzhledem k tomu, že výsledky CETA jsou hodnoceny kladně, neboť dohoda výrazně zvýšila obchod se zbožím a službami mezi EU a Kanadou přibližně o 63 % resp. o 75,6 miliardy EUR, zrušila 99 % celních položek a přinesla přímý prospěch malým a středním podnikům v EU i v Kanadě, které se rostoucí měrou zapojují do dvoustranného obchodu; vzhledem k tomu, že se nenaplnily počáteční obavy z toho, že evropský trh bude zaplaven hovězím masem z Kanady, neboť v roce 2023 byla využita pouze přibližně 2 % roční kvóty na hovězí maso, jak byla stanovena dohodou;</w:t>
      </w:r>
    </w:p>
    <w:p w14:paraId="330A399C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I.</w:t>
      </w:r>
      <w:r w:rsidRPr="002E7EDB">
        <w:rPr>
          <w:szCs w:val="24"/>
        </w:rPr>
        <w:tab/>
        <w:t>vzhledem k tomu, že v některých oblastech přetrvávají problémy při prosazování dohody CETA, jako je spolupráce v oblasti regulace, kapitola o obchodu a udržitelném rozvoji a transparentní přístup k úplným údajům o zadávání veřejných zakázek</w:t>
      </w:r>
      <w:r w:rsidRPr="002E7EDB">
        <w:rPr>
          <w:rStyle w:val="FootnoteReference"/>
          <w:bCs/>
          <w:iCs/>
          <w:szCs w:val="24"/>
        </w:rPr>
        <w:footnoteReference w:id="3"/>
      </w:r>
      <w:r w:rsidRPr="002E7EDB">
        <w:rPr>
          <w:szCs w:val="24"/>
        </w:rPr>
        <w:t>;</w:t>
      </w:r>
    </w:p>
    <w:p w14:paraId="2A50E4CC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J.</w:t>
      </w:r>
      <w:r w:rsidRPr="002E7EDB">
        <w:rPr>
          <w:szCs w:val="24"/>
        </w:rPr>
        <w:tab/>
        <w:t>vzhledem k tomu, že kapitola o elektronickém obchodu a udržitelném rozvoji a ustanovení o ochraně investorů v dohodě CETA jsou zastaralé a neodrážejí současnou politiku Komise; vzhledem k tomu, že kanadská vláda předložila návrhy, které mají zlepšit vymahatelnost ustanovení dohody CETA týkajících se obchodu a udržitelného rozvoje;</w:t>
      </w:r>
    </w:p>
    <w:p w14:paraId="7C6638C0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K.</w:t>
      </w:r>
      <w:r w:rsidRPr="002E7EDB">
        <w:rPr>
          <w:szCs w:val="24"/>
        </w:rPr>
        <w:tab/>
        <w:t xml:space="preserve">vzhledem k tomu, že dohoda CETA </w:t>
      </w:r>
      <w:proofErr w:type="gramStart"/>
      <w:r w:rsidRPr="002E7EDB">
        <w:rPr>
          <w:szCs w:val="24"/>
        </w:rPr>
        <w:t>vytváří</w:t>
      </w:r>
      <w:proofErr w:type="gramEnd"/>
      <w:r w:rsidRPr="002E7EDB">
        <w:rPr>
          <w:szCs w:val="24"/>
        </w:rPr>
        <w:t xml:space="preserve"> rámec pro vzájemné uznávání kvalifikací v regulovaných povoláních, jako jsou architekti, účetní nebo inženýři;</w:t>
      </w:r>
    </w:p>
    <w:p w14:paraId="789C2B5D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lastRenderedPageBreak/>
        <w:t>L.</w:t>
      </w:r>
      <w:r w:rsidRPr="002E7EDB">
        <w:rPr>
          <w:szCs w:val="24"/>
        </w:rPr>
        <w:tab/>
        <w:t>vzhledem k tomu, že původní obyvatelé v Kanadě mají nenahraditelné tradiční znalosti, jsou hlavními správci ekosystémů a jsou neúměrně postiženi změnou klimatu, socioekonomickou marginalizací a zhoršováním životního prostředí; vzhledem k tomu, že Kanada i EU schválily Deklaraci OSN o právech původních obyvatel, která obsahuje závazek konzultovat původní obyvatele a spolupracovat s nimi v dobré víře s cílem získat jejich svobodný, předchozí a informovaný souhlas před schválením jakéhokoli projektu, který má dopad na jejich půdu, území nebo zdroje;</w:t>
      </w:r>
    </w:p>
    <w:p w14:paraId="1A387451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M.</w:t>
      </w:r>
      <w:r w:rsidRPr="002E7EDB">
        <w:rPr>
          <w:szCs w:val="24"/>
        </w:rPr>
        <w:tab/>
        <w:t>vzhledem k tomu, že Kanada se díky svému odhodlání dlouhodobě podporovat Ukrajinu a silnému vedení během svého předsednictví skupiny G7 ukázala být strategickým partnerem EU a spolehlivým spojencem NATO;</w:t>
      </w:r>
    </w:p>
    <w:p w14:paraId="02D2FFB3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N.</w:t>
      </w:r>
      <w:r w:rsidRPr="002E7EDB">
        <w:rPr>
          <w:szCs w:val="24"/>
        </w:rPr>
        <w:tab/>
        <w:t>vzhledem k tomu, že je třeba využít úplný potenciál stávajících nástrojů spolupráce mezi EU a Kanadou a výrazně posílit partnerství mezi EU a Kanadou, aby EU a Kanada mohly společně čelit ruské válce proti Ukrajině, revizionismu geopolitických aktérů, eskalaci hybridních válečných kampaní proti demokratickým společnostem, změně klimatu a výzvám pro světový obchodní řád;</w:t>
      </w:r>
    </w:p>
    <w:p w14:paraId="73A8394F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1.</w:t>
      </w:r>
      <w:r w:rsidRPr="002E7EDB">
        <w:rPr>
          <w:szCs w:val="24"/>
        </w:rPr>
        <w:tab/>
        <w:t>doporučuje, aby Rada, Komise a místopředsedkyně Komise, vysoká představitelka Unie pro zahraniční věci a bezpečnostní politiku:</w:t>
      </w:r>
    </w:p>
    <w:p w14:paraId="17AB9041" w14:textId="77777777" w:rsidR="009C4FDC" w:rsidRPr="002E7EDB" w:rsidRDefault="009C4FDC" w:rsidP="00B5279E">
      <w:pPr>
        <w:pStyle w:val="NormalHanging12a"/>
        <w:ind w:firstLine="0"/>
        <w:rPr>
          <w:b/>
          <w:bCs/>
          <w:i/>
          <w:iCs/>
          <w:szCs w:val="24"/>
        </w:rPr>
      </w:pPr>
      <w:r w:rsidRPr="002E7EDB">
        <w:rPr>
          <w:b/>
          <w:i/>
          <w:szCs w:val="24"/>
        </w:rPr>
        <w:t>Partnerství EU-Kanada: institucionální rámec</w:t>
      </w:r>
    </w:p>
    <w:p w14:paraId="2BC9BE18" w14:textId="77777777" w:rsidR="009C4FDC" w:rsidRPr="002E7EDB" w:rsidRDefault="009C4FDC" w:rsidP="002326A5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a)</w:t>
      </w:r>
      <w:r w:rsidRPr="002E7EDB">
        <w:rPr>
          <w:szCs w:val="24"/>
        </w:rPr>
        <w:tab/>
        <w:t>využily tohoto okamžiku, kdy dochází k narušení mezinárodního řádu a čelíme společným výzvám, jako příležitosti a naplno využily potenciál strategického partnerství mezi EU a Kanadou a své vztahy povýšily na novou úroveň, a přitom sledovaly společné zájmy a hodnoty v rychle se měnícím globálním prostředí;</w:t>
      </w:r>
    </w:p>
    <w:p w14:paraId="758E6633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b)</w:t>
      </w:r>
      <w:r w:rsidRPr="002E7EDB">
        <w:rPr>
          <w:szCs w:val="24"/>
        </w:rPr>
        <w:tab/>
        <w:t>vynaložily maximální úsilí k rychlému provedení závěrů summitu EU-Kanada ze dne 23. června 2025 tím, že přijmou konkrétní opatření k dosažení hmatatelného pokroku v oblastech uvedených ve společném prohlášení a partnerství v oblasti bezpečnosti a obrany, mimo jiné tím, že budou stavět na účasti Kanady jako jediné neevropské země v programu SAFE s cílem navázat co nejužší obrannou spolupráci ve světě rostoucí rivality mezi velkými mocnostmi;</w:t>
      </w:r>
    </w:p>
    <w:p w14:paraId="72F3974E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c)</w:t>
      </w:r>
      <w:r w:rsidRPr="002E7EDB">
        <w:rPr>
          <w:szCs w:val="24"/>
        </w:rPr>
        <w:tab/>
        <w:t xml:space="preserve">zintenzivnily víceúrovňové dialogy, včetně summitů a společných iniciativ, jako jsou obchodní a investiční mise, jakož i formáty dlouhodobé spolupráce na pracovní úrovni, a to tím, že různým pracovním oblastem přidělí specializované projektové pracovníky s cílem prohloubit spolupráci a nalézt cesty ke strategickému zapojení Kanady a EU do společného řešení globálních výzev, jako je umělá inteligence, energetika, změna klimatu a kybernetická bezpečnost, zejména v době, kdy je mezinárodní řád založený na pravidlech pod rostoucím tlakem; zajistily, aby se do těchto dialogů ve vhodných případech zapojila občanská společnost a odborné zúčastněné strany; </w:t>
      </w:r>
    </w:p>
    <w:p w14:paraId="06007104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d)</w:t>
      </w:r>
      <w:r w:rsidRPr="002E7EDB">
        <w:rPr>
          <w:szCs w:val="24"/>
        </w:rPr>
        <w:tab/>
        <w:t>podpořily větší roli parlamentního dialogu ve strategickém partnerství a zajistily pravidelné dvoustranné parlamentní výměny a spolupráci v klíčových otázkách;</w:t>
      </w:r>
    </w:p>
    <w:p w14:paraId="59FC6CA9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e)</w:t>
      </w:r>
      <w:r w:rsidRPr="002E7EDB">
        <w:rPr>
          <w:szCs w:val="24"/>
        </w:rPr>
        <w:tab/>
        <w:t>konstatovaly, že Kanada má v Radě Evropy status právního pozorovatele; požadovaly zvýšení spolupráce na parlamentní úrovni a žádaly, aby Rada Evropy pravidelně zvala Kanadu na meziparlamentní setkání jako pozorovatele;</w:t>
      </w:r>
    </w:p>
    <w:p w14:paraId="43E170CD" w14:textId="77777777" w:rsidR="009C4FDC" w:rsidRPr="002E7EDB" w:rsidRDefault="009C4FDC" w:rsidP="00B5279E">
      <w:pPr>
        <w:pStyle w:val="NormalHanging12a"/>
        <w:ind w:firstLine="0"/>
        <w:rPr>
          <w:b/>
          <w:i/>
          <w:iCs/>
          <w:szCs w:val="24"/>
        </w:rPr>
      </w:pPr>
      <w:r w:rsidRPr="002E7EDB">
        <w:rPr>
          <w:b/>
          <w:i/>
          <w:szCs w:val="24"/>
        </w:rPr>
        <w:lastRenderedPageBreak/>
        <w:t>Spolupráce v zahraniční a bezpečnostní politice</w:t>
      </w:r>
    </w:p>
    <w:p w14:paraId="3AB14768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f)</w:t>
      </w:r>
      <w:r w:rsidRPr="002E7EDB">
        <w:rPr>
          <w:szCs w:val="24"/>
        </w:rPr>
        <w:tab/>
        <w:t>zvýšily spolupráci s Kanadou v případě reakce na bezpečnostní hrozby pro naše společnosti, jako je válka Ruska proti Ukrajině, hybridní útoky, terorismus a vměšování se do demokratických společností na obou stranách Atlantiku, asertivita a hospodářský nátlak Číny, ústup USA od mezinárodního řádu založeného na pravidlech, důsledky změny klimatu, AI, kybernetická bezpečnost a situace na Blízkém východě, což vše ohrožuje sociální soudržnost našich společností;</w:t>
      </w:r>
    </w:p>
    <w:p w14:paraId="3E0D3FF1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g)</w:t>
      </w:r>
      <w:r w:rsidRPr="002E7EDB">
        <w:rPr>
          <w:szCs w:val="24"/>
        </w:rPr>
        <w:tab/>
        <w:t>zdůraznily potřebu společného úsilí a vzájemného závazku k podpoře míru, bezpečnosti, stability a odolnosti prostřednictvím holistického přístupu k obraně v dalších regionech společného zájmu, včetně bezprostředního sousedství Unie, zejména kandidátských zemí a jižního Kavkazu;</w:t>
      </w:r>
    </w:p>
    <w:p w14:paraId="1D5ACE41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h)</w:t>
      </w:r>
      <w:r w:rsidRPr="002E7EDB">
        <w:rPr>
          <w:szCs w:val="24"/>
        </w:rPr>
        <w:tab/>
        <w:t xml:space="preserve">stanovily plán pro zajištění úplného a včasného provedení závazků přijatých v rámci partnerství v oblasti bezpečnosti a obrany, které představuje koherentní a komplexní politický rámec pro dialog a spolupráci napříč širokým spektrem oblastí míru, bezpečnosti a obrany, včetně vybraných iniciativ EU v oblasti bezpečnosti a obrany, které doplňují spolupráci obou stran v rámci NATO, např. program SAFE a plán </w:t>
      </w:r>
      <w:proofErr w:type="spellStart"/>
      <w:r w:rsidRPr="002E7EDB">
        <w:rPr>
          <w:szCs w:val="24"/>
        </w:rPr>
        <w:t>ReArm</w:t>
      </w:r>
      <w:proofErr w:type="spellEnd"/>
      <w:r w:rsidRPr="002E7EDB">
        <w:rPr>
          <w:szCs w:val="24"/>
        </w:rPr>
        <w:t xml:space="preserve"> </w:t>
      </w:r>
      <w:proofErr w:type="spellStart"/>
      <w:r w:rsidRPr="002E7EDB">
        <w:rPr>
          <w:szCs w:val="24"/>
        </w:rPr>
        <w:t>Europe</w:t>
      </w:r>
      <w:proofErr w:type="spellEnd"/>
      <w:r w:rsidRPr="002E7EDB">
        <w:rPr>
          <w:szCs w:val="24"/>
        </w:rPr>
        <w:t>/obranná připravenost 2030;</w:t>
      </w:r>
    </w:p>
    <w:p w14:paraId="3FA754F3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i)</w:t>
      </w:r>
      <w:r w:rsidRPr="002E7EDB">
        <w:rPr>
          <w:szCs w:val="24"/>
        </w:rPr>
        <w:tab/>
        <w:t>v co největší míře začlenily Kanadu do technologické a průmyslové základny obrany EU s cílem zvýšit doplňkovost a nákladovou efektivnost pro obě strany, včetně integrace vojenských a průmyslových dodavatelských řetězců a harmonizace obranných strategií a výzkumu v oblastech, jako je stavba ledoborců a provoz přístavů; naléhaly na spolupráci mezi EU a Kanadou při regulaci zavádění sítí 5G, aby byly v souladu s přísnými bezpečnostními normami; vybízely členské státy, aby kanadským podnikům umožnily účastnit se jejich postupů zadávání veřejných zakázek;</w:t>
      </w:r>
    </w:p>
    <w:p w14:paraId="1172D71B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j)</w:t>
      </w:r>
      <w:r w:rsidRPr="002E7EDB">
        <w:rPr>
          <w:szCs w:val="24"/>
        </w:rPr>
        <w:tab/>
        <w:t>uznaly trvalý závazek Kanady a její vojenský přínos k evropské bezpečnosti, zejména její vedoucí úlohu v rámci operace NATO „</w:t>
      </w:r>
      <w:proofErr w:type="spellStart"/>
      <w:r w:rsidRPr="002E7EDB">
        <w:rPr>
          <w:szCs w:val="24"/>
        </w:rPr>
        <w:t>Operation</w:t>
      </w:r>
      <w:proofErr w:type="spellEnd"/>
      <w:r w:rsidRPr="002E7EDB">
        <w:rPr>
          <w:szCs w:val="24"/>
        </w:rPr>
        <w:t xml:space="preserve"> </w:t>
      </w:r>
      <w:proofErr w:type="spellStart"/>
      <w:r w:rsidRPr="002E7EDB">
        <w:rPr>
          <w:szCs w:val="24"/>
        </w:rPr>
        <w:t>Reassurance</w:t>
      </w:r>
      <w:proofErr w:type="spellEnd"/>
      <w:r w:rsidRPr="002E7EDB">
        <w:rPr>
          <w:szCs w:val="24"/>
        </w:rPr>
        <w:t xml:space="preserve">“ v Lotyšsku, členství v celosvětové koalici proti </w:t>
      </w:r>
      <w:proofErr w:type="spellStart"/>
      <w:r w:rsidRPr="002E7EDB">
        <w:rPr>
          <w:szCs w:val="24"/>
        </w:rPr>
        <w:t>Dá’iš</w:t>
      </w:r>
      <w:proofErr w:type="spellEnd"/>
      <w:r w:rsidRPr="002E7EDB">
        <w:rPr>
          <w:szCs w:val="24"/>
        </w:rPr>
        <w:t>, v iniciativách NATO v oblasti budování kapacit na Blízkém východě a koalici pro drony, a podporovaly další spolupráci v klíčových oblastech s cílem posílit výrobu související s drony v součinnosti s průmyslovými a technologickými iniciativami EU; vyzvaly ke zřízení společných evropských středisek odborné přípravy v oblasti dronů a </w:t>
      </w:r>
      <w:proofErr w:type="spellStart"/>
      <w:r w:rsidRPr="002E7EDB">
        <w:rPr>
          <w:szCs w:val="24"/>
        </w:rPr>
        <w:t>protidronových</w:t>
      </w:r>
      <w:proofErr w:type="spellEnd"/>
      <w:r w:rsidRPr="002E7EDB">
        <w:rPr>
          <w:szCs w:val="24"/>
        </w:rPr>
        <w:t xml:space="preserve"> schopností ve spolupráci s Kanadou; navrhly dvoustrannou dohodu s Kanadou o bezpečné společné výrobě a přenosu technologií pro boj proti bezpilotním vzdušným systémům (CUAS) prostřednictvím společného vývoje a financování; </w:t>
      </w:r>
    </w:p>
    <w:p w14:paraId="7DB2DEB4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k)</w:t>
      </w:r>
      <w:r w:rsidRPr="002E7EDB">
        <w:rPr>
          <w:szCs w:val="24"/>
        </w:rPr>
        <w:tab/>
        <w:t>navázaly na cenný příspěvek Kanady k projektům vojenské mobility a </w:t>
      </w:r>
      <w:proofErr w:type="spellStart"/>
      <w:r w:rsidRPr="002E7EDB">
        <w:rPr>
          <w:szCs w:val="24"/>
        </w:rPr>
        <w:t>NetLogHubs</w:t>
      </w:r>
      <w:proofErr w:type="spellEnd"/>
      <w:r w:rsidRPr="002E7EDB">
        <w:rPr>
          <w:szCs w:val="24"/>
        </w:rPr>
        <w:t xml:space="preserve"> v rámci stálé strukturované spolupráce EU (PESCO) a na dlouhodobé příspěvky Kanady k civilním a vojenským misím společné bezpečnostní a obranné politiky (SBOP); podporovaly další spolupráci a rozšíření účasti Kanady na dalších projektech stálé strukturované spolupráce a obranných iniciativách EU;</w:t>
      </w:r>
    </w:p>
    <w:p w14:paraId="52168C8F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(l)</w:t>
      </w:r>
      <w:r w:rsidRPr="002E7EDB">
        <w:rPr>
          <w:szCs w:val="24"/>
        </w:rPr>
        <w:tab/>
        <w:t xml:space="preserve">přezkoumaly a zvýšily spolupráci s Kanadou v boji proti kybernetickým hrozbám </w:t>
      </w:r>
      <w:r w:rsidRPr="002E7EDB">
        <w:rPr>
          <w:szCs w:val="24"/>
        </w:rPr>
        <w:lastRenderedPageBreak/>
        <w:t>a hrozbám hybridní války a v boji proti destabilizujícím činnostem, jako je šíření dezinformací nepřátelskými státy nebo vměšování do voleb, a to i v kandidátských zemích EU, což významně ohrožuje sociální soudržnost v našich společnostech;</w:t>
      </w:r>
    </w:p>
    <w:p w14:paraId="461B3CD0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m)</w:t>
      </w:r>
      <w:r w:rsidRPr="002E7EDB">
        <w:rPr>
          <w:szCs w:val="24"/>
        </w:rPr>
        <w:tab/>
        <w:t>dále pokročily v koordinaci a spolupráci v klíčových oblastech, jako je řešení krizí, udržování míru, vojenská mobilita, kybernetická bezpečnost, boj proti terorismu, bezpečnost vesmíru, energetická bezpečnost, umělá inteligence a vznikající technologie, včetně kvantové výpočetní techniky, s cílem rozvíjet společně klíčové schopnosti;</w:t>
      </w:r>
    </w:p>
    <w:p w14:paraId="1DF8E2DD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n)</w:t>
      </w:r>
      <w:r w:rsidRPr="002E7EDB">
        <w:rPr>
          <w:szCs w:val="24"/>
        </w:rPr>
        <w:tab/>
        <w:t>dále stavěly na neochvějné podpoře svrchovanosti, nezávislosti a územní celistvosti Ukrajiny ze strany EU a Kanady a na společné spolupráci a společném odhodlání poskytovat, zejména prostřednictvím skupiny G7 a koalice ochotných, dlouhodobou politickou, vojenskou, finanční a humanitární pomoc, mimo jiné tím, že budou společně usilovat o vybudování silné mezinárodní aliance, která souhlasí s využitím zmrazených ruských státních aktiv v souladu s mezinárodním právem prostřednictvím reparační půjčky a rovněž tím, že budou spolupracovat na platformě pro koordinaci dárců pomoci Ukrajině a na stanovení poválečných bezpečnostních záruk pro Ukrajinu;</w:t>
      </w:r>
    </w:p>
    <w:p w14:paraId="7023EFF4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o)</w:t>
      </w:r>
      <w:r w:rsidRPr="002E7EDB">
        <w:rPr>
          <w:szCs w:val="24"/>
        </w:rPr>
        <w:tab/>
        <w:t>koordinovaly sankce vůči Rusku, usilovaly o diplomatickou izolaci Ruska s Kanadou a dalšími partnery a společně hledaly další způsoby, jak zvýšit tlak na Rusko;</w:t>
      </w:r>
    </w:p>
    <w:p w14:paraId="2DB96245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p)</w:t>
      </w:r>
      <w:r w:rsidRPr="002E7EDB">
        <w:rPr>
          <w:szCs w:val="24"/>
        </w:rPr>
        <w:tab/>
        <w:t>spolupracovaly s Kanadou na zajištění plné odpovědnosti za válečné zločiny a další závažné trestné činy spáchané v souvislosti s útočnou válkou Ruska proti Ukrajině, mimo jiné podporou zřízení zvláštního tribunálu pro zločiny agrese vůči Ukrajině;</w:t>
      </w:r>
    </w:p>
    <w:p w14:paraId="3BFBCA02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q)</w:t>
      </w:r>
      <w:r w:rsidRPr="002E7EDB">
        <w:rPr>
          <w:szCs w:val="24"/>
        </w:rPr>
        <w:tab/>
        <w:t>dále stavěly na koordinované podpoře suverenity, územní celistvosti a odolnosti Moldavské republiky ze strany EU a Kanady s ohledem na cílené hybridní činnosti Ruské federace a důsledky útočné války Ruska proti Ukrajině;</w:t>
      </w:r>
    </w:p>
    <w:p w14:paraId="45817981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r)</w:t>
      </w:r>
      <w:r w:rsidRPr="002E7EDB">
        <w:rPr>
          <w:szCs w:val="24"/>
        </w:rPr>
        <w:tab/>
        <w:t>vybídly kanadské orgány, aby spolu s EU pokračovaly v účasti Kanady na humanitárních a prodemokratických iniciativách a tuto účast posilovaly, zejména v případě Běloruska, a to i prostřednictvím zvýšené podpory nástrojů, které umožňují cílenou, flexibilní a účinnou pomoc na celém světě;</w:t>
      </w:r>
    </w:p>
    <w:p w14:paraId="131F2E58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s)</w:t>
      </w:r>
      <w:r w:rsidRPr="002E7EDB">
        <w:rPr>
          <w:szCs w:val="24"/>
        </w:rPr>
        <w:tab/>
        <w:t>spolupracovaly s Kanadou na společném posílení našich společných vztahů se Spojenými státy, což má zásadní význam pro bezpečnost a hospodářství Kanady i EU;</w:t>
      </w:r>
    </w:p>
    <w:p w14:paraId="2E41AFB3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t)</w:t>
      </w:r>
      <w:r w:rsidRPr="002E7EDB">
        <w:rPr>
          <w:szCs w:val="24"/>
        </w:rPr>
        <w:tab/>
        <w:t>posílily koordinaci mezi EU a Kanadou, aby mohly řešit mnohostranné výzvy, které představuje růst a asertivita Číny, a to i na západním Balkáně;</w:t>
      </w:r>
    </w:p>
    <w:p w14:paraId="28FE35AE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u)</w:t>
      </w:r>
      <w:r w:rsidRPr="002E7EDB">
        <w:rPr>
          <w:szCs w:val="24"/>
        </w:rPr>
        <w:tab/>
        <w:t xml:space="preserve">úžeji spolupracovaly s Kanadou při udržování stability v indicko-tichomořském regionu, stavěly na dlouhodobé přítomnosti Kanady v tomto regionu a sladily jejich příslušné indicko-tichomořské strategie s cílem podpořit svobodný, otevřený, inkluzivní a na pravidlech založený indicko-tichomořský region, mimo jiné prostřednictvím spolupráce s regionálními partnery (jako je Sdružení národů </w:t>
      </w:r>
      <w:r w:rsidRPr="002E7EDB">
        <w:rPr>
          <w:szCs w:val="24"/>
        </w:rPr>
        <w:lastRenderedPageBreak/>
        <w:t>jihovýchodní Asie, Japonsko a další) v oblasti námořní bezpečnosti, konektivity a dodržování mezinárodního práva ve Východočínském a Jihočínském moři a Tchajwanském průlivu;</w:t>
      </w:r>
    </w:p>
    <w:p w14:paraId="3B5E0AE9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v)</w:t>
      </w:r>
      <w:r w:rsidRPr="002E7EDB">
        <w:rPr>
          <w:szCs w:val="24"/>
        </w:rPr>
        <w:tab/>
        <w:t xml:space="preserve">společně s Kanadou usilovaly o spravedlivý a trvalý mír na Blízkém východě v souladu s mezinárodním právem prostřednictvím vyjednaného řešení založeného na existenci dvou států; zvýšily spolupráci, jejímž cílem je zajistit poskytování humanitární pomoci civilistům v Gaze, a podpořily veškeré diplomatické a operativní snahy zaměřené na zvýšení komplexní regionální stability a zároveň zajistily, aby </w:t>
      </w:r>
      <w:proofErr w:type="spellStart"/>
      <w:r w:rsidRPr="002E7EDB">
        <w:rPr>
          <w:szCs w:val="24"/>
        </w:rPr>
        <w:t>Hamás</w:t>
      </w:r>
      <w:proofErr w:type="spellEnd"/>
      <w:r w:rsidRPr="002E7EDB">
        <w:rPr>
          <w:szCs w:val="24"/>
        </w:rPr>
        <w:t xml:space="preserve"> nehrál v Gaze žádnou budoucí úlohu; bojovaly proti nepřátelským státům, jako je Írán, které ohrožují bezpečnost a mír v regionu; spojily úsilí na podporu pokojné politické transformace a ochrany všech komunit v Sýrii; spolupracovaly s Kanadou s cílem pomoci Jordánsku a Libanonu, které jsou silně postiženy nestabilitou v regionu;</w:t>
      </w:r>
    </w:p>
    <w:p w14:paraId="21D5570D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w)</w:t>
      </w:r>
      <w:r w:rsidRPr="002E7EDB">
        <w:rPr>
          <w:szCs w:val="24"/>
        </w:rPr>
        <w:tab/>
        <w:t>zavedly dialog o zahraniční politice, který by se konal dvakrát ročně a umožnil strategickou spolupráci v otázkách nejvyšší priority;</w:t>
      </w:r>
    </w:p>
    <w:p w14:paraId="10794F5D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x)</w:t>
      </w:r>
      <w:r w:rsidRPr="002E7EDB">
        <w:rPr>
          <w:szCs w:val="24"/>
        </w:rPr>
        <w:tab/>
        <w:t>zdůrazňovaly společný závazek EU a Kanady prosazovat agendu OSN pro ženy, mír a bezpečnost prostřednictvím posílené dvoustranné a mnohostranné spolupráce; vybízely obě strany, aby rozvíjely konkrétní společné iniciativy, úsilí o budování kapacit a diplomatická opatření zaměřená na začlenění genderového hlediska do mírových a bezpečnostních politik;</w:t>
      </w:r>
    </w:p>
    <w:p w14:paraId="18E65AC2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y)</w:t>
      </w:r>
      <w:r w:rsidRPr="002E7EDB">
        <w:rPr>
          <w:szCs w:val="24"/>
        </w:rPr>
        <w:tab/>
        <w:t>nadále podporovaly zelenou alianci mezi EU a Kanadou jako společný závazek k ambiciózním opatřením v oblasti životního prostředí a klimatu na celosvětové úrovni, včetně podpory plného provádění cílů celosvětového rámce pro biologickou rozmanitost z </w:t>
      </w:r>
      <w:proofErr w:type="spellStart"/>
      <w:r w:rsidRPr="002E7EDB">
        <w:rPr>
          <w:szCs w:val="24"/>
        </w:rPr>
        <w:t>Kchun-mingu</w:t>
      </w:r>
      <w:proofErr w:type="spellEnd"/>
      <w:r w:rsidRPr="002E7EDB">
        <w:rPr>
          <w:szCs w:val="24"/>
        </w:rPr>
        <w:t xml:space="preserve"> a Montrealu a Pařížské dohody;</w:t>
      </w:r>
    </w:p>
    <w:p w14:paraId="73DB8FEB" w14:textId="77777777" w:rsidR="009C4FDC" w:rsidRPr="002E7EDB" w:rsidRDefault="009C4FDC" w:rsidP="00B5279E">
      <w:pPr>
        <w:pStyle w:val="NormalHanging12a"/>
        <w:ind w:firstLine="0"/>
        <w:rPr>
          <w:b/>
          <w:i/>
          <w:iCs/>
          <w:szCs w:val="24"/>
        </w:rPr>
      </w:pPr>
      <w:r w:rsidRPr="002E7EDB">
        <w:rPr>
          <w:b/>
          <w:i/>
          <w:szCs w:val="24"/>
        </w:rPr>
        <w:t>Posílení multilateralismu</w:t>
      </w:r>
    </w:p>
    <w:p w14:paraId="492D0F13" w14:textId="77777777" w:rsidR="009C4FDC" w:rsidRPr="002E7EDB" w:rsidRDefault="009C4FDC" w:rsidP="002326A5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z)</w:t>
      </w:r>
      <w:r w:rsidRPr="002E7EDB">
        <w:rPr>
          <w:szCs w:val="24"/>
        </w:rPr>
        <w:tab/>
        <w:t>prohloubily spolupráci s Kanadou při obraně multilateralismu s cílem společně řešit nové a nebezpečné geopolitické skutečnosti, které ovlivňují naše sdílené hodnoty, zájmy, bezpečnost a sociální soudržnost našich společností;</w:t>
      </w:r>
    </w:p>
    <w:p w14:paraId="60A82A89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t>aa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>posílily mezi EU a Kanadou spolupráci na mnohostranných fórech i mimo ně tím, že budou koordinovat své postoje, harmonizovat iniciativy a společně pracovat na obraně sdílených hodnot;</w:t>
      </w:r>
    </w:p>
    <w:p w14:paraId="2E74B36B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ab)</w:t>
      </w:r>
      <w:r w:rsidRPr="002E7EDB">
        <w:rPr>
          <w:szCs w:val="24"/>
        </w:rPr>
        <w:tab/>
        <w:t>úzce a soustavně spolupracovaly na zachování životně důležité role a fungování mezinárodních institucí, jako je OSN, Mezinárodní trestní soud, WTO a NATO, a mezinárodních fór, jako jsou skupiny G7 a G20; v této souvislosti Kanadu a další podobně smýšlející země vyzvaly, aby ve svých dvoustranných vztazích s dalšími zeměmi mimo Spojené státy nadále dodržovaly normy WTO;</w:t>
      </w:r>
    </w:p>
    <w:p w14:paraId="4E13EE0E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t>ac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>koordinovaly úsilí o dokončení dlouho potřebné strategické reformy mezinárodních organizací, jako je OSN a WTO;</w:t>
      </w:r>
    </w:p>
    <w:p w14:paraId="6DA07549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ad)</w:t>
      </w:r>
      <w:r w:rsidRPr="002E7EDB">
        <w:rPr>
          <w:szCs w:val="24"/>
        </w:rPr>
        <w:tab/>
        <w:t>zintenzivnily spolupráci v rámci mnohostranných úvěrových institucí a posílily součinnost kapitálového trhu a budování kapacit, včetně financování obrany;</w:t>
      </w:r>
    </w:p>
    <w:p w14:paraId="3FC0686E" w14:textId="77777777" w:rsidR="009C4FDC" w:rsidRPr="002E7EDB" w:rsidRDefault="009C4FDC" w:rsidP="00B5279E">
      <w:pPr>
        <w:pStyle w:val="NormalHanging12a"/>
        <w:ind w:firstLine="0"/>
        <w:rPr>
          <w:b/>
          <w:i/>
          <w:iCs/>
          <w:szCs w:val="24"/>
        </w:rPr>
      </w:pPr>
      <w:r w:rsidRPr="002E7EDB">
        <w:rPr>
          <w:b/>
          <w:i/>
          <w:szCs w:val="24"/>
        </w:rPr>
        <w:t>Spolupráce v Arktidě</w:t>
      </w:r>
    </w:p>
    <w:p w14:paraId="537327FD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lastRenderedPageBreak/>
        <w:t>ae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>zdůraznily strategický význam arktické oblasti pro EU i Kanadu vzhledem k jejímu rostoucímu geopolitickému, environmentálnímu a hospodářskému významu; vyzvaly k hlubší spolupráci mezi EU a Kanadou v oblasti Arktidy, mimo jiné v oblastech udržitelného hospodářského rozvoje, svobody plavby a námořní bezpečnosti, vojenské spolupráce, vědeckého výzkumu a monitorování a ochrany životního prostředí;</w:t>
      </w:r>
    </w:p>
    <w:p w14:paraId="03D2018F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t>af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>vyjádřily znepokojení nad militarizací Arktidy, a to i pokud jde o rozšiřování vojenské infrastruktury ze strany Ruska a rostoucí strategické činnosti Číny, a spolupracovaly s Kanadou a Spojenými státy na zachování Arktidy jako regionu míru a stability za použití všech vhodných technických a právních nástrojů, zejména Úmluvy OSN o mořském právu;</w:t>
      </w:r>
    </w:p>
    <w:p w14:paraId="2A928CF6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t>ag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>posílily mnohostrannou správu Arktidy s Kanadou, včetně spolupráce prostřednictvím Arktické rady a NATO a s pozorovatelskými státy, s cílem prosazovat mezinárodní právo a zajistit námořní svobodu a předcházení konfliktům; podporovaly iniciativy vedené EU a Kanadou pro dialog, reakci na krize a společná cvičení;</w:t>
      </w:r>
    </w:p>
    <w:p w14:paraId="5336942E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t>ah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 xml:space="preserve">podporovaly vytvoření specializovaného rámce spolupráce mezi EU a Kanadou v arktické oblasti se strukturovanými dialogy mezi orgány EU a Kanady s cílem podpořit vzájemnou informovanost o stavu věcí a ochranu infrastruktury, řešit výzvy v oblasti klimatu a životního prostředí a chránit zájmy, práva a dědictví arktických komunit a původních obyvatel; </w:t>
      </w:r>
    </w:p>
    <w:p w14:paraId="6FDF883E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t>ai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>podporovaly politiky, které zajistí původním obyvatelům v Arktidě možnost uplatnit svůj svobodný, předchozí a informovaný souhlas ve věci projektů, které mají dopad na jejich půdu, území nebo zdroje; zahájily strukturovaný dialog s Kanadou o ochraně ekosystémů a biologické rozmanitosti, provádění mezinárodních norem v oblasti životního prostředí, odolné infrastruktuře, bezpečnosti námořních tras a začlenění znalostí původních obyvatel do rozhodování; podporovaly užší spolupráci ve vědecké a kulturní oblasti s cílem posílit postavení původních obyvatel;</w:t>
      </w:r>
    </w:p>
    <w:p w14:paraId="6D7AA310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aj)</w:t>
      </w:r>
      <w:r w:rsidRPr="002E7EDB">
        <w:rPr>
          <w:szCs w:val="24"/>
        </w:rPr>
        <w:tab/>
        <w:t xml:space="preserve">posílily spolupráci mezi EU a Kanadou v oblasti arktické bezpečnosti a aby v této souvislosti mimo jiné společně monitorovaly strategické námořní koridory, zavedly společné systémy včasného varování a posouzení hrozeb, řešily hybridní a konvenční hrozby, jako jsou kybernetické útoky, rušení signálu GPS a operace stínové flotily, a zajišťovaly ochranu kritické arktické infrastruktury, včetně podmořských kabelů, potrubí a komunikačních systémů; </w:t>
      </w:r>
    </w:p>
    <w:p w14:paraId="14CE966D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t>ak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>doporučily členským státům, aby zvážily vytvoření nových projektů stálé strukturované spolupráce s Kanadou zaměřených například na pátrací a záchranné operace nebo na životní prostředí, jejichž cílem by bylo posílit kapacity společné bezpečnostní a obranné politiky (SBOP) v Arktidě; podporovaly společná simulační cvičení EU a Kanady zaměřená na široké provádění mechanismu civilní ochrany v Arktidě;</w:t>
      </w:r>
    </w:p>
    <w:p w14:paraId="546D7F94" w14:textId="77777777" w:rsidR="009C4FDC" w:rsidRPr="002E7EDB" w:rsidRDefault="009C4FDC" w:rsidP="002326A5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al)</w:t>
      </w:r>
      <w:r w:rsidRPr="002E7EDB">
        <w:rPr>
          <w:szCs w:val="24"/>
        </w:rPr>
        <w:tab/>
        <w:t xml:space="preserve">aktualizovaly strategii EU pro námořní bezpečnost a politiku EU pro oblast vesmíru s cílem společně se strategickými partnery, jako je Kanada, řešit nové příležitosti a výzvy v arktické oblasti; ve spolupráci s Kanadou posoudily možnost </w:t>
      </w:r>
      <w:r w:rsidRPr="002E7EDB">
        <w:rPr>
          <w:szCs w:val="24"/>
        </w:rPr>
        <w:lastRenderedPageBreak/>
        <w:t xml:space="preserve">rozšíření stávajících družicových programů tak, aby pokrývaly specifické potřeby arktické oblasti, včetně lepšího využívání programu </w:t>
      </w:r>
      <w:proofErr w:type="spellStart"/>
      <w:r w:rsidRPr="002E7EDB">
        <w:rPr>
          <w:szCs w:val="24"/>
        </w:rPr>
        <w:t>Copernicus</w:t>
      </w:r>
      <w:proofErr w:type="spellEnd"/>
      <w:r w:rsidRPr="002E7EDB">
        <w:rPr>
          <w:szCs w:val="24"/>
        </w:rPr>
        <w:t xml:space="preserve"> pro monitorování Arktidy;</w:t>
      </w:r>
    </w:p>
    <w:p w14:paraId="07C44283" w14:textId="77777777" w:rsidR="009C4FDC" w:rsidRPr="002E7EDB" w:rsidRDefault="009C4FDC" w:rsidP="002326A5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t>am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 xml:space="preserve">podporovaly úzkou spolupráci s Kanadou v oblasti rozvoje infrastruktury optických vláken s cílem vytvořit nové digitální koridory, které rovněž </w:t>
      </w:r>
      <w:proofErr w:type="gramStart"/>
      <w:r w:rsidRPr="002E7EDB">
        <w:rPr>
          <w:szCs w:val="24"/>
        </w:rPr>
        <w:t>zlepší</w:t>
      </w:r>
      <w:proofErr w:type="gramEnd"/>
      <w:r w:rsidRPr="002E7EDB">
        <w:rPr>
          <w:szCs w:val="24"/>
        </w:rPr>
        <w:t xml:space="preserve"> konektivitu arktických komunit a podpoří lepší zdravotní péči a sociální služby, možnosti on-line vzdělávání a přístup ke globální ekonomice;</w:t>
      </w:r>
    </w:p>
    <w:p w14:paraId="0F3844BB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t>an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 xml:space="preserve">podporovaly úsilí o posílení odolnosti vůči potenciálnímu tlaku, které </w:t>
      </w:r>
      <w:proofErr w:type="gramStart"/>
      <w:r w:rsidRPr="002E7EDB">
        <w:rPr>
          <w:szCs w:val="24"/>
        </w:rPr>
        <w:t>vytváří</w:t>
      </w:r>
      <w:proofErr w:type="gramEnd"/>
      <w:r w:rsidRPr="002E7EDB">
        <w:rPr>
          <w:szCs w:val="24"/>
        </w:rPr>
        <w:t xml:space="preserve"> svou stále výraznější činností Čínská lidová republika a další aktéři, jejichž prioritou není udržitelnost těžby nerostných surovin a dodržování pravidel; vyzvaly k hlubší spolupráci s Kanadou a k tomu, aby pracovní skupina East </w:t>
      </w:r>
      <w:proofErr w:type="spellStart"/>
      <w:r w:rsidRPr="002E7EDB">
        <w:rPr>
          <w:szCs w:val="24"/>
        </w:rPr>
        <w:t>StratCom</w:t>
      </w:r>
      <w:proofErr w:type="spellEnd"/>
      <w:r w:rsidRPr="002E7EDB">
        <w:rPr>
          <w:szCs w:val="24"/>
        </w:rPr>
        <w:t xml:space="preserve"> monitorovala kampaně účelově ovlivňující rozhodnutí o těžbě nerostných surovin v Arktidě;</w:t>
      </w:r>
    </w:p>
    <w:p w14:paraId="7CB162B1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t>ao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>prohloubily s Kanadou spolupráci při řešení dopadu změny klimatu na Arktidu, posílily adaptační strategie, podpořili monitorovací činnost a zvýšili investice do výzkumu, dopravy, digitální a energetické infrastruktury, kosmických technologií, udržitelné lodní dopravy, udržitelné těžby a zpracování surovin, využívání energie z obnovitelných zdrojů a dalších nízkouhlíkových činností, cestovního ruchu a celkové odolnosti;</w:t>
      </w:r>
    </w:p>
    <w:p w14:paraId="3C24194F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t>ap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>podporovaly společné iniciativy v oblasti výzkumu Arktidy s Kanadou a zajistily, aby vědecká spolupráce zohledňovala rovněž bezpečnostní rizika dvojího užití; podporovaly sdílení otevřených dat, monitorování vývoje v oblasti klimatu, životního prostředí a strategického vývoje a začlenění výzkumu do plánování politiky a bezpečnosti;</w:t>
      </w:r>
    </w:p>
    <w:p w14:paraId="4FEBD306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t>aq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>úzce s Kanadou spolupracovaly, mimo jiné prostřednictvím kanálů, jako je koalice ochotných, na jednotném postoji k ochraně autonomie Grónska a grónský lid v souvislosti se zvýšeným geopolitickým zájmem o Arktidu, jež je patrný mimo jiné z rétoriky Trumpovy vlády o anexi a hospodářský a vojenského nátlaku na Grónsko a z prohlášení Číny, že je „státem blízkým Arktidě“; společně s Kanadou usilovaly o zajištění vysokých environmentálních, sociálních a správních norem při provádění infrastrukturních a těžebních projektů v Arktidě;</w:t>
      </w:r>
    </w:p>
    <w:p w14:paraId="250B7987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ar)</w:t>
      </w:r>
      <w:r w:rsidRPr="002E7EDB">
        <w:rPr>
          <w:szCs w:val="24"/>
        </w:rPr>
        <w:tab/>
        <w:t xml:space="preserve">posílily spolupráci mezi EU, Kanadou, Dánskem a Grónskem a vycházely přitom z historické dohody o mírovém řešení dlouhodobých hraničních sporů; uvítaly podpis nového memoranda o porozumění mezi Grónskem a správní oblastí </w:t>
      </w:r>
      <w:proofErr w:type="spellStart"/>
      <w:r w:rsidRPr="002E7EDB">
        <w:rPr>
          <w:szCs w:val="24"/>
        </w:rPr>
        <w:t>Nunavut</w:t>
      </w:r>
      <w:proofErr w:type="spellEnd"/>
      <w:r w:rsidRPr="002E7EDB">
        <w:rPr>
          <w:szCs w:val="24"/>
        </w:rPr>
        <w:t xml:space="preserve"> v Kanadě, které se týká rybolovu;</w:t>
      </w:r>
    </w:p>
    <w:p w14:paraId="4441FC8B" w14:textId="77777777" w:rsidR="009C4FDC" w:rsidRPr="002E7EDB" w:rsidRDefault="009C4FDC" w:rsidP="00B5279E">
      <w:pPr>
        <w:pStyle w:val="NormalHanging12a"/>
        <w:ind w:firstLine="0"/>
        <w:rPr>
          <w:b/>
          <w:i/>
          <w:iCs/>
          <w:szCs w:val="24"/>
        </w:rPr>
      </w:pPr>
      <w:r w:rsidRPr="002E7EDB">
        <w:rPr>
          <w:b/>
          <w:i/>
          <w:szCs w:val="24"/>
        </w:rPr>
        <w:t xml:space="preserve">Obchod se zbožím a službami, digitální obchod, investice a hospodářská bezpečnost </w:t>
      </w:r>
    </w:p>
    <w:p w14:paraId="32824BCB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as)</w:t>
      </w:r>
      <w:r w:rsidRPr="002E7EDB">
        <w:rPr>
          <w:szCs w:val="24"/>
        </w:rPr>
        <w:tab/>
        <w:t>propagovaly v členských státech a EU přínosy dohody CETA, tj. mimo jiné lepší přístup na trh, zjednodušení obchodu a omezení administrativních překážek pro malé a střední podniky, zejména navýšením zdrojů přidělovaných na kampaně, které mají zvýšit informovanost firem EU o obchodních příležitostech; vycházely z pozitivních výsledků dohody CETA, usilovaly o její plné provádění a využívaly všech příležitostí k posílení obchodních a investičních vztahů s Kanadou;</w:t>
      </w:r>
    </w:p>
    <w:p w14:paraId="4BA288C8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lastRenderedPageBreak/>
        <w:t>at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>dále transparentním způsobem prohlubovaly spolupráci v oblasti právních předpisů a jejich sbližování prostřednictvím protokolu CETA o vzájemném uznávání výsledků posuzování shody a zintenzivnily činnost fóra pro spolupráci v oblasti regulace v rámci CETA;</w:t>
      </w:r>
    </w:p>
    <w:p w14:paraId="356638EC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au)</w:t>
      </w:r>
      <w:r w:rsidRPr="002E7EDB">
        <w:rPr>
          <w:szCs w:val="24"/>
        </w:rPr>
        <w:tab/>
        <w:t xml:space="preserve">neprodleně zahájily jednání o ambiciózní samostatné dohodě o digitálním obchodu, která by doplnila dohodu CETA, avšak nebránila provádění digitálního </w:t>
      </w:r>
      <w:proofErr w:type="spellStart"/>
      <w:r w:rsidRPr="002E7EDB">
        <w:rPr>
          <w:i/>
          <w:iCs/>
          <w:szCs w:val="24"/>
        </w:rPr>
        <w:t>acquis</w:t>
      </w:r>
      <w:proofErr w:type="spellEnd"/>
      <w:r w:rsidRPr="002E7EDB">
        <w:rPr>
          <w:szCs w:val="24"/>
        </w:rPr>
        <w:t xml:space="preserve"> EU a neomezovala politický prostor kterékoli ze stran pro budoucí regulaci digitální oblasti a která by také plně respektovala horizontální ustanovení o přeshraničních tocích údajů a ochraně osobních údajů v obchodních a investičních dohodách EU, zajistila vysokou úroveň ochrany spotřebitelů on-line a předvídatelná pravidla pro podnikatelské subjekty a posílila dvoustrannou spolupráci v digitální ekonomice sladěním norem a infrastruktury, zvýšením konkurenceschopnosti, zajištěním spolupráce v oblasti kybernetické bezpečnosti, umělé inteligence a kvantového výzkumu a vytvořením nových příležitostí v oblasti elektronického obchodu a digitálních služeb, zejména pro malé a střední podniky;</w:t>
      </w:r>
    </w:p>
    <w:p w14:paraId="2DA28E87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t>av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>úzce s Kanadou spolupracovaly na zajištění důslednějšího prosazování, jasnějšího měření dopadu a lepšího sladění právních předpisů v souvislosti s prováděním kapitoly CETA o obchodu a udržitelném rozvoje, přičemž je mimo jiné třeba bojovat proti nucené práci a dětské práci a projednat návrhy kanadské vlády na posílení vymahatelnosti ustanovení o obchodu a udržitelném rozvoji;</w:t>
      </w:r>
    </w:p>
    <w:p w14:paraId="50428DE2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t>aw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>úzce s Kanadou spolupracovaly na zlepšování přístupu občanské společnosti k informacím a přímé účasti jejích zástupců na činnosti výborů v rámci dohody CETA, a to jak před každou schůzí příslušného specializovaného výboru, tak po ní;</w:t>
      </w:r>
    </w:p>
    <w:p w14:paraId="244A03D3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t>ax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 xml:space="preserve">rozvíjely s Kanadou spolupráci s cílem zavést v rámci dohody CETA systém údajů rozčleněných </w:t>
      </w:r>
      <w:proofErr w:type="spellStart"/>
      <w:r w:rsidRPr="002E7EDB">
        <w:rPr>
          <w:szCs w:val="24"/>
        </w:rPr>
        <w:t>rozčleněných</w:t>
      </w:r>
      <w:proofErr w:type="spellEnd"/>
      <w:r w:rsidRPr="002E7EDB">
        <w:rPr>
          <w:szCs w:val="24"/>
        </w:rPr>
        <w:t xml:space="preserve"> podle pohlaví o odvětvích činnosti podniků vlastněných ženami a o obchodní činnosti žen;</w:t>
      </w:r>
    </w:p>
    <w:p w14:paraId="46817EA2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t>ay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>pokračovaly ve spolupráci s Kanadou na hledání vhodného nástroje a konkrétní společné činnosti, které by vedly k tomu, že přístup k dohodě a výhodám z ní plynoucím budou mít také původní obyvatelé Kanady, kteří by měli být náležitě konzultováni a zapojeni do jednání, mimo jiné tím, že budou mít možnost dát svobodný, předchozí a informovaný souhlas s prováděním dohody CETA a strategického partnerství v oblasti surovin;</w:t>
      </w:r>
    </w:p>
    <w:p w14:paraId="70E3E38A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t>az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 xml:space="preserve">uznaly, že dohoda CETA významně přispěla k diverzifikaci a odolnosti dodavatelských řetězců EU a Kanady a ke zvýšení dovozu kritických surovin pocházejících z Kanady do EU; přivítaly alianci pro těžbu kritických nerostných surovin, což je iniciativa skupiny G7 vedená Kanadou, jejímž cílem je diverzifikovat a zabezpečit celosvětovou produkci kritických nerostných surovin a jejich dodávky; zdůrazňovaly, že strategické partnerství mezi EU a Kanadou v oblasti surovin zlepšuje koordinaci a společnou činnost v reakci na situaci, kdy třetí země omezují vývoz kritických nerostných surovin a dalších strategicky významných zdrojů, a posiluje bezpečnost dodavatelského řetězce a ekonomickou odolnost; zajistily další rozvoj společných projektů v rámci strategického partnerství EU-Kanada v oblasti surovin, mimo jiné prostřednictvím posílené </w:t>
      </w:r>
      <w:r w:rsidRPr="002E7EDB">
        <w:rPr>
          <w:szCs w:val="24"/>
        </w:rPr>
        <w:lastRenderedPageBreak/>
        <w:t xml:space="preserve">technické a vědecké spolupráce a zvýšených investic do infrastruktury, a dále prohlubovaly dialog s Kanadou o průmyslové politice; </w:t>
      </w:r>
    </w:p>
    <w:p w14:paraId="719D2B67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ba)</w:t>
      </w:r>
      <w:r w:rsidRPr="002E7EDB">
        <w:rPr>
          <w:szCs w:val="24"/>
        </w:rPr>
        <w:tab/>
        <w:t>podporovaly spolupráci s Kanadou jako klíčovým partnerem pro energetickou bezpečnost a vyzvaly k rozšíření dialogu o energetice mezi EU a Kanadou na vysoké úrovni s cílem vypracovat společná opatření v oblasti vodíku, dalších udržitelných nízkouhlíkových technologií, ochrany kritické energetické infrastruktury a udržitelného obchodu s energií; pokračovaly ve stávající spolupráci v oblasti jaderných technologií, včetně paliv a služeb palivového cyklu, prostřednictvím jednání o modernizované a komplexní dohodě o jaderné spolupráci mezi Kanadou a Euratomem;</w:t>
      </w:r>
    </w:p>
    <w:p w14:paraId="3596FB71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r w:rsidRPr="002E7EDB">
        <w:rPr>
          <w:szCs w:val="24"/>
        </w:rPr>
        <w:t>bb)</w:t>
      </w:r>
      <w:r w:rsidRPr="002E7EDB">
        <w:rPr>
          <w:szCs w:val="24"/>
        </w:rPr>
        <w:tab/>
        <w:t>zkoumaly možnosti spolupráce mezi EU, Kanadou a dalšími podobně smýšlejícími geopolitickými subjekty a regiony, jako je Latinská Amerika a indicko-tichomořský region, nebo v rámci komplexní a progresivní dohody o </w:t>
      </w:r>
      <w:proofErr w:type="spellStart"/>
      <w:r w:rsidRPr="002E7EDB">
        <w:rPr>
          <w:szCs w:val="24"/>
        </w:rPr>
        <w:t>transpacifickém</w:t>
      </w:r>
      <w:proofErr w:type="spellEnd"/>
      <w:r w:rsidRPr="002E7EDB">
        <w:rPr>
          <w:szCs w:val="24"/>
        </w:rPr>
        <w:t xml:space="preserve"> partnerství s cílem rozvíjet obchod, snižovat strategickou závislost, zejména na Číně, zvyšovat odolnost, reagovat na problémy globálního obchodu, mimo jiné posílením trhu s ocelí, který se v celosvětovém měřítku potýká s problémem nadměrné kapacity, a vytvořit podmínky pro to, aby partneři mohli rozvíjet vzájemný obchod založený na pravidlech; v tomto ohledu uvítaly zahájení jednání o komplexní dohodě o hospodářském partnerství mezi Kanadou a Indií a uzavření dohody o volném obchodu mezi EU a Indií;</w:t>
      </w:r>
    </w:p>
    <w:p w14:paraId="7C38DC9D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t>bc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>naléhavě vyzvaly deset členských států, které dohodu CETA dosud neratifikovaly, aby tak urychleně učinily; opětovně upozornily na význam plného uplatňování této dohody, která bude v roce 2027 prozatímně uplatňována už 10 let, neboť se jedná o důležitý politický signál zejména v současném geopolitickém kontextu a neboť pouze tak lze naplnit její hospodářský potenciál; navázaly dvoustranný dialog s cílem zjistit, jaké obavy jim brání v podpisu;</w:t>
      </w:r>
    </w:p>
    <w:p w14:paraId="2C746693" w14:textId="77777777" w:rsidR="009C4FDC" w:rsidRPr="002E7EDB" w:rsidRDefault="009C4FDC" w:rsidP="00B5279E">
      <w:pPr>
        <w:pStyle w:val="NormalHanging12a"/>
        <w:ind w:firstLine="0"/>
        <w:rPr>
          <w:b/>
          <w:i/>
          <w:iCs/>
          <w:szCs w:val="24"/>
        </w:rPr>
      </w:pPr>
      <w:r w:rsidRPr="002E7EDB">
        <w:rPr>
          <w:b/>
          <w:i/>
          <w:szCs w:val="24"/>
        </w:rPr>
        <w:t>Celosvětový vývoj</w:t>
      </w:r>
    </w:p>
    <w:p w14:paraId="088FF2D7" w14:textId="77777777" w:rsidR="009C4FDC" w:rsidRPr="002E7EDB" w:rsidRDefault="009C4FDC" w:rsidP="002326A5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t>bd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>zajistily, aby se v úzké koordinaci s Kanadou řešily kritické nedostatky a posílily mnohostranné rámce v oblasti rozvoje, přičemž na základě této spolupráce lze vytvořit silnou protiváhu autoritářských režimů a jejich rostoucího globálního vlivu, prosazovat udržitelný rozvoj, plnění cílů Agendy OSN 2030 pro udržitelný rozvoj a cílů udržitelného rozvoje a inkluzivní mezinárodní partnerství a soustavně podporovat občanskou společnost a demokratickou odolnost, a to i v sousedství Unie a zejména v kandidátských zemích;</w:t>
      </w:r>
    </w:p>
    <w:p w14:paraId="1563E8FE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t>be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>společně řešily nové výzvy ohrožující celosvětový rozvoj, které představuje například zrušení Agentury Spojených států pro mezinárodní rozvoj (USAID) a pozastavení zahraniční pomoci USA;</w:t>
      </w:r>
    </w:p>
    <w:p w14:paraId="34EE054E" w14:textId="77777777" w:rsidR="009C4FDC" w:rsidRPr="002E7EDB" w:rsidRDefault="009C4FDC" w:rsidP="00B5279E">
      <w:pPr>
        <w:pStyle w:val="NormalHanging12a"/>
        <w:ind w:firstLine="0"/>
        <w:rPr>
          <w:b/>
          <w:i/>
          <w:iCs/>
          <w:szCs w:val="24"/>
        </w:rPr>
      </w:pPr>
      <w:r w:rsidRPr="002E7EDB">
        <w:rPr>
          <w:b/>
          <w:i/>
          <w:szCs w:val="24"/>
        </w:rPr>
        <w:t>Vzdělávání, výzkum a mezilidské vazby</w:t>
      </w:r>
    </w:p>
    <w:p w14:paraId="2A4E618C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t>bf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>urychleně začaly plnit závazek, že prohloubí spolupráci v oblastech, jako jsou mezilidské vazby, kultura, mládež, podpora inkluzivních politik a rámec digitálního partnerství mezi EU a Kanadou;</w:t>
      </w:r>
    </w:p>
    <w:p w14:paraId="1C00F408" w14:textId="77777777" w:rsidR="009C4FDC" w:rsidRPr="002E7EDB" w:rsidRDefault="009C4FDC" w:rsidP="002326A5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t>bg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 xml:space="preserve">zvýšily odolnost společnosti využitím přidružení Kanady k programu Horizont </w:t>
      </w:r>
      <w:r w:rsidRPr="002E7EDB">
        <w:rPr>
          <w:szCs w:val="24"/>
        </w:rPr>
        <w:lastRenderedPageBreak/>
        <w:t>Evropa, posílením spolupráce v oblasti vzdělávání, výzkumu, kultury a vědecké spolupráce ve strategických oblastech, usnadněním a podporou transatlantické mobility studentů, mladých podnikatelů, výzkumných pracovníků a investorů a mladých lidí obecně za účelem práce, studia a dobrovolnické činnosti a hledáním dalších příležitostí pro mezilidské kontakty a studijní výměny, a to na základě programu Erasmus+ a zvyšování povědomí o nástroji modré karty EU pro pracovní mobilitu;</w:t>
      </w:r>
    </w:p>
    <w:p w14:paraId="6B9E84E9" w14:textId="77777777" w:rsidR="009C4FDC" w:rsidRPr="002E7EDB" w:rsidRDefault="009C4FDC" w:rsidP="002326A5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t>bh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>rozvíjely – v návaznosti na přijetí dohody o vzájemném uznávání odborných kvalifikací architektů v rámci dohody CETA</w:t>
      </w:r>
      <w:r w:rsidRPr="002E7EDB">
        <w:rPr>
          <w:rStyle w:val="FootnoteReference"/>
          <w:bCs/>
          <w:iCs/>
          <w:szCs w:val="24"/>
        </w:rPr>
        <w:footnoteReference w:id="4"/>
      </w:r>
      <w:r w:rsidRPr="002E7EDB">
        <w:rPr>
          <w:szCs w:val="24"/>
        </w:rPr>
        <w:t xml:space="preserve"> – spolupráci s Kanadou na rozšíření vzájemného uznávání regulovaných povolání i na další obory, např. inženýrské a účetnické profese;</w:t>
      </w:r>
    </w:p>
    <w:p w14:paraId="3B5DCCB7" w14:textId="77777777" w:rsidR="009C4FDC" w:rsidRPr="002E7EDB" w:rsidRDefault="009C4FDC" w:rsidP="00B5279E">
      <w:pPr>
        <w:pStyle w:val="NormalHanging12a"/>
        <w:ind w:firstLine="0"/>
        <w:rPr>
          <w:b/>
          <w:i/>
          <w:iCs/>
          <w:szCs w:val="24"/>
        </w:rPr>
      </w:pPr>
      <w:r w:rsidRPr="002E7EDB">
        <w:rPr>
          <w:b/>
          <w:i/>
          <w:szCs w:val="24"/>
        </w:rPr>
        <w:t>Podpora demokratické odolnosti a rovnosti</w:t>
      </w:r>
    </w:p>
    <w:p w14:paraId="18835BE1" w14:textId="77777777" w:rsidR="009C4FDC" w:rsidRPr="002E7EDB" w:rsidRDefault="009C4FDC" w:rsidP="00B5279E">
      <w:pPr>
        <w:pStyle w:val="NormalHanging12a"/>
        <w:ind w:left="1134"/>
        <w:rPr>
          <w:bCs/>
          <w:szCs w:val="24"/>
        </w:rPr>
      </w:pPr>
      <w:proofErr w:type="spellStart"/>
      <w:r w:rsidRPr="002E7EDB">
        <w:rPr>
          <w:szCs w:val="24"/>
        </w:rPr>
        <w:t>bi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>spolupracovaly s Kanadou při posilování demokratické odolnosti na celém světě na základě prosazování holistického přístupu k bezpečnosti a podpory svobodných sdělovacích prostředků, integrity voleb, sociální soudržnosti a občanské společnosti ve zranitelných demokraciích;</w:t>
      </w:r>
    </w:p>
    <w:p w14:paraId="02688096" w14:textId="77777777" w:rsidR="009C4FDC" w:rsidRPr="002E7EDB" w:rsidRDefault="009C4FDC" w:rsidP="00B5279E">
      <w:pPr>
        <w:pStyle w:val="NormalHanging12a"/>
        <w:ind w:left="1134"/>
        <w:rPr>
          <w:bCs/>
          <w:szCs w:val="24"/>
        </w:rPr>
      </w:pPr>
      <w:proofErr w:type="spellStart"/>
      <w:r w:rsidRPr="002E7EDB">
        <w:rPr>
          <w:szCs w:val="24"/>
        </w:rPr>
        <w:t>bj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>intenzivněji spolupracovaly v oblasti právních předpisů týkajících se sociálních médií a velkých technologických společností a zároveň posílily právní předpisy EU týkající se aktu o digitálních službách</w:t>
      </w:r>
      <w:r w:rsidRPr="002E7EDB">
        <w:rPr>
          <w:rStyle w:val="FootnoteReference"/>
          <w:bCs/>
          <w:szCs w:val="24"/>
        </w:rPr>
        <w:footnoteReference w:id="5"/>
      </w:r>
      <w:r w:rsidRPr="002E7EDB">
        <w:rPr>
          <w:szCs w:val="24"/>
        </w:rPr>
        <w:t xml:space="preserve"> a aktu o digitálních trzích</w:t>
      </w:r>
      <w:r w:rsidRPr="002E7EDB">
        <w:rPr>
          <w:rStyle w:val="FootnoteReference"/>
          <w:bCs/>
          <w:szCs w:val="24"/>
        </w:rPr>
        <w:footnoteReference w:id="6"/>
      </w:r>
      <w:r w:rsidRPr="002E7EDB">
        <w:rPr>
          <w:szCs w:val="24"/>
        </w:rPr>
        <w:t>;</w:t>
      </w:r>
    </w:p>
    <w:p w14:paraId="7E19B6A8" w14:textId="77777777" w:rsidR="009C4FDC" w:rsidRPr="002E7EDB" w:rsidRDefault="009C4FDC" w:rsidP="00B5279E">
      <w:pPr>
        <w:pStyle w:val="NormalHanging12a"/>
        <w:ind w:left="1134"/>
        <w:rPr>
          <w:bCs/>
          <w:szCs w:val="24"/>
        </w:rPr>
      </w:pPr>
      <w:proofErr w:type="spellStart"/>
      <w:r w:rsidRPr="002E7EDB">
        <w:rPr>
          <w:szCs w:val="24"/>
        </w:rPr>
        <w:t>bk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>úzce s Kanadou spolupracovaly na rozvoji odpovědné správy umělé inteligence v souladu s Rámcovou úmluvou o umělé inteligenci a lidských právech, demokracii a právním státu, jejímiž signatáři jsou EU i Kanada;</w:t>
      </w:r>
    </w:p>
    <w:p w14:paraId="3B8145C4" w14:textId="77777777" w:rsidR="009C4FDC" w:rsidRPr="002E7EDB" w:rsidRDefault="009C4FDC" w:rsidP="00B5279E">
      <w:pPr>
        <w:pStyle w:val="NormalHanging12a"/>
        <w:ind w:left="1134"/>
        <w:rPr>
          <w:bCs/>
          <w:szCs w:val="24"/>
        </w:rPr>
      </w:pPr>
      <w:proofErr w:type="spellStart"/>
      <w:r w:rsidRPr="002E7EDB">
        <w:rPr>
          <w:szCs w:val="24"/>
        </w:rPr>
        <w:t>bl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 xml:space="preserve">podporovaly spolupráci a výměnu osvědčených postupů s cílem společně prosazovat rovnost a začleňování </w:t>
      </w:r>
      <w:proofErr w:type="spellStart"/>
      <w:r w:rsidRPr="002E7EDB">
        <w:rPr>
          <w:szCs w:val="24"/>
        </w:rPr>
        <w:t>marginalizovaných</w:t>
      </w:r>
      <w:proofErr w:type="spellEnd"/>
      <w:r w:rsidRPr="002E7EDB">
        <w:rPr>
          <w:szCs w:val="24"/>
        </w:rPr>
        <w:t xml:space="preserve"> skupin v EU, Kanadě a na celém světě, a to na základě iniciativ, jako je Unie rovnosti EU a kanadská strategie pro domorodé soudnictví;</w:t>
      </w:r>
    </w:p>
    <w:p w14:paraId="695E4EFC" w14:textId="77777777" w:rsidR="009C4FDC" w:rsidRPr="002E7EDB" w:rsidRDefault="009C4FDC" w:rsidP="00B5279E">
      <w:pPr>
        <w:pStyle w:val="NormalHanging12a"/>
        <w:ind w:firstLine="0"/>
        <w:rPr>
          <w:b/>
          <w:i/>
          <w:iCs/>
          <w:szCs w:val="24"/>
        </w:rPr>
      </w:pPr>
      <w:r w:rsidRPr="002E7EDB">
        <w:rPr>
          <w:b/>
          <w:i/>
          <w:szCs w:val="24"/>
        </w:rPr>
        <w:t>Závěrečné připomínky</w:t>
      </w:r>
    </w:p>
    <w:p w14:paraId="62091121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t>bm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>pokračovaly v budování skutečného strategického partnerství s Kanadou založeného na důvěře, sdílených zásadách a hodnotách zakotvených v mezinárodním právu a demokracii;</w:t>
      </w:r>
    </w:p>
    <w:p w14:paraId="10E31B4C" w14:textId="77777777" w:rsidR="009C4FDC" w:rsidRPr="002E7EDB" w:rsidRDefault="009C4FDC" w:rsidP="00B5279E">
      <w:pPr>
        <w:pStyle w:val="NormalHanging12a"/>
        <w:ind w:left="1134"/>
        <w:rPr>
          <w:szCs w:val="24"/>
        </w:rPr>
      </w:pPr>
      <w:proofErr w:type="spellStart"/>
      <w:r w:rsidRPr="002E7EDB">
        <w:rPr>
          <w:szCs w:val="24"/>
        </w:rPr>
        <w:lastRenderedPageBreak/>
        <w:t>bn</w:t>
      </w:r>
      <w:proofErr w:type="spellEnd"/>
      <w:r w:rsidRPr="002E7EDB">
        <w:rPr>
          <w:szCs w:val="24"/>
        </w:rPr>
        <w:t>)</w:t>
      </w:r>
      <w:r w:rsidRPr="002E7EDB">
        <w:rPr>
          <w:szCs w:val="24"/>
        </w:rPr>
        <w:tab/>
        <w:t>podporovaly zapojení do iniciativ spolupráce nejen s kanadskou ústřední vládou, ale také s jejími provinčními a komunálním orgány a dalšími příslušnými subjekty;</w:t>
      </w:r>
    </w:p>
    <w:p w14:paraId="6DEBF666" w14:textId="77777777" w:rsidR="002E7EDB" w:rsidRPr="002E7EDB" w:rsidRDefault="002E7EDB" w:rsidP="002326A5">
      <w:pPr>
        <w:pStyle w:val="NormalHanging12a"/>
        <w:widowControl/>
        <w:ind w:left="0"/>
        <w:jc w:val="center"/>
        <w:rPr>
          <w:szCs w:val="24"/>
        </w:rPr>
      </w:pPr>
      <w:r w:rsidRPr="002E7EDB">
        <w:rPr>
          <w:szCs w:val="24"/>
        </w:rPr>
        <w:t>°</w:t>
      </w:r>
    </w:p>
    <w:p w14:paraId="61374031" w14:textId="77777777" w:rsidR="002E7EDB" w:rsidRPr="002E7EDB" w:rsidRDefault="002E7EDB" w:rsidP="002326A5">
      <w:pPr>
        <w:pStyle w:val="NormalHanging12a"/>
        <w:widowControl/>
        <w:ind w:left="0"/>
        <w:jc w:val="center"/>
        <w:rPr>
          <w:szCs w:val="24"/>
        </w:rPr>
      </w:pPr>
      <w:r w:rsidRPr="002E7EDB">
        <w:rPr>
          <w:szCs w:val="24"/>
        </w:rPr>
        <w:t>°     °</w:t>
      </w:r>
    </w:p>
    <w:p w14:paraId="70DDD516" w14:textId="77777777" w:rsidR="009C4FDC" w:rsidRPr="002E7EDB" w:rsidRDefault="009C4FDC" w:rsidP="002E7EDB">
      <w:pPr>
        <w:pStyle w:val="NormalHanging12a"/>
        <w:rPr>
          <w:szCs w:val="24"/>
        </w:rPr>
      </w:pPr>
      <w:r w:rsidRPr="002E7EDB">
        <w:rPr>
          <w:szCs w:val="24"/>
        </w:rPr>
        <w:t>2.</w:t>
      </w:r>
      <w:r w:rsidRPr="002E7EDB">
        <w:rPr>
          <w:szCs w:val="24"/>
        </w:rPr>
        <w:tab/>
        <w:t>pověřuje svou předsedkyni, aby předala toto doporučení Radě, Komisi a místopředsedkyni Komise, vysoké představitelce Unie pro zahraniční věci a bezpečnostní politiku.</w:t>
      </w:r>
    </w:p>
    <w:sectPr w:rsidR="009C4FDC" w:rsidRPr="002E7EDB" w:rsidSect="006F11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A961F" w14:textId="77777777" w:rsidR="005F639E" w:rsidRPr="006F1173" w:rsidRDefault="005F639E">
      <w:r w:rsidRPr="006F1173">
        <w:separator/>
      </w:r>
    </w:p>
  </w:endnote>
  <w:endnote w:type="continuationSeparator" w:id="0">
    <w:p w14:paraId="53BCAFCE" w14:textId="77777777" w:rsidR="005F639E" w:rsidRPr="006F1173" w:rsidRDefault="005F639E">
      <w:r w:rsidRPr="006F11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A4FA7" w14:textId="77777777" w:rsidR="00064002" w:rsidRPr="006F117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3ADE1" w14:textId="77777777" w:rsidR="00064002" w:rsidRPr="006F117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8CB4C" w14:textId="77777777" w:rsidR="00064002" w:rsidRPr="006F117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AEF9A" w14:textId="77777777" w:rsidR="005F639E" w:rsidRPr="006F1173" w:rsidRDefault="005F639E">
      <w:r w:rsidRPr="006F1173">
        <w:separator/>
      </w:r>
    </w:p>
  </w:footnote>
  <w:footnote w:type="continuationSeparator" w:id="0">
    <w:p w14:paraId="7D81503E" w14:textId="77777777" w:rsidR="005F639E" w:rsidRPr="006F1173" w:rsidRDefault="005F639E">
      <w:r w:rsidRPr="006F1173">
        <w:continuationSeparator/>
      </w:r>
    </w:p>
  </w:footnote>
  <w:footnote w:id="1">
    <w:p w14:paraId="0C2392CC" w14:textId="4827D7A8" w:rsidR="009C4FDC" w:rsidRPr="006F1173" w:rsidRDefault="009C4FDC" w:rsidP="006F1173">
      <w:pPr>
        <w:pStyle w:val="FootnoteText"/>
        <w:ind w:left="567" w:hanging="567"/>
        <w:rPr>
          <w:sz w:val="24"/>
          <w:lang w:val="cs-CZ"/>
        </w:rPr>
      </w:pPr>
      <w:r w:rsidRPr="006F1173">
        <w:rPr>
          <w:rStyle w:val="FootnoteReference"/>
          <w:sz w:val="24"/>
          <w:lang w:val="cs-CZ"/>
        </w:rPr>
        <w:footnoteRef/>
      </w:r>
      <w:r w:rsidR="006F1173" w:rsidRPr="006F1173">
        <w:rPr>
          <w:sz w:val="24"/>
          <w:lang w:val="cs-CZ"/>
        </w:rPr>
        <w:t xml:space="preserve"> </w:t>
      </w:r>
      <w:r w:rsidR="006F1173" w:rsidRPr="006F1173">
        <w:rPr>
          <w:sz w:val="24"/>
          <w:lang w:val="cs-CZ"/>
        </w:rPr>
        <w:tab/>
      </w:r>
      <w:proofErr w:type="spellStart"/>
      <w:r w:rsidRPr="006F1173">
        <w:rPr>
          <w:sz w:val="24"/>
          <w:lang w:val="cs-CZ"/>
        </w:rPr>
        <w:t>Úř</w:t>
      </w:r>
      <w:proofErr w:type="spellEnd"/>
      <w:r w:rsidRPr="006F1173">
        <w:rPr>
          <w:sz w:val="24"/>
          <w:lang w:val="cs-CZ"/>
        </w:rPr>
        <w:t xml:space="preserve">. </w:t>
      </w:r>
      <w:proofErr w:type="spellStart"/>
      <w:r w:rsidRPr="006F1173">
        <w:rPr>
          <w:sz w:val="24"/>
          <w:lang w:val="cs-CZ"/>
        </w:rPr>
        <w:t>věst</w:t>
      </w:r>
      <w:proofErr w:type="spellEnd"/>
      <w:r w:rsidRPr="006F1173">
        <w:rPr>
          <w:sz w:val="24"/>
          <w:lang w:val="cs-CZ"/>
        </w:rPr>
        <w:t xml:space="preserve">. L 329, 3.12.2016, s. 45, ELI: </w:t>
      </w:r>
      <w:hyperlink r:id="rId1" w:history="1">
        <w:r w:rsidRPr="006F1173">
          <w:rPr>
            <w:rStyle w:val="Hyperlink"/>
            <w:sz w:val="24"/>
            <w:lang w:val="cs-CZ"/>
          </w:rPr>
          <w:t>http://data.europa.eu/eli/agree_internation/2016/2118/oj</w:t>
        </w:r>
      </w:hyperlink>
      <w:r w:rsidRPr="006F1173">
        <w:rPr>
          <w:sz w:val="24"/>
          <w:lang w:val="cs-CZ"/>
        </w:rPr>
        <w:t>.</w:t>
      </w:r>
    </w:p>
  </w:footnote>
  <w:footnote w:id="2">
    <w:p w14:paraId="4BC34FA9" w14:textId="17E22E4E" w:rsidR="009C4FDC" w:rsidRPr="006F1173" w:rsidRDefault="009C4FDC" w:rsidP="006F1173">
      <w:pPr>
        <w:pStyle w:val="FootnoteText"/>
        <w:ind w:left="567" w:hanging="567"/>
        <w:rPr>
          <w:sz w:val="24"/>
          <w:lang w:val="cs-CZ"/>
        </w:rPr>
      </w:pPr>
      <w:r w:rsidRPr="006F1173">
        <w:rPr>
          <w:rStyle w:val="FootnoteReference"/>
          <w:sz w:val="24"/>
          <w:lang w:val="cs-CZ"/>
        </w:rPr>
        <w:footnoteRef/>
      </w:r>
      <w:r w:rsidR="006F1173" w:rsidRPr="006F1173">
        <w:rPr>
          <w:sz w:val="24"/>
          <w:lang w:val="cs-CZ"/>
        </w:rPr>
        <w:t xml:space="preserve"> </w:t>
      </w:r>
      <w:r w:rsidR="006F1173" w:rsidRPr="006F1173">
        <w:rPr>
          <w:sz w:val="24"/>
          <w:lang w:val="cs-CZ"/>
        </w:rPr>
        <w:tab/>
      </w:r>
      <w:proofErr w:type="spellStart"/>
      <w:r w:rsidRPr="006F1173">
        <w:rPr>
          <w:sz w:val="24"/>
          <w:lang w:val="cs-CZ"/>
        </w:rPr>
        <w:t>Úř</w:t>
      </w:r>
      <w:proofErr w:type="spellEnd"/>
      <w:r w:rsidRPr="006F1173">
        <w:rPr>
          <w:sz w:val="24"/>
          <w:lang w:val="cs-CZ"/>
        </w:rPr>
        <w:t xml:space="preserve">. </w:t>
      </w:r>
      <w:proofErr w:type="spellStart"/>
      <w:r w:rsidRPr="006F1173">
        <w:rPr>
          <w:sz w:val="24"/>
          <w:lang w:val="cs-CZ"/>
        </w:rPr>
        <w:t>věst</w:t>
      </w:r>
      <w:proofErr w:type="spellEnd"/>
      <w:r w:rsidRPr="006F1173">
        <w:rPr>
          <w:sz w:val="24"/>
          <w:lang w:val="cs-CZ"/>
        </w:rPr>
        <w:t xml:space="preserve">. L 11, 14.1.2017, s. 23, ELI: </w:t>
      </w:r>
      <w:hyperlink r:id="rId2" w:history="1">
        <w:r w:rsidRPr="006F1173">
          <w:rPr>
            <w:rStyle w:val="Hyperlink"/>
            <w:sz w:val="24"/>
            <w:lang w:val="cs-CZ"/>
          </w:rPr>
          <w:t>http://data.europa.eu/eli/agree_internation/2017/37/oj</w:t>
        </w:r>
      </w:hyperlink>
      <w:r w:rsidRPr="006F1173">
        <w:rPr>
          <w:sz w:val="24"/>
          <w:lang w:val="cs-CZ"/>
        </w:rPr>
        <w:t>.</w:t>
      </w:r>
    </w:p>
  </w:footnote>
  <w:footnote w:id="3">
    <w:p w14:paraId="1ED3DF09" w14:textId="2359AECD" w:rsidR="009C4FDC" w:rsidRPr="006F1173" w:rsidRDefault="009C4FDC" w:rsidP="006F1173">
      <w:pPr>
        <w:pStyle w:val="FootnoteText"/>
        <w:ind w:left="567" w:hanging="567"/>
        <w:rPr>
          <w:sz w:val="24"/>
          <w:lang w:val="cs-CZ"/>
        </w:rPr>
      </w:pPr>
      <w:r w:rsidRPr="006F1173">
        <w:rPr>
          <w:rStyle w:val="FootnoteReference"/>
          <w:sz w:val="24"/>
          <w:lang w:val="cs-CZ"/>
        </w:rPr>
        <w:footnoteRef/>
      </w:r>
      <w:r w:rsidR="006F1173" w:rsidRPr="006F1173">
        <w:rPr>
          <w:sz w:val="24"/>
          <w:lang w:val="cs-CZ"/>
        </w:rPr>
        <w:t xml:space="preserve"> </w:t>
      </w:r>
      <w:r w:rsidR="006F1173" w:rsidRPr="006F1173">
        <w:rPr>
          <w:sz w:val="24"/>
          <w:lang w:val="cs-CZ"/>
        </w:rPr>
        <w:tab/>
      </w:r>
      <w:r w:rsidRPr="006F1173">
        <w:rPr>
          <w:sz w:val="24"/>
          <w:lang w:val="cs-CZ"/>
        </w:rPr>
        <w:t xml:space="preserve">Evropská komise: </w:t>
      </w:r>
      <w:proofErr w:type="spellStart"/>
      <w:r w:rsidRPr="006F1173">
        <w:rPr>
          <w:sz w:val="24"/>
          <w:lang w:val="cs-CZ"/>
        </w:rPr>
        <w:t>Directorate</w:t>
      </w:r>
      <w:proofErr w:type="spellEnd"/>
      <w:r w:rsidRPr="006F1173">
        <w:rPr>
          <w:sz w:val="24"/>
          <w:lang w:val="cs-CZ"/>
        </w:rPr>
        <w:t xml:space="preserve">-General </w:t>
      </w:r>
      <w:proofErr w:type="spellStart"/>
      <w:r w:rsidRPr="006F1173">
        <w:rPr>
          <w:sz w:val="24"/>
          <w:lang w:val="cs-CZ"/>
        </w:rPr>
        <w:t>for</w:t>
      </w:r>
      <w:proofErr w:type="spellEnd"/>
      <w:r w:rsidRPr="006F1173">
        <w:rPr>
          <w:sz w:val="24"/>
          <w:lang w:val="cs-CZ"/>
        </w:rPr>
        <w:t xml:space="preserve"> </w:t>
      </w:r>
      <w:proofErr w:type="spellStart"/>
      <w:r w:rsidRPr="006F1173">
        <w:rPr>
          <w:sz w:val="24"/>
          <w:lang w:val="cs-CZ"/>
        </w:rPr>
        <w:t>Trade</w:t>
      </w:r>
      <w:proofErr w:type="spellEnd"/>
      <w:r w:rsidRPr="006F1173">
        <w:rPr>
          <w:sz w:val="24"/>
          <w:lang w:val="cs-CZ"/>
        </w:rPr>
        <w:t xml:space="preserve"> and </w:t>
      </w:r>
      <w:proofErr w:type="spellStart"/>
      <w:r w:rsidRPr="006F1173">
        <w:rPr>
          <w:sz w:val="24"/>
          <w:lang w:val="cs-CZ"/>
        </w:rPr>
        <w:t>Economic</w:t>
      </w:r>
      <w:proofErr w:type="spellEnd"/>
      <w:r w:rsidRPr="006F1173">
        <w:rPr>
          <w:sz w:val="24"/>
          <w:lang w:val="cs-CZ"/>
        </w:rPr>
        <w:t xml:space="preserve"> </w:t>
      </w:r>
      <w:proofErr w:type="spellStart"/>
      <w:r w:rsidRPr="006F1173">
        <w:rPr>
          <w:sz w:val="24"/>
          <w:lang w:val="cs-CZ"/>
        </w:rPr>
        <w:t>Security</w:t>
      </w:r>
      <w:proofErr w:type="spellEnd"/>
      <w:r w:rsidRPr="006F1173">
        <w:rPr>
          <w:sz w:val="24"/>
          <w:lang w:val="cs-CZ"/>
        </w:rPr>
        <w:t xml:space="preserve"> et al., Study in support </w:t>
      </w:r>
      <w:proofErr w:type="spellStart"/>
      <w:r w:rsidRPr="006F1173">
        <w:rPr>
          <w:sz w:val="24"/>
          <w:lang w:val="cs-CZ"/>
        </w:rPr>
        <w:t>of</w:t>
      </w:r>
      <w:proofErr w:type="spellEnd"/>
      <w:r w:rsidRPr="006F1173">
        <w:rPr>
          <w:sz w:val="24"/>
          <w:lang w:val="cs-CZ"/>
        </w:rPr>
        <w:t xml:space="preserve"> </w:t>
      </w:r>
      <w:proofErr w:type="spellStart"/>
      <w:r w:rsidRPr="006F1173">
        <w:rPr>
          <w:sz w:val="24"/>
          <w:lang w:val="cs-CZ"/>
        </w:rPr>
        <w:t>an</w:t>
      </w:r>
      <w:proofErr w:type="spellEnd"/>
      <w:r w:rsidRPr="006F1173">
        <w:rPr>
          <w:sz w:val="24"/>
          <w:lang w:val="cs-CZ"/>
        </w:rPr>
        <w:t xml:space="preserve"> ex-post </w:t>
      </w:r>
      <w:proofErr w:type="spellStart"/>
      <w:r w:rsidRPr="006F1173">
        <w:rPr>
          <w:sz w:val="24"/>
          <w:lang w:val="cs-CZ"/>
        </w:rPr>
        <w:t>evaluation</w:t>
      </w:r>
      <w:proofErr w:type="spellEnd"/>
      <w:r w:rsidRPr="006F1173">
        <w:rPr>
          <w:sz w:val="24"/>
          <w:lang w:val="cs-CZ"/>
        </w:rPr>
        <w:t xml:space="preserve"> </w:t>
      </w:r>
      <w:proofErr w:type="spellStart"/>
      <w:r w:rsidRPr="006F1173">
        <w:rPr>
          <w:sz w:val="24"/>
          <w:lang w:val="cs-CZ"/>
        </w:rPr>
        <w:t>of</w:t>
      </w:r>
      <w:proofErr w:type="spellEnd"/>
      <w:r w:rsidRPr="006F1173">
        <w:rPr>
          <w:sz w:val="24"/>
          <w:lang w:val="cs-CZ"/>
        </w:rPr>
        <w:t xml:space="preserve"> </w:t>
      </w:r>
      <w:proofErr w:type="spellStart"/>
      <w:r w:rsidRPr="006F1173">
        <w:rPr>
          <w:sz w:val="24"/>
          <w:lang w:val="cs-CZ"/>
        </w:rPr>
        <w:t>the</w:t>
      </w:r>
      <w:proofErr w:type="spellEnd"/>
      <w:r w:rsidRPr="006F1173">
        <w:rPr>
          <w:sz w:val="24"/>
          <w:lang w:val="cs-CZ"/>
        </w:rPr>
        <w:t xml:space="preserve"> </w:t>
      </w:r>
      <w:proofErr w:type="spellStart"/>
      <w:r w:rsidRPr="006F1173">
        <w:rPr>
          <w:sz w:val="24"/>
          <w:lang w:val="cs-CZ"/>
        </w:rPr>
        <w:t>Comprehensive</w:t>
      </w:r>
      <w:proofErr w:type="spellEnd"/>
      <w:r w:rsidRPr="006F1173">
        <w:rPr>
          <w:sz w:val="24"/>
          <w:lang w:val="cs-CZ"/>
        </w:rPr>
        <w:t xml:space="preserve"> </w:t>
      </w:r>
      <w:proofErr w:type="spellStart"/>
      <w:r w:rsidRPr="006F1173">
        <w:rPr>
          <w:sz w:val="24"/>
          <w:lang w:val="cs-CZ"/>
        </w:rPr>
        <w:t>Economic</w:t>
      </w:r>
      <w:proofErr w:type="spellEnd"/>
      <w:r w:rsidRPr="006F1173">
        <w:rPr>
          <w:sz w:val="24"/>
          <w:lang w:val="cs-CZ"/>
        </w:rPr>
        <w:t xml:space="preserve"> and </w:t>
      </w:r>
      <w:proofErr w:type="spellStart"/>
      <w:r w:rsidRPr="006F1173">
        <w:rPr>
          <w:sz w:val="24"/>
          <w:lang w:val="cs-CZ"/>
        </w:rPr>
        <w:t>Trade</w:t>
      </w:r>
      <w:proofErr w:type="spellEnd"/>
      <w:r w:rsidRPr="006F1173">
        <w:rPr>
          <w:sz w:val="24"/>
          <w:lang w:val="cs-CZ"/>
        </w:rPr>
        <w:t xml:space="preserve"> </w:t>
      </w:r>
      <w:proofErr w:type="spellStart"/>
      <w:r w:rsidRPr="006F1173">
        <w:rPr>
          <w:sz w:val="24"/>
          <w:lang w:val="cs-CZ"/>
        </w:rPr>
        <w:t>Agreement</w:t>
      </w:r>
      <w:proofErr w:type="spellEnd"/>
      <w:r w:rsidRPr="006F1173">
        <w:rPr>
          <w:sz w:val="24"/>
          <w:lang w:val="cs-CZ"/>
        </w:rPr>
        <w:t xml:space="preserve"> (CETA) </w:t>
      </w:r>
      <w:proofErr w:type="spellStart"/>
      <w:r w:rsidRPr="006F1173">
        <w:rPr>
          <w:sz w:val="24"/>
          <w:lang w:val="cs-CZ"/>
        </w:rPr>
        <w:t>between</w:t>
      </w:r>
      <w:proofErr w:type="spellEnd"/>
      <w:r w:rsidRPr="006F1173">
        <w:rPr>
          <w:sz w:val="24"/>
          <w:lang w:val="cs-CZ"/>
        </w:rPr>
        <w:t xml:space="preserve"> </w:t>
      </w:r>
      <w:proofErr w:type="spellStart"/>
      <w:r w:rsidRPr="006F1173">
        <w:rPr>
          <w:sz w:val="24"/>
          <w:lang w:val="cs-CZ"/>
        </w:rPr>
        <w:t>the</w:t>
      </w:r>
      <w:proofErr w:type="spellEnd"/>
      <w:r w:rsidRPr="006F1173">
        <w:rPr>
          <w:sz w:val="24"/>
          <w:lang w:val="cs-CZ"/>
        </w:rPr>
        <w:t xml:space="preserve"> EU and </w:t>
      </w:r>
      <w:proofErr w:type="spellStart"/>
      <w:r w:rsidRPr="006F1173">
        <w:rPr>
          <w:sz w:val="24"/>
          <w:lang w:val="cs-CZ"/>
        </w:rPr>
        <w:t>its</w:t>
      </w:r>
      <w:proofErr w:type="spellEnd"/>
      <w:r w:rsidRPr="006F1173">
        <w:rPr>
          <w:sz w:val="24"/>
          <w:lang w:val="cs-CZ"/>
        </w:rPr>
        <w:t xml:space="preserve"> </w:t>
      </w:r>
      <w:proofErr w:type="spellStart"/>
      <w:r w:rsidRPr="006F1173">
        <w:rPr>
          <w:sz w:val="24"/>
          <w:lang w:val="cs-CZ"/>
        </w:rPr>
        <w:t>Member</w:t>
      </w:r>
      <w:proofErr w:type="spellEnd"/>
      <w:r w:rsidRPr="006F1173">
        <w:rPr>
          <w:sz w:val="24"/>
          <w:lang w:val="cs-CZ"/>
        </w:rPr>
        <w:t xml:space="preserve"> </w:t>
      </w:r>
      <w:proofErr w:type="spellStart"/>
      <w:r w:rsidRPr="006F1173">
        <w:rPr>
          <w:sz w:val="24"/>
          <w:lang w:val="cs-CZ"/>
        </w:rPr>
        <w:t>States</w:t>
      </w:r>
      <w:proofErr w:type="spellEnd"/>
      <w:r w:rsidRPr="006F1173">
        <w:rPr>
          <w:sz w:val="24"/>
          <w:lang w:val="cs-CZ"/>
        </w:rPr>
        <w:t xml:space="preserve"> and </w:t>
      </w:r>
      <w:proofErr w:type="spellStart"/>
      <w:r w:rsidRPr="006F1173">
        <w:rPr>
          <w:sz w:val="24"/>
          <w:lang w:val="cs-CZ"/>
        </w:rPr>
        <w:t>Canada</w:t>
      </w:r>
      <w:proofErr w:type="spellEnd"/>
      <w:r w:rsidRPr="006F1173">
        <w:rPr>
          <w:sz w:val="24"/>
          <w:lang w:val="cs-CZ"/>
        </w:rPr>
        <w:t xml:space="preserve"> – </w:t>
      </w:r>
      <w:proofErr w:type="spellStart"/>
      <w:r w:rsidRPr="006F1173">
        <w:rPr>
          <w:sz w:val="24"/>
          <w:lang w:val="cs-CZ"/>
        </w:rPr>
        <w:t>Final</w:t>
      </w:r>
      <w:proofErr w:type="spellEnd"/>
      <w:r w:rsidRPr="006F1173">
        <w:rPr>
          <w:sz w:val="24"/>
          <w:lang w:val="cs-CZ"/>
        </w:rPr>
        <w:t xml:space="preserve"> report – </w:t>
      </w:r>
      <w:proofErr w:type="spellStart"/>
      <w:r w:rsidRPr="006F1173">
        <w:rPr>
          <w:sz w:val="24"/>
          <w:lang w:val="cs-CZ"/>
        </w:rPr>
        <w:t>Annexes</w:t>
      </w:r>
      <w:proofErr w:type="spellEnd"/>
      <w:r w:rsidRPr="006F1173">
        <w:rPr>
          <w:sz w:val="24"/>
          <w:lang w:val="cs-CZ"/>
        </w:rPr>
        <w:t xml:space="preserve">, </w:t>
      </w:r>
      <w:proofErr w:type="spellStart"/>
      <w:r w:rsidRPr="006F1173">
        <w:rPr>
          <w:sz w:val="24"/>
          <w:lang w:val="cs-CZ"/>
        </w:rPr>
        <w:t>Publications</w:t>
      </w:r>
      <w:proofErr w:type="spellEnd"/>
      <w:r w:rsidRPr="006F1173">
        <w:rPr>
          <w:sz w:val="24"/>
          <w:lang w:val="cs-CZ"/>
        </w:rPr>
        <w:t xml:space="preserve"> Office </w:t>
      </w:r>
      <w:proofErr w:type="spellStart"/>
      <w:r w:rsidRPr="006F1173">
        <w:rPr>
          <w:sz w:val="24"/>
          <w:lang w:val="cs-CZ"/>
        </w:rPr>
        <w:t>of</w:t>
      </w:r>
      <w:proofErr w:type="spellEnd"/>
      <w:r w:rsidRPr="006F1173">
        <w:rPr>
          <w:sz w:val="24"/>
          <w:lang w:val="cs-CZ"/>
        </w:rPr>
        <w:t xml:space="preserve"> </w:t>
      </w:r>
      <w:proofErr w:type="spellStart"/>
      <w:r w:rsidRPr="006F1173">
        <w:rPr>
          <w:sz w:val="24"/>
          <w:lang w:val="cs-CZ"/>
        </w:rPr>
        <w:t>the</w:t>
      </w:r>
      <w:proofErr w:type="spellEnd"/>
      <w:r w:rsidRPr="006F1173">
        <w:rPr>
          <w:sz w:val="24"/>
          <w:lang w:val="cs-CZ"/>
        </w:rPr>
        <w:t xml:space="preserve"> </w:t>
      </w:r>
      <w:proofErr w:type="spellStart"/>
      <w:r w:rsidRPr="006F1173">
        <w:rPr>
          <w:sz w:val="24"/>
          <w:lang w:val="cs-CZ"/>
        </w:rPr>
        <w:t>European</w:t>
      </w:r>
      <w:proofErr w:type="spellEnd"/>
      <w:r w:rsidRPr="006F1173">
        <w:rPr>
          <w:sz w:val="24"/>
          <w:lang w:val="cs-CZ"/>
        </w:rPr>
        <w:t xml:space="preserve"> Union, 2025, </w:t>
      </w:r>
      <w:hyperlink r:id="rId3" w:history="1">
        <w:r w:rsidRPr="006F1173">
          <w:rPr>
            <w:rStyle w:val="Hyperlink"/>
            <w:sz w:val="24"/>
            <w:lang w:val="cs-CZ"/>
          </w:rPr>
          <w:t>https://data.europa.eu/doi/10.2781/9705637</w:t>
        </w:r>
      </w:hyperlink>
      <w:r w:rsidRPr="00B5279E">
        <w:rPr>
          <w:rStyle w:val="Hyperlink"/>
          <w:color w:val="auto"/>
          <w:sz w:val="24"/>
          <w:u w:val="none"/>
          <w:lang w:val="cs-CZ"/>
        </w:rPr>
        <w:t>.</w:t>
      </w:r>
    </w:p>
  </w:footnote>
  <w:footnote w:id="4">
    <w:p w14:paraId="4120318A" w14:textId="37E91439" w:rsidR="009C4FDC" w:rsidRPr="006F1173" w:rsidRDefault="009C4FDC" w:rsidP="006F1173">
      <w:pPr>
        <w:pStyle w:val="FootnoteText"/>
        <w:ind w:left="567" w:hanging="567"/>
        <w:rPr>
          <w:color w:val="0563C1" w:themeColor="hyperlink"/>
          <w:sz w:val="24"/>
          <w:szCs w:val="24"/>
          <w:u w:val="single"/>
          <w:lang w:val="cs-CZ"/>
        </w:rPr>
      </w:pPr>
      <w:r w:rsidRPr="006F1173">
        <w:rPr>
          <w:rStyle w:val="FootnoteReference"/>
          <w:sz w:val="24"/>
          <w:lang w:val="cs-CZ"/>
        </w:rPr>
        <w:footnoteRef/>
      </w:r>
      <w:r w:rsidR="006F1173" w:rsidRPr="006F1173">
        <w:rPr>
          <w:sz w:val="24"/>
          <w:lang w:val="cs-CZ"/>
        </w:rPr>
        <w:t xml:space="preserve"> </w:t>
      </w:r>
      <w:r w:rsidR="006F1173" w:rsidRPr="006F1173">
        <w:rPr>
          <w:sz w:val="24"/>
          <w:lang w:val="cs-CZ"/>
        </w:rPr>
        <w:tab/>
      </w:r>
      <w:r w:rsidRPr="006F1173">
        <w:rPr>
          <w:sz w:val="24"/>
          <w:lang w:val="cs-CZ"/>
        </w:rPr>
        <w:t>Rozhodnutí Smíšeného výboru pro vzájemné uznávání odborných kvalifikací č. 1/2024 ze dne 10. října 2024, kterým se stanoví dohoda o vzájemném uznávání odborných kvalifikací architektů (</w:t>
      </w:r>
      <w:proofErr w:type="spellStart"/>
      <w:r w:rsidRPr="006F1173">
        <w:rPr>
          <w:sz w:val="24"/>
          <w:lang w:val="cs-CZ"/>
        </w:rPr>
        <w:t>Úř</w:t>
      </w:r>
      <w:proofErr w:type="spellEnd"/>
      <w:r w:rsidRPr="006F1173">
        <w:rPr>
          <w:sz w:val="24"/>
          <w:lang w:val="cs-CZ"/>
        </w:rPr>
        <w:t>. </w:t>
      </w:r>
      <w:proofErr w:type="spellStart"/>
      <w:r w:rsidRPr="006F1173">
        <w:rPr>
          <w:sz w:val="24"/>
          <w:lang w:val="cs-CZ"/>
        </w:rPr>
        <w:t>věst</w:t>
      </w:r>
      <w:proofErr w:type="spellEnd"/>
      <w:r w:rsidRPr="006F1173">
        <w:rPr>
          <w:sz w:val="24"/>
          <w:lang w:val="cs-CZ"/>
        </w:rPr>
        <w:t>. L, 2024/2873, 14.11.2024, ELI:</w:t>
      </w:r>
      <w:r w:rsidRPr="006F1173">
        <w:rPr>
          <w:b/>
          <w:sz w:val="24"/>
          <w:lang w:val="cs-CZ"/>
        </w:rPr>
        <w:t xml:space="preserve"> </w:t>
      </w:r>
      <w:hyperlink r:id="rId4" w:history="1">
        <w:r w:rsidRPr="006F1173">
          <w:rPr>
            <w:rStyle w:val="Hyperlink"/>
            <w:sz w:val="24"/>
            <w:lang w:val="cs-CZ"/>
          </w:rPr>
          <w:t>http://data.europa.eu/eli/dec/2024/2873/oj</w:t>
        </w:r>
      </w:hyperlink>
      <w:r w:rsidRPr="00B5279E">
        <w:rPr>
          <w:rStyle w:val="Hyperlink"/>
          <w:color w:val="auto"/>
          <w:sz w:val="24"/>
          <w:u w:val="none"/>
          <w:lang w:val="cs-CZ"/>
        </w:rPr>
        <w:t>)</w:t>
      </w:r>
      <w:r w:rsidRPr="006F1173">
        <w:rPr>
          <w:sz w:val="24"/>
          <w:lang w:val="cs-CZ"/>
        </w:rPr>
        <w:t>.</w:t>
      </w:r>
    </w:p>
  </w:footnote>
  <w:footnote w:id="5">
    <w:p w14:paraId="0B1949BC" w14:textId="018736F0" w:rsidR="009C4FDC" w:rsidRPr="006F1173" w:rsidRDefault="009C4FDC" w:rsidP="006F1173">
      <w:pPr>
        <w:pStyle w:val="FootnoteText"/>
        <w:ind w:left="567" w:hanging="567"/>
        <w:rPr>
          <w:sz w:val="24"/>
          <w:lang w:val="cs-CZ"/>
        </w:rPr>
      </w:pPr>
      <w:r w:rsidRPr="006F1173">
        <w:rPr>
          <w:rStyle w:val="FootnoteReference"/>
          <w:sz w:val="24"/>
          <w:lang w:val="cs-CZ"/>
        </w:rPr>
        <w:footnoteRef/>
      </w:r>
      <w:r w:rsidR="006F1173" w:rsidRPr="006F1173">
        <w:rPr>
          <w:sz w:val="24"/>
          <w:lang w:val="cs-CZ"/>
        </w:rPr>
        <w:t xml:space="preserve"> </w:t>
      </w:r>
      <w:r w:rsidR="006F1173" w:rsidRPr="006F1173">
        <w:rPr>
          <w:sz w:val="24"/>
          <w:lang w:val="cs-CZ"/>
        </w:rPr>
        <w:tab/>
      </w:r>
      <w:r w:rsidRPr="006F1173">
        <w:rPr>
          <w:sz w:val="24"/>
          <w:lang w:val="cs-CZ"/>
        </w:rPr>
        <w:t>Nařízení Evropského parlamentu a Rady (EU) 2022/2065 ze dne 19. října 2022 o jednotném trhu digitálních služeb a o změně směrnice 2000/31/ES (nařízení o digitálních službách) (</w:t>
      </w:r>
      <w:proofErr w:type="spellStart"/>
      <w:r w:rsidRPr="006F1173">
        <w:rPr>
          <w:sz w:val="24"/>
          <w:lang w:val="cs-CZ"/>
        </w:rPr>
        <w:t>Úř</w:t>
      </w:r>
      <w:proofErr w:type="spellEnd"/>
      <w:r w:rsidRPr="006F1173">
        <w:rPr>
          <w:sz w:val="24"/>
          <w:lang w:val="cs-CZ"/>
        </w:rPr>
        <w:t>. </w:t>
      </w:r>
      <w:proofErr w:type="spellStart"/>
      <w:r w:rsidRPr="006F1173">
        <w:rPr>
          <w:sz w:val="24"/>
          <w:lang w:val="cs-CZ"/>
        </w:rPr>
        <w:t>věst</w:t>
      </w:r>
      <w:proofErr w:type="spellEnd"/>
      <w:r w:rsidRPr="006F1173">
        <w:rPr>
          <w:sz w:val="24"/>
          <w:lang w:val="cs-CZ"/>
        </w:rPr>
        <w:t xml:space="preserve">. L 277, 27.10.2022, s. 1, ELI: </w:t>
      </w:r>
      <w:hyperlink r:id="rId5" w:history="1">
        <w:r w:rsidRPr="006F1173">
          <w:rPr>
            <w:rStyle w:val="Hyperlink"/>
            <w:sz w:val="24"/>
            <w:lang w:val="cs-CZ"/>
          </w:rPr>
          <w:t>http://data.europa.eu/eli/reg/2022/2065/oj</w:t>
        </w:r>
        <w:r w:rsidRPr="00B5279E">
          <w:rPr>
            <w:rStyle w:val="Hyperlink"/>
            <w:color w:val="auto"/>
            <w:sz w:val="24"/>
            <w:u w:val="none"/>
            <w:lang w:val="cs-CZ"/>
          </w:rPr>
          <w:t>)</w:t>
        </w:r>
      </w:hyperlink>
      <w:r w:rsidRPr="006F1173">
        <w:rPr>
          <w:sz w:val="24"/>
          <w:lang w:val="cs-CZ"/>
        </w:rPr>
        <w:t xml:space="preserve">. </w:t>
      </w:r>
    </w:p>
  </w:footnote>
  <w:footnote w:id="6">
    <w:p w14:paraId="642E7987" w14:textId="282EC4C4" w:rsidR="009C4FDC" w:rsidRPr="002326A5" w:rsidRDefault="009C4FDC" w:rsidP="006F1173">
      <w:pPr>
        <w:pStyle w:val="FootnoteText"/>
        <w:ind w:left="567" w:hanging="567"/>
        <w:rPr>
          <w:sz w:val="24"/>
          <w:lang w:val="cs-CZ"/>
        </w:rPr>
      </w:pPr>
      <w:r w:rsidRPr="006F1173">
        <w:rPr>
          <w:rStyle w:val="FootnoteReference"/>
          <w:sz w:val="24"/>
          <w:lang w:val="cs-CZ"/>
        </w:rPr>
        <w:footnoteRef/>
      </w:r>
      <w:r w:rsidR="006F1173" w:rsidRPr="006F1173">
        <w:rPr>
          <w:sz w:val="24"/>
          <w:lang w:val="cs-CZ"/>
        </w:rPr>
        <w:t xml:space="preserve"> </w:t>
      </w:r>
      <w:r w:rsidR="006F1173" w:rsidRPr="006F1173">
        <w:rPr>
          <w:sz w:val="24"/>
          <w:lang w:val="cs-CZ"/>
        </w:rPr>
        <w:tab/>
      </w:r>
      <w:r w:rsidRPr="006F1173">
        <w:rPr>
          <w:sz w:val="24"/>
          <w:lang w:val="cs-CZ"/>
        </w:rPr>
        <w:t>Nařízení Evropského parlamentu a Rady (EU) 2022/1925 ze dne 14. září 2022 o spravedlivých trzích otevřených hospodářské soutěži v digitálním odvětví a o změně směrnic (EU) 2019/1937 a (EU) 2020/1828 (nařízení o digitálních trzích) (</w:t>
      </w:r>
      <w:proofErr w:type="spellStart"/>
      <w:r w:rsidRPr="006F1173">
        <w:rPr>
          <w:sz w:val="24"/>
          <w:lang w:val="cs-CZ"/>
        </w:rPr>
        <w:t>Úř</w:t>
      </w:r>
      <w:proofErr w:type="spellEnd"/>
      <w:r w:rsidRPr="006F1173">
        <w:rPr>
          <w:sz w:val="24"/>
          <w:lang w:val="cs-CZ"/>
        </w:rPr>
        <w:t>. </w:t>
      </w:r>
      <w:proofErr w:type="spellStart"/>
      <w:r w:rsidRPr="006F1173">
        <w:rPr>
          <w:sz w:val="24"/>
          <w:lang w:val="cs-CZ"/>
        </w:rPr>
        <w:t>věst</w:t>
      </w:r>
      <w:proofErr w:type="spellEnd"/>
      <w:r w:rsidRPr="006F1173">
        <w:rPr>
          <w:sz w:val="24"/>
          <w:lang w:val="cs-CZ"/>
        </w:rPr>
        <w:t xml:space="preserve">. L 265, 12.10.2022, s. 1, ELI: </w:t>
      </w:r>
      <w:hyperlink r:id="rId6" w:history="1">
        <w:r w:rsidRPr="006F1173">
          <w:rPr>
            <w:rStyle w:val="Hyperlink"/>
            <w:sz w:val="24"/>
            <w:lang w:val="cs-CZ"/>
          </w:rPr>
          <w:t>http://data.europa.eu/eli/reg/2022/1925/oj</w:t>
        </w:r>
      </w:hyperlink>
      <w:r w:rsidR="002326A5" w:rsidRPr="00B5279E">
        <w:rPr>
          <w:rStyle w:val="Hyperlink"/>
          <w:color w:val="auto"/>
          <w:sz w:val="24"/>
          <w:u w:val="none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C0B07" w14:textId="77777777" w:rsidR="00064002" w:rsidRPr="006F117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AAAF9" w14:textId="77777777" w:rsidR="00064002" w:rsidRPr="006F117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4C4CC" w14:textId="77777777" w:rsidR="00064002" w:rsidRPr="006F117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67395463">
    <w:abstractNumId w:val="9"/>
  </w:num>
  <w:num w:numId="2" w16cid:durableId="1373186364">
    <w:abstractNumId w:val="9"/>
  </w:num>
  <w:num w:numId="3" w16cid:durableId="1908034050">
    <w:abstractNumId w:val="7"/>
  </w:num>
  <w:num w:numId="4" w16cid:durableId="1004742269">
    <w:abstractNumId w:val="7"/>
  </w:num>
  <w:num w:numId="5" w16cid:durableId="373701435">
    <w:abstractNumId w:val="6"/>
  </w:num>
  <w:num w:numId="6" w16cid:durableId="1350570379">
    <w:abstractNumId w:val="6"/>
  </w:num>
  <w:num w:numId="7" w16cid:durableId="310016251">
    <w:abstractNumId w:val="5"/>
  </w:num>
  <w:num w:numId="8" w16cid:durableId="12077648">
    <w:abstractNumId w:val="5"/>
  </w:num>
  <w:num w:numId="9" w16cid:durableId="847603078">
    <w:abstractNumId w:val="4"/>
  </w:num>
  <w:num w:numId="10" w16cid:durableId="75251382">
    <w:abstractNumId w:val="4"/>
  </w:num>
  <w:num w:numId="11" w16cid:durableId="1585646654">
    <w:abstractNumId w:val="8"/>
  </w:num>
  <w:num w:numId="12" w16cid:durableId="1057897713">
    <w:abstractNumId w:val="8"/>
  </w:num>
  <w:num w:numId="13" w16cid:durableId="926570529">
    <w:abstractNumId w:val="3"/>
  </w:num>
  <w:num w:numId="14" w16cid:durableId="1635671248">
    <w:abstractNumId w:val="3"/>
  </w:num>
  <w:num w:numId="15" w16cid:durableId="101733376">
    <w:abstractNumId w:val="2"/>
  </w:num>
  <w:num w:numId="16" w16cid:durableId="712774137">
    <w:abstractNumId w:val="2"/>
  </w:num>
  <w:num w:numId="17" w16cid:durableId="270014156">
    <w:abstractNumId w:val="1"/>
  </w:num>
  <w:num w:numId="18" w16cid:durableId="450824947">
    <w:abstractNumId w:val="1"/>
  </w:num>
  <w:num w:numId="19" w16cid:durableId="1978218302">
    <w:abstractNumId w:val="0"/>
  </w:num>
  <w:num w:numId="20" w16cid:durableId="261690014">
    <w:abstractNumId w:val="0"/>
  </w:num>
  <w:num w:numId="21" w16cid:durableId="688874290">
    <w:abstractNumId w:val="9"/>
  </w:num>
  <w:num w:numId="22" w16cid:durableId="448015754">
    <w:abstractNumId w:val="7"/>
  </w:num>
  <w:num w:numId="23" w16cid:durableId="2025939135">
    <w:abstractNumId w:val="6"/>
  </w:num>
  <w:num w:numId="24" w16cid:durableId="502428305">
    <w:abstractNumId w:val="5"/>
  </w:num>
  <w:num w:numId="25" w16cid:durableId="1432824492">
    <w:abstractNumId w:val="4"/>
  </w:num>
  <w:num w:numId="26" w16cid:durableId="1269191066">
    <w:abstractNumId w:val="8"/>
  </w:num>
  <w:num w:numId="27" w16cid:durableId="233592745">
    <w:abstractNumId w:val="3"/>
  </w:num>
  <w:num w:numId="28" w16cid:durableId="2051146616">
    <w:abstractNumId w:val="2"/>
  </w:num>
  <w:num w:numId="29" w16cid:durableId="993919759">
    <w:abstractNumId w:val="1"/>
  </w:num>
  <w:num w:numId="30" w16cid:durableId="1369453024">
    <w:abstractNumId w:val="0"/>
  </w:num>
  <w:num w:numId="31" w16cid:durableId="930509252">
    <w:abstractNumId w:val="9"/>
  </w:num>
  <w:num w:numId="32" w16cid:durableId="905799387">
    <w:abstractNumId w:val="7"/>
  </w:num>
  <w:num w:numId="33" w16cid:durableId="1409763557">
    <w:abstractNumId w:val="6"/>
  </w:num>
  <w:num w:numId="34" w16cid:durableId="1367681186">
    <w:abstractNumId w:val="5"/>
  </w:num>
  <w:num w:numId="35" w16cid:durableId="1246962970">
    <w:abstractNumId w:val="4"/>
  </w:num>
  <w:num w:numId="36" w16cid:durableId="1693265304">
    <w:abstractNumId w:val="8"/>
  </w:num>
  <w:num w:numId="37" w16cid:durableId="1445689793">
    <w:abstractNumId w:val="3"/>
  </w:num>
  <w:num w:numId="38" w16cid:durableId="1745906816">
    <w:abstractNumId w:val="2"/>
  </w:num>
  <w:num w:numId="39" w16cid:durableId="1871532221">
    <w:abstractNumId w:val="1"/>
  </w:num>
  <w:num w:numId="40" w16cid:durableId="523322324">
    <w:abstractNumId w:val="0"/>
  </w:num>
  <w:num w:numId="41" w16cid:durableId="499547435">
    <w:abstractNumId w:val="10"/>
  </w:num>
  <w:num w:numId="42" w16cid:durableId="1836914909">
    <w:abstractNumId w:val="10"/>
  </w:num>
  <w:num w:numId="43" w16cid:durableId="1395079253">
    <w:abstractNumId w:val="10"/>
  </w:num>
  <w:num w:numId="44" w16cid:durableId="15809427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5/2026"/>
    <w:docVar w:name="dvlangue" w:val="CS"/>
    <w:docVar w:name="dvnumam" w:val="31"/>
    <w:docVar w:name="dvpe" w:val="778.092"/>
    <w:docVar w:name="dvrapporteur" w:val="Zpravodaj: "/>
    <w:docVar w:name="dvtitre" w:val="Doporučení Evropského parlamentu Evropské radě a Radě ze dne 11. března 2027 o doporučení Evropského parlamentu Radě, Komisi a místopředsedkyni Komise, vysoké představitelce Unie pro zahraniční věci a bezpečnostní politiku týkajícím se posílené spolupráce mezi EU a Kanadou v současném geopolitickém kontextu, a to i pokud jde o ohrožení hospodářské stability a svrchovanosti Kanady(2025/2168(INI))"/>
  </w:docVars>
  <w:rsids>
    <w:rsidRoot w:val="005F639E"/>
    <w:rsid w:val="00002272"/>
    <w:rsid w:val="00064002"/>
    <w:rsid w:val="000677B9"/>
    <w:rsid w:val="000831BA"/>
    <w:rsid w:val="000A42CC"/>
    <w:rsid w:val="000D159E"/>
    <w:rsid w:val="000E7DD9"/>
    <w:rsid w:val="0010095E"/>
    <w:rsid w:val="00125B37"/>
    <w:rsid w:val="00187494"/>
    <w:rsid w:val="001F32AE"/>
    <w:rsid w:val="002326A5"/>
    <w:rsid w:val="002438B1"/>
    <w:rsid w:val="0024636C"/>
    <w:rsid w:val="002767FF"/>
    <w:rsid w:val="002B18FE"/>
    <w:rsid w:val="002B5493"/>
    <w:rsid w:val="002E7ED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639E"/>
    <w:rsid w:val="006037C0"/>
    <w:rsid w:val="006631B6"/>
    <w:rsid w:val="00680577"/>
    <w:rsid w:val="006F117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4FDC"/>
    <w:rsid w:val="00A1687D"/>
    <w:rsid w:val="00A43E52"/>
    <w:rsid w:val="00A4678D"/>
    <w:rsid w:val="00A778C7"/>
    <w:rsid w:val="00AA06F8"/>
    <w:rsid w:val="00AB441E"/>
    <w:rsid w:val="00AB6293"/>
    <w:rsid w:val="00AE0928"/>
    <w:rsid w:val="00AF3B82"/>
    <w:rsid w:val="00B12E95"/>
    <w:rsid w:val="00B22876"/>
    <w:rsid w:val="00B35D80"/>
    <w:rsid w:val="00B5279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2BC3"/>
    <w:rsid w:val="00DA7FCD"/>
    <w:rsid w:val="00E365E1"/>
    <w:rsid w:val="00E60A45"/>
    <w:rsid w:val="00E820A4"/>
    <w:rsid w:val="00E87CF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F797AA"/>
  <w15:chartTrackingRefBased/>
  <w15:docId w15:val="{3F083E74-D960-4C74-AB3D-4E247B6C4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C4FD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C4FDC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qFormat/>
    <w:rsid w:val="009C4FD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C4F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C4FDC"/>
    <w:rPr>
      <w:sz w:val="24"/>
      <w:lang w:val="cs-CZ"/>
    </w:rPr>
  </w:style>
  <w:style w:type="paragraph" w:customStyle="1" w:styleId="EPFooter">
    <w:name w:val="EPFooter"/>
    <w:basedOn w:val="Normal"/>
    <w:rsid w:val="009C4FD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9C4FD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9C4FDC"/>
    <w:rPr>
      <w:sz w:val="24"/>
      <w:lang w:val="cs-CZ"/>
    </w:rPr>
  </w:style>
  <w:style w:type="paragraph" w:styleId="Footer">
    <w:name w:val="footer"/>
    <w:basedOn w:val="Normal"/>
    <w:link w:val="FooterChar"/>
    <w:rsid w:val="002E7E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E7EDB"/>
    <w:rPr>
      <w:sz w:val="24"/>
      <w:lang w:val="cs-CZ"/>
    </w:rPr>
  </w:style>
  <w:style w:type="paragraph" w:styleId="Revision">
    <w:name w:val="Revision"/>
    <w:hidden/>
    <w:uiPriority w:val="99"/>
    <w:semiHidden/>
    <w:rsid w:val="002E7EDB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ata.europa.eu/doi/10.2781/9705637" TargetMode="External"/><Relationship Id="rId2" Type="http://schemas.openxmlformats.org/officeDocument/2006/relationships/hyperlink" Target="http://data.europa.eu/eli/agree_internation/2017/37/oj" TargetMode="External"/><Relationship Id="rId1" Type="http://schemas.openxmlformats.org/officeDocument/2006/relationships/hyperlink" Target="http://data.europa.eu/eli/agree_internation/2016/2118/oj" TargetMode="External"/><Relationship Id="rId6" Type="http://schemas.openxmlformats.org/officeDocument/2006/relationships/hyperlink" Target="http://data.europa.eu/eli/reg/2022/1925/oj" TargetMode="External"/><Relationship Id="rId5" Type="http://schemas.openxmlformats.org/officeDocument/2006/relationships/hyperlink" Target="http://data.europa.eu/eli/reg/2022/2065/oj" TargetMode="External"/><Relationship Id="rId4" Type="http://schemas.openxmlformats.org/officeDocument/2006/relationships/hyperlink" Target="http://data.europa.eu/eli/dec/2024/287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4670</Words>
  <Characters>28850</Characters>
  <Application>Microsoft Office Word</Application>
  <DocSecurity>0</DocSecurity>
  <Lines>240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2026-03-11T14:12:00Z</dcterms:created>
  <dcterms:modified xsi:type="dcterms:W3CDTF">2026-03-11T14:12:00Z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A10-0035/2026</vt:lpwstr>
  </property>
  <property fmtid="{D5CDD505-2E9C-101B-9397-08002B2CF9AE}" pid="4" name="&lt;Type&gt;">
    <vt:lpwstr>RR</vt:lpwstr>
  </property>
</Properties>
</file>