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1346" w14:paraId="140D405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547D81" w14:textId="77777777" w:rsidR="00751A4A" w:rsidRPr="00291346" w:rsidRDefault="00546D3B" w:rsidP="0010095E">
            <w:pPr>
              <w:pStyle w:val="EPName"/>
            </w:pPr>
            <w:r w:rsidRPr="00291346">
              <w:t>Parlament Europejski</w:t>
            </w:r>
          </w:p>
          <w:p w14:paraId="025FB3BB" w14:textId="77777777" w:rsidR="00751A4A" w:rsidRPr="0029134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1346">
              <w:t>2024</w:t>
            </w:r>
            <w:r w:rsidR="00817416" w:rsidRPr="00291346">
              <w:t>-202</w:t>
            </w:r>
            <w:r w:rsidRPr="00291346">
              <w:t>9</w:t>
            </w:r>
          </w:p>
        </w:tc>
        <w:tc>
          <w:tcPr>
            <w:tcW w:w="2268" w:type="dxa"/>
            <w:shd w:val="clear" w:color="auto" w:fill="auto"/>
          </w:tcPr>
          <w:p w14:paraId="2C7EB5B2" w14:textId="77777777" w:rsidR="00751A4A" w:rsidRPr="00291346" w:rsidRDefault="00187494" w:rsidP="0010095E">
            <w:pPr>
              <w:pStyle w:val="EPLogo"/>
            </w:pPr>
            <w:r w:rsidRPr="00291346">
              <w:rPr>
                <w:noProof/>
                <w:lang w:eastAsia="ja-JP"/>
              </w:rPr>
              <w:drawing>
                <wp:inline distT="0" distB="0" distL="0" distR="0" wp14:anchorId="471A5CBE" wp14:editId="5964CE8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6914F4" w14:textId="77777777" w:rsidR="00D058B8" w:rsidRPr="00291346" w:rsidRDefault="00D058B8" w:rsidP="004C5D52">
      <w:pPr>
        <w:pStyle w:val="LineTop"/>
      </w:pPr>
    </w:p>
    <w:p w14:paraId="6955B0F3" w14:textId="77777777" w:rsidR="00680577" w:rsidRPr="00291346" w:rsidRDefault="00546D3B" w:rsidP="00680577">
      <w:pPr>
        <w:pStyle w:val="EPBodyTA1"/>
      </w:pPr>
      <w:r w:rsidRPr="00291346">
        <w:t>TEKSTY PRZYJĘTE</w:t>
      </w:r>
    </w:p>
    <w:p w14:paraId="17725217" w14:textId="77777777" w:rsidR="00D058B8" w:rsidRPr="00291346" w:rsidRDefault="00D058B8" w:rsidP="00D058B8">
      <w:pPr>
        <w:pStyle w:val="LineBottom"/>
      </w:pPr>
    </w:p>
    <w:p w14:paraId="17C400D8" w14:textId="1131B295" w:rsidR="00546D3B" w:rsidRPr="00291346" w:rsidRDefault="00546D3B" w:rsidP="00546D3B">
      <w:pPr>
        <w:pStyle w:val="ATHeading1"/>
      </w:pPr>
      <w:bookmarkStart w:id="0" w:name="TANumber"/>
      <w:r w:rsidRPr="00291346">
        <w:t>P10_</w:t>
      </w:r>
      <w:proofErr w:type="gramStart"/>
      <w:r w:rsidRPr="00291346">
        <w:t>TA(</w:t>
      </w:r>
      <w:proofErr w:type="gramEnd"/>
      <w:r w:rsidRPr="00291346">
        <w:t>2026)00</w:t>
      </w:r>
      <w:r w:rsidR="00146B5A">
        <w:t>78</w:t>
      </w:r>
      <w:bookmarkEnd w:id="0"/>
    </w:p>
    <w:p w14:paraId="556112B1" w14:textId="5F85F180" w:rsidR="00546D3B" w:rsidRPr="0003318B" w:rsidRDefault="0003318B" w:rsidP="0003318B">
      <w:pPr>
        <w:pStyle w:val="ATHeading2"/>
      </w:pPr>
      <w:r w:rsidRPr="0003318B">
        <w:t>Zalecenie w sprawie zacieśnionej współpracy UE–Kanada w świetle obecnej sytuacji geopolitycznej, w tym</w:t>
      </w:r>
      <w:r>
        <w:t xml:space="preserve"> </w:t>
      </w:r>
      <w:r w:rsidRPr="0003318B">
        <w:t>zagrożeń dla stabilności gospodarczej i suwerenności Kanady</w:t>
      </w:r>
    </w:p>
    <w:p w14:paraId="0817014C" w14:textId="77777777" w:rsidR="00546D3B" w:rsidRPr="00291346" w:rsidRDefault="00546D3B" w:rsidP="00546D3B">
      <w:pPr>
        <w:rPr>
          <w:i/>
          <w:vanish/>
        </w:rPr>
      </w:pPr>
      <w:r w:rsidRPr="00291346">
        <w:rPr>
          <w:i/>
        </w:rPr>
        <w:fldChar w:fldCharType="begin"/>
      </w:r>
      <w:r w:rsidRPr="00291346">
        <w:rPr>
          <w:i/>
        </w:rPr>
        <w:instrText xml:space="preserve"> TC"(</w:instrText>
      </w:r>
      <w:bookmarkStart w:id="1" w:name="DocNumber"/>
      <w:r w:rsidRPr="00291346">
        <w:rPr>
          <w:i/>
        </w:rPr>
        <w:instrText>A10-0035/2026</w:instrText>
      </w:r>
      <w:bookmarkEnd w:id="1"/>
      <w:r w:rsidRPr="00291346">
        <w:rPr>
          <w:i/>
        </w:rPr>
        <w:instrText xml:space="preserve"> - Sprawozdawca: Tobias </w:instrText>
      </w:r>
      <w:proofErr w:type="spellStart"/>
      <w:r w:rsidRPr="00291346">
        <w:rPr>
          <w:i/>
        </w:rPr>
        <w:instrText>Cremer</w:instrText>
      </w:r>
      <w:proofErr w:type="spellEnd"/>
      <w:r w:rsidRPr="00291346">
        <w:rPr>
          <w:i/>
        </w:rPr>
        <w:instrText xml:space="preserve">)"\l3 \n&gt; \* MERGEFORMAT </w:instrText>
      </w:r>
      <w:r w:rsidRPr="00291346">
        <w:rPr>
          <w:i/>
        </w:rPr>
        <w:fldChar w:fldCharType="end"/>
      </w:r>
    </w:p>
    <w:p w14:paraId="759970C9" w14:textId="77777777" w:rsidR="00546D3B" w:rsidRPr="00291346" w:rsidRDefault="00546D3B" w:rsidP="00546D3B">
      <w:pPr>
        <w:rPr>
          <w:vanish/>
        </w:rPr>
      </w:pPr>
      <w:bookmarkStart w:id="2" w:name="Commission"/>
      <w:r w:rsidRPr="00291346">
        <w:rPr>
          <w:vanish/>
        </w:rPr>
        <w:t>Komisja Spraw Zagranicznych</w:t>
      </w:r>
      <w:bookmarkEnd w:id="2"/>
    </w:p>
    <w:p w14:paraId="1A88C75B" w14:textId="77777777" w:rsidR="00546D3B" w:rsidRPr="00291346" w:rsidRDefault="00546D3B" w:rsidP="00546D3B">
      <w:pPr>
        <w:rPr>
          <w:vanish/>
        </w:rPr>
      </w:pPr>
      <w:bookmarkStart w:id="3" w:name="PE"/>
      <w:r w:rsidRPr="00291346">
        <w:rPr>
          <w:vanish/>
        </w:rPr>
        <w:t>PE778.092</w:t>
      </w:r>
      <w:bookmarkEnd w:id="3"/>
    </w:p>
    <w:p w14:paraId="0C54BD1D" w14:textId="59B6521A" w:rsidR="00546D3B" w:rsidRPr="00291346" w:rsidRDefault="00146B5A" w:rsidP="00546D3B">
      <w:pPr>
        <w:pStyle w:val="ATHeading3"/>
      </w:pPr>
      <w:bookmarkStart w:id="4" w:name="Sujet"/>
      <w:r>
        <w:t>Zalecenie</w:t>
      </w:r>
      <w:r w:rsidRPr="00291346">
        <w:t xml:space="preserve"> </w:t>
      </w:r>
      <w:r w:rsidR="00546D3B" w:rsidRPr="00291346">
        <w:t xml:space="preserve">Parlamentu Europejskiego </w:t>
      </w:r>
      <w:r w:rsidR="0003318B">
        <w:t>z dnia 11 marca 2026 r.</w:t>
      </w:r>
      <w:r w:rsidR="00546D3B" w:rsidRPr="00291346">
        <w:t xml:space="preserve">  dla Rady, Komisji i wiceprzewodniczącej Komisji / wysokiej przedstawicielki Unii do spraw zagranicznych i polityki bezpieczeństwa w sprawie zacieśnionej współpracy UE–Kanada w świetle obecnej sytuacji geopolitycznej, w tym zagrożeń dla stabilności gospodarczej i suwerenności Kanady</w:t>
      </w:r>
      <w:bookmarkEnd w:id="4"/>
      <w:r w:rsidR="00546D3B" w:rsidRPr="00291346">
        <w:t xml:space="preserve"> </w:t>
      </w:r>
      <w:bookmarkStart w:id="5" w:name="References"/>
      <w:r w:rsidR="00546D3B" w:rsidRPr="00291346">
        <w:t>(2025/2168(INI))</w:t>
      </w:r>
      <w:bookmarkEnd w:id="5"/>
    </w:p>
    <w:p w14:paraId="1EEEA9A2" w14:textId="77777777" w:rsidR="00DD48B4" w:rsidRPr="00291346" w:rsidRDefault="00DD48B4" w:rsidP="00DD48B4">
      <w:pPr>
        <w:pStyle w:val="EPComma"/>
      </w:pPr>
      <w:r w:rsidRPr="00291346">
        <w:rPr>
          <w:i/>
        </w:rPr>
        <w:t>Parlament Europejski</w:t>
      </w:r>
      <w:r w:rsidRPr="00291346">
        <w:t>,</w:t>
      </w:r>
    </w:p>
    <w:p w14:paraId="44EE70DC" w14:textId="77777777" w:rsidR="00DD48B4" w:rsidRPr="00291346" w:rsidRDefault="00DD48B4" w:rsidP="00DD48B4">
      <w:pPr>
        <w:pStyle w:val="NormalHanging12a"/>
      </w:pPr>
      <w:r w:rsidRPr="00291346">
        <w:t>–</w:t>
      </w:r>
      <w:r w:rsidRPr="00291346">
        <w:tab/>
        <w:t>uwzględniając umowę o partnerstwie strategicznym między Unią Europejską i jej państwami członkowskimi, z jednej strony, a Kanadą, z drugiej strony</w:t>
      </w:r>
      <w:r w:rsidRPr="00291346">
        <w:rPr>
          <w:rStyle w:val="FootnoteReference"/>
        </w:rPr>
        <w:footnoteReference w:id="1"/>
      </w:r>
      <w:r w:rsidRPr="00291346">
        <w:t>, podpisaną 30 października 2016 r. i tymczasowo stosowaną od 1 kwietnia 2017 r.,</w:t>
      </w:r>
    </w:p>
    <w:p w14:paraId="0A6C8CEE" w14:textId="77777777" w:rsidR="00DD48B4" w:rsidRPr="00291346" w:rsidRDefault="00DD48B4" w:rsidP="00DD48B4">
      <w:pPr>
        <w:pStyle w:val="NormalHanging12a"/>
      </w:pPr>
      <w:r w:rsidRPr="00291346">
        <w:t>–</w:t>
      </w:r>
      <w:r w:rsidRPr="00291346">
        <w:tab/>
        <w:t>uwzględniając kompleksową umowę gospodarczo-handlową (CETA) między Kanadą, z jednej strony, a Unią Europejską i jej państwami członkowskimi, z drugiej strony</w:t>
      </w:r>
      <w:r w:rsidRPr="00291346">
        <w:rPr>
          <w:rStyle w:val="FootnoteReference"/>
        </w:rPr>
        <w:footnoteReference w:id="2"/>
      </w:r>
      <w:r w:rsidRPr="00291346">
        <w:t>, która tymczasowo weszła w życie 21 września 2017 r.,</w:t>
      </w:r>
    </w:p>
    <w:p w14:paraId="0167343F" w14:textId="77777777" w:rsidR="00DD48B4" w:rsidRPr="00291346" w:rsidRDefault="00DD48B4" w:rsidP="00DD48B4">
      <w:pPr>
        <w:pStyle w:val="NormalHanging12a"/>
      </w:pPr>
      <w:r w:rsidRPr="00291346">
        <w:t>–</w:t>
      </w:r>
      <w:r w:rsidRPr="00291346">
        <w:tab/>
        <w:t>uwzględniając strategiczne partnerstwo między UE i Kanadą w sprawie surowców krytycznych zainicjowane 21 czerwca 2021 r.,</w:t>
      </w:r>
    </w:p>
    <w:p w14:paraId="6F4C07AF" w14:textId="77777777" w:rsidR="00DD48B4" w:rsidRPr="00291346" w:rsidRDefault="00DD48B4" w:rsidP="00DD48B4">
      <w:pPr>
        <w:pStyle w:val="NormalHanging12a"/>
      </w:pPr>
      <w:r w:rsidRPr="00291346">
        <w:t>–</w:t>
      </w:r>
      <w:r w:rsidRPr="00291346">
        <w:tab/>
        <w:t>uwzględniając zapoczątkowane 23 listopada 2023 r. między UE i Kanadą partnerstwo cyfrowe i zielony sojusz,</w:t>
      </w:r>
    </w:p>
    <w:p w14:paraId="52CFCA9F" w14:textId="77777777" w:rsidR="00DD48B4" w:rsidRPr="00291346" w:rsidRDefault="00DD48B4" w:rsidP="00DD48B4">
      <w:pPr>
        <w:pStyle w:val="NormalHanging12a"/>
      </w:pPr>
      <w:r w:rsidRPr="00291346">
        <w:t>–</w:t>
      </w:r>
      <w:r w:rsidRPr="00291346">
        <w:tab/>
        <w:t>uwzględniając wspólne oświadczenie przywódców Unii Europejskiej i Kanady zatytułowane „</w:t>
      </w:r>
      <w:proofErr w:type="spellStart"/>
      <w:r w:rsidRPr="00291346">
        <w:t>Enduring</w:t>
      </w:r>
      <w:proofErr w:type="spellEnd"/>
      <w:r w:rsidRPr="00291346">
        <w:t xml:space="preserve"> </w:t>
      </w:r>
      <w:proofErr w:type="spellStart"/>
      <w:r w:rsidRPr="00291346">
        <w:t>Partnership</w:t>
      </w:r>
      <w:proofErr w:type="spellEnd"/>
      <w:r w:rsidRPr="00291346">
        <w:t xml:space="preserve">, </w:t>
      </w:r>
      <w:proofErr w:type="spellStart"/>
      <w:r w:rsidRPr="00291346">
        <w:t>Ambitious</w:t>
      </w:r>
      <w:proofErr w:type="spellEnd"/>
      <w:r w:rsidRPr="00291346">
        <w:t xml:space="preserve"> Agenda” [Trwałe partnerstwo, ambitny program], przyjęte na szczycie UE–Kanada, który odbył się w Brukseli 23 czerwca 2025 r.,</w:t>
      </w:r>
    </w:p>
    <w:p w14:paraId="089D197F" w14:textId="77777777" w:rsidR="00DD48B4" w:rsidRPr="00291346" w:rsidRDefault="00DD48B4" w:rsidP="00DD48B4">
      <w:pPr>
        <w:pStyle w:val="NormalHanging12a"/>
      </w:pPr>
      <w:r w:rsidRPr="00291346">
        <w:lastRenderedPageBreak/>
        <w:t>–</w:t>
      </w:r>
      <w:r w:rsidRPr="00291346">
        <w:tab/>
        <w:t>uwzględniając partnerstwo w dziedzinie bezpieczeństwa i obrony między Unią Europejską a Kanadą podpisane na szczycie UE–Kanada 23 czerwca 2025 r.,</w:t>
      </w:r>
    </w:p>
    <w:p w14:paraId="0DE7C78D" w14:textId="77777777" w:rsidR="00DD48B4" w:rsidRPr="00291346" w:rsidRDefault="00DD48B4" w:rsidP="00DD48B4">
      <w:pPr>
        <w:pStyle w:val="NormalHanging12a"/>
      </w:pPr>
      <w:r w:rsidRPr="00291346">
        <w:t>–</w:t>
      </w:r>
      <w:r w:rsidRPr="00291346">
        <w:tab/>
        <w:t>uwzględniając deklarację ze szczytu NATO w Hadze z 25 czerwca 2025 r.,</w:t>
      </w:r>
    </w:p>
    <w:p w14:paraId="0FDF185C" w14:textId="69B12F22" w:rsidR="00DD48B4" w:rsidRPr="00291346" w:rsidRDefault="00DD48B4" w:rsidP="00DD48B4">
      <w:pPr>
        <w:pStyle w:val="NormalHanging12a"/>
      </w:pPr>
      <w:r w:rsidRPr="00291346">
        <w:t>–</w:t>
      </w:r>
      <w:r w:rsidRPr="00291346">
        <w:tab/>
        <w:t xml:space="preserve">uwzględniając konkluzje Rady Europejskiej z </w:t>
      </w:r>
      <w:r w:rsidR="0003318B">
        <w:t xml:space="preserve">dnia </w:t>
      </w:r>
      <w:r w:rsidRPr="00291346">
        <w:t>26 czerwca 2025 r.,</w:t>
      </w:r>
    </w:p>
    <w:p w14:paraId="7CB6345F" w14:textId="77777777" w:rsidR="00DD48B4" w:rsidRPr="00291346" w:rsidRDefault="00DD48B4" w:rsidP="00DD48B4">
      <w:pPr>
        <w:pStyle w:val="NormalHanging12a"/>
      </w:pPr>
      <w:r w:rsidRPr="00291346">
        <w:t>–</w:t>
      </w:r>
      <w:r w:rsidRPr="00291346">
        <w:tab/>
        <w:t>uwzględniając sojusz grupy G-7 pod przewodnictwem Kanady w sprawie produkcji minerałów krytycznych, ogłoszony 17 czerwca 2025 r. i zainicjowany 31 października 2025 r.,</w:t>
      </w:r>
    </w:p>
    <w:p w14:paraId="75040E21" w14:textId="017443C1" w:rsidR="00DD48B4" w:rsidRPr="00291346" w:rsidRDefault="00DD48B4" w:rsidP="00DD48B4">
      <w:pPr>
        <w:pStyle w:val="NormalHanging12a"/>
      </w:pPr>
      <w:r w:rsidRPr="00291346">
        <w:t>–</w:t>
      </w:r>
      <w:r w:rsidRPr="00291346">
        <w:tab/>
        <w:t xml:space="preserve">uwzględniając wspólną deklarację z </w:t>
      </w:r>
      <w:r w:rsidR="0003318B">
        <w:t xml:space="preserve">dnia </w:t>
      </w:r>
      <w:r w:rsidRPr="00291346">
        <w:t>12 listopada 2025 r. przyjętą po czwartym posiedzeniu wspólnego komitetu ministerialnego UE–Kanada,</w:t>
      </w:r>
    </w:p>
    <w:p w14:paraId="379EFE4D" w14:textId="77777777" w:rsidR="00DD48B4" w:rsidRPr="00291346" w:rsidRDefault="00DD48B4" w:rsidP="00DD48B4">
      <w:pPr>
        <w:pStyle w:val="NormalHanging12a"/>
      </w:pPr>
      <w:r w:rsidRPr="00291346">
        <w:t>–</w:t>
      </w:r>
      <w:r w:rsidRPr="00291346">
        <w:tab/>
        <w:t>uwzględniając Deklarację ONZ o prawach ludności rdzennej przyjętą 13 września 2007 r.,</w:t>
      </w:r>
    </w:p>
    <w:p w14:paraId="698EA29E" w14:textId="77777777" w:rsidR="00DD48B4" w:rsidRPr="00291346" w:rsidRDefault="00DD48B4" w:rsidP="00DD48B4">
      <w:pPr>
        <w:pStyle w:val="NormalHanging12a"/>
      </w:pPr>
      <w:r w:rsidRPr="00291346">
        <w:t>–</w:t>
      </w:r>
      <w:r w:rsidRPr="00291346">
        <w:tab/>
        <w:t>uwzględniając globalne ramy różnorodności biologicznej z Kunmingu/Montrealu oparte na Konwencji o różnorodności biologicznej,</w:t>
      </w:r>
    </w:p>
    <w:p w14:paraId="20016EA7" w14:textId="49F1231E" w:rsidR="00DD48B4" w:rsidRPr="00291346" w:rsidRDefault="00DD48B4" w:rsidP="00DD48B4">
      <w:pPr>
        <w:pStyle w:val="NormalHanging12a"/>
      </w:pPr>
      <w:r w:rsidRPr="00291346">
        <w:t>–</w:t>
      </w:r>
      <w:r w:rsidRPr="00291346">
        <w:tab/>
        <w:t xml:space="preserve">uwzględniając swoje zalecenie z </w:t>
      </w:r>
      <w:r w:rsidR="0003318B">
        <w:t xml:space="preserve">dnia </w:t>
      </w:r>
      <w:r w:rsidRPr="00291346">
        <w:t>26 listopada 2025 r. dla Rady, Komisji oraz wiceprzewodniczącej Komisji / wysokiej przedstawicielki Unii do spraw zagranicznych i polityki bezpieczeństwa w sprawie strategii dyplomatycznej UE i współpracy geopolitycznej w Arktyce,</w:t>
      </w:r>
    </w:p>
    <w:p w14:paraId="71FEBBAE" w14:textId="77777777" w:rsidR="00DD48B4" w:rsidRPr="00291346" w:rsidRDefault="00DD48B4" w:rsidP="00DD48B4">
      <w:pPr>
        <w:pStyle w:val="NormalHanging12a"/>
      </w:pPr>
      <w:r w:rsidRPr="00291346">
        <w:t>–</w:t>
      </w:r>
      <w:r w:rsidRPr="00291346">
        <w:tab/>
        <w:t>uwzględniając art. 121 Regulaminu,</w:t>
      </w:r>
    </w:p>
    <w:p w14:paraId="5472F932" w14:textId="77777777" w:rsidR="00DD48B4" w:rsidRPr="00291346" w:rsidRDefault="00DD48B4" w:rsidP="00DD48B4">
      <w:pPr>
        <w:pStyle w:val="NormalHanging12a"/>
      </w:pPr>
      <w:r w:rsidRPr="00291346">
        <w:t>–</w:t>
      </w:r>
      <w:r w:rsidRPr="00291346">
        <w:tab/>
        <w:t>uwzględniając opinię przedstawioną przez Komisję Handlu Międzynarodowego,</w:t>
      </w:r>
    </w:p>
    <w:p w14:paraId="59CEDE16" w14:textId="77777777" w:rsidR="00DD48B4" w:rsidRPr="00291346" w:rsidRDefault="00DD48B4" w:rsidP="00DD48B4">
      <w:pPr>
        <w:pStyle w:val="NormalHanging12a"/>
      </w:pPr>
      <w:r w:rsidRPr="00291346">
        <w:t>–</w:t>
      </w:r>
      <w:r w:rsidRPr="00291346">
        <w:tab/>
        <w:t>uwzględniając sprawozdanie Komisji Spraw Zagranicznych (A10-0035/2026),</w:t>
      </w:r>
    </w:p>
    <w:p w14:paraId="702AD38C" w14:textId="77777777" w:rsidR="00DD48B4" w:rsidRPr="00291346" w:rsidRDefault="00DD48B4" w:rsidP="00DD48B4">
      <w:pPr>
        <w:pStyle w:val="NormalHanging12a"/>
      </w:pPr>
      <w:r w:rsidRPr="00291346">
        <w:t>A.</w:t>
      </w:r>
      <w:r w:rsidRPr="00291346">
        <w:tab/>
        <w:t>mając na uwadze, że w geopolitycznym kontekście nasilającej się rywalizacji wielkich mocarstw, niestabilności politycznej, rozdrobnienia globalnych łańcuchów dostaw, rosnącego protekcjonizmu, wykorzystywania przepływów handlowych jako broni, podatności na zagrożenia dla bezpieczeństwa gospodarczego i przyspieszającej zmiany klimatu UE musi pogłębić współpracę z partnerami o podobnych poglądach, takimi jak Kanada; mając na uwadze, że UE i Kanada są wspólnie coraz bardziej zainteresowane pogłębieniem współpracy, zacieśnieniem więzi gospodarczych i utrzymaniem międzynarodowego porządku opartego na zasadach oraz zajmują wspólne stanowisko w odniesieniu do praktycznie wszystkich regionów świata; mając na uwadze, że UE pozostaje niezmiennie niezawodnym i lojalnym sojusznikiem Kanady;</w:t>
      </w:r>
    </w:p>
    <w:p w14:paraId="36028EBB" w14:textId="77777777" w:rsidR="00DD48B4" w:rsidRPr="00291346" w:rsidRDefault="00DD48B4" w:rsidP="00DD48B4">
      <w:pPr>
        <w:pStyle w:val="NormalHanging12a"/>
      </w:pPr>
      <w:r w:rsidRPr="00291346">
        <w:t>B.</w:t>
      </w:r>
      <w:r w:rsidRPr="00291346">
        <w:tab/>
        <w:t>mając na uwadze, że UE i Kanada są partnerami strategicznymi, których łączy przekonanie, że demokracja, praworządność, prawa człowieka i współpraca wielostronna, szczególnie w dziedzinach bezpieczeństwa i handlu, przynoszą korzyści kanadyjskiemu i europejskiemu społeczeństwu oraz społeczności międzynarodowej, a zatem należy je chronić globalnymi sojuszami partnerów o podobnych poglądach;</w:t>
      </w:r>
    </w:p>
    <w:p w14:paraId="1B2A72EE" w14:textId="77777777" w:rsidR="00DD48B4" w:rsidRPr="00291346" w:rsidRDefault="00DD48B4" w:rsidP="00DD48B4">
      <w:pPr>
        <w:pStyle w:val="NormalHanging12a"/>
      </w:pPr>
      <w:r w:rsidRPr="00291346">
        <w:t>C.</w:t>
      </w:r>
      <w:r w:rsidRPr="00291346">
        <w:tab/>
        <w:t xml:space="preserve">mając na uwadze, że partnerstwo między UE a Kanadą stało się kluczowe dla obrony oraz utrzymania multilateralizmu i demokracji na całym świecie w czasach, gdy te utrwalone od dawna zasady i osiągnięcia są nieustannie i w coraz większym stopniu zagrożone; mając na uwadze, że Kanada i wszystkie państwa członkowskie UE są </w:t>
      </w:r>
      <w:r w:rsidRPr="00291346">
        <w:lastRenderedPageBreak/>
        <w:t>stronami Układu o nierozprzestrzenianiu broni jądrowej;</w:t>
      </w:r>
    </w:p>
    <w:p w14:paraId="4687C384" w14:textId="77777777" w:rsidR="00DD48B4" w:rsidRPr="00291346" w:rsidRDefault="00DD48B4" w:rsidP="00DD48B4">
      <w:pPr>
        <w:pStyle w:val="NormalHanging12a"/>
      </w:pPr>
      <w:r w:rsidRPr="00291346">
        <w:t>D.</w:t>
      </w:r>
      <w:r w:rsidRPr="00291346">
        <w:tab/>
        <w:t>mając na uwadze długotrwałą współpracę między UE a Kanadą w ramach Światowej Organizacji Handlu (WTO), a także zobowiązanie do współpracy na rzecz stabilizacji i wzmocnienia międzynarodowego systemu handlowego opartego na zasadach, którego istnienie jest obecnie zagrożone, modernizacji WTO i ożywienia jej systemu rozstrzygania sporów, w tym za pośrednictwem tymczasowego arbitrażu odwoławczego;</w:t>
      </w:r>
    </w:p>
    <w:p w14:paraId="61647B7D" w14:textId="77777777" w:rsidR="00DD48B4" w:rsidRPr="00291346" w:rsidRDefault="00DD48B4" w:rsidP="00DD48B4">
      <w:pPr>
        <w:pStyle w:val="NormalHanging12a"/>
      </w:pPr>
      <w:r w:rsidRPr="00291346">
        <w:t>E.</w:t>
      </w:r>
      <w:r w:rsidRPr="00291346">
        <w:tab/>
        <w:t>mając na uwadze, że skuteczna współpraca między UE a Kanadą, oparta na wspólnym przywództwie i odpowiedzialności, jest kluczowa, aby sprostać globalnym wyzwaniom, takim jak wojna Rosji przeciwko Ukrainie, wojna hybrydowa Rosji przeciwko demokratycznym społeczeństwom, geopolityczna konkurencja w Arktyce, coraz bardziej asertywne poczynania i wymuszenia ekonomiczne ze strony Chin wykraczające poza ramy ustanowione na szczeblu międzynarodowym, coraz większa niestabilność polityki zagranicznej USA, zmiana klimatu i sytuacja na Bliskim Wschodzie;</w:t>
      </w:r>
    </w:p>
    <w:p w14:paraId="66E250C3" w14:textId="77777777" w:rsidR="00DD48B4" w:rsidRPr="00291346" w:rsidRDefault="00DD48B4" w:rsidP="00DD48B4">
      <w:pPr>
        <w:pStyle w:val="NormalHanging12a"/>
      </w:pPr>
      <w:r w:rsidRPr="00291346">
        <w:t>F.</w:t>
      </w:r>
      <w:r w:rsidRPr="00291346">
        <w:tab/>
        <w:t>mając na uwadze, że współpraca między UE a Kanadą w istniejących ramach ma zasadnicze znaczenie dla zachowania i zwiększenia dobrobytu obu stron; mając na uwadze, że przykłady tej istotnej współpracy obejmują współpracę handlową i gospodarczą oraz wspólne ambicje w zakresie sprostania wyzwaniom takim jak transformacja ekologiczna i cyfrowa, sztuczna inteligencja (AI) i inne powstające technologie, bezpieczeństwo, w tym współpraca wojskowa, zwalczanie terroryzmu i przestępczości zorganizowanej, a także infrastruktura, energia, zdrowie i bezpieczeństwo żywnościowe;</w:t>
      </w:r>
    </w:p>
    <w:p w14:paraId="13412754" w14:textId="77777777" w:rsidR="00DD48B4" w:rsidRPr="00291346" w:rsidRDefault="00DD48B4" w:rsidP="00DD48B4">
      <w:pPr>
        <w:pStyle w:val="NormalHanging12a"/>
      </w:pPr>
      <w:r w:rsidRPr="00291346">
        <w:t>G.</w:t>
      </w:r>
      <w:r w:rsidRPr="00291346">
        <w:tab/>
        <w:t>mając na uwadze, że 1 grudnia 2025 r. Kanada i UE pomyślnie zakończyły negocjacje w sprawie umowy o uczestnictwie Kanady w instrumencie na rzecz zwiększenia bezpieczeństwa Europy (SAFE), bazując tym samym na partnerstwie w dziedzinie bezpieczeństwa i obrony podpisanym na szczycie UE-Kanada w czerwcu 2025 r.;</w:t>
      </w:r>
    </w:p>
    <w:p w14:paraId="458E76DD" w14:textId="77777777" w:rsidR="00DD48B4" w:rsidRPr="00291346" w:rsidRDefault="00DD48B4" w:rsidP="00DD48B4">
      <w:pPr>
        <w:pStyle w:val="NormalHanging12a"/>
      </w:pPr>
      <w:r w:rsidRPr="00291346">
        <w:t>H.</w:t>
      </w:r>
      <w:r w:rsidRPr="00291346">
        <w:tab/>
        <w:t>mając na uwadze, że ocena CETA jest pozytywna; dzięki tej umowie handel towarami i usługami między UE a Kanadą znacząco wzrósł o ok. 63 % i 75,6 mld EUR i zniesiono 99 % pozycji taryfowych, a ponadto miała ona pozytywny bezpośredni wpływ na małe i średnie przedsiębiorstwa (MŚP) zarówno w UE, jak i w Kanadzie, które coraz liczniej angażują się w handel dwustronny; mając na uwadze, że początkowe obawy dotyczące zalania rynku europejskiego kanadyjską wołowiną nie urzeczywistniły się – w 2023 r. wykorzystano jedynie około 2 % rocznego kontyngentu na wołowinę ustanowionego na mocy CETA;</w:t>
      </w:r>
    </w:p>
    <w:p w14:paraId="0572E2B7" w14:textId="77777777" w:rsidR="00DD48B4" w:rsidRPr="00291346" w:rsidRDefault="00DD48B4" w:rsidP="00DD48B4">
      <w:pPr>
        <w:pStyle w:val="NormalHanging12a"/>
      </w:pPr>
      <w:r w:rsidRPr="00291346">
        <w:t>I.</w:t>
      </w:r>
      <w:r w:rsidRPr="00291346">
        <w:tab/>
        <w:t xml:space="preserve">mając na uwadze, że nadal występują trudności w egzekwowaniu CETA w niektórych obszarach, takich jak współpraca regulacyjna, rozdział dotyczący handlu i zrównoważonego rozwoju oraz przejrzysty dostęp do kompletnych danych dotyczących </w:t>
      </w:r>
      <w:r w:rsidRPr="00291346">
        <w:lastRenderedPageBreak/>
        <w:t>zamówień publicznych</w:t>
      </w:r>
      <w:r w:rsidRPr="00291346">
        <w:rPr>
          <w:rStyle w:val="FootnoteReference"/>
          <w:bCs/>
          <w:iCs/>
        </w:rPr>
        <w:footnoteReference w:id="3"/>
      </w:r>
      <w:r w:rsidRPr="00291346">
        <w:t>;</w:t>
      </w:r>
    </w:p>
    <w:p w14:paraId="23704592" w14:textId="77777777" w:rsidR="00DD48B4" w:rsidRPr="00291346" w:rsidRDefault="00DD48B4" w:rsidP="00DD48B4">
      <w:pPr>
        <w:pStyle w:val="NormalHanging12a"/>
      </w:pPr>
      <w:r w:rsidRPr="00291346">
        <w:t>J.</w:t>
      </w:r>
      <w:r w:rsidRPr="00291346">
        <w:tab/>
        <w:t>mając na uwadze, że znajdujące się w CETA rozdziały dotyczące handlu elektronicznego, handlu i zrównoważonego rozwoju oraz postanowienie dotyczące ochrony inwestorów są nieaktualne i nie odzwierciedlają obecnej polityki Komisji; mając na uwadze, że rząd Kanady przedstawił wnioski mające na celu poprawę egzekwowania postanowień CETA dotyczących handlu i zrównoważonego rozwoju;</w:t>
      </w:r>
    </w:p>
    <w:p w14:paraId="2529C9A2" w14:textId="77777777" w:rsidR="00DD48B4" w:rsidRPr="00291346" w:rsidRDefault="00DD48B4" w:rsidP="00DD48B4">
      <w:pPr>
        <w:pStyle w:val="NormalHanging12a"/>
      </w:pPr>
      <w:r w:rsidRPr="00291346">
        <w:t>K.</w:t>
      </w:r>
      <w:r w:rsidRPr="00291346">
        <w:tab/>
        <w:t>mając na uwadze, że CETA zapewnia ramy ułatwiające wzajemne uznawanie kwalifikacji w zawodach regulowanych, np. architektów, księgowych i inżynierów;</w:t>
      </w:r>
    </w:p>
    <w:p w14:paraId="4F290C4A" w14:textId="77777777" w:rsidR="00DD48B4" w:rsidRPr="00291346" w:rsidRDefault="00DD48B4" w:rsidP="00DD48B4">
      <w:pPr>
        <w:pStyle w:val="NormalHanging12a"/>
      </w:pPr>
      <w:r w:rsidRPr="00291346">
        <w:t>L.</w:t>
      </w:r>
      <w:r w:rsidRPr="00291346">
        <w:tab/>
        <w:t>mając na uwadze, że ludność rdzenna w Kanadzie posiada niezastąpioną wiedzę tradycyjną, pełni funkcję podstawowych strażników ekosystemów i już jest nieproporcjonalnie dotknięta zmianą klimatu, marginalizacją społeczno-gospodarczą i degradacją środowiska; mając na uwadze, że zarówno Kanada, jak i UE poparły Deklarację ONZ o prawach ludności rdzennej, zawierającą zobowiązanie do konsultacji i współpracy w dobrej wierze z ludnością rdzenną w celu uzyskania jej dobrowolnej, uprzedniej i świadomej zgody przed zatwierdzeniem jakiegokolwiek projektu mającego wpływ na jej ziemie, terytoria lub zasoby;</w:t>
      </w:r>
    </w:p>
    <w:p w14:paraId="74C954D0" w14:textId="77777777" w:rsidR="00DD48B4" w:rsidRPr="00291346" w:rsidRDefault="00DD48B4" w:rsidP="00DD48B4">
      <w:pPr>
        <w:pStyle w:val="NormalHanging12a"/>
      </w:pPr>
      <w:r w:rsidRPr="00291346">
        <w:t>M.</w:t>
      </w:r>
      <w:r w:rsidRPr="00291346">
        <w:tab/>
        <w:t>mając na uwadze, że dzięki swojemu zobowiązaniu do zapewnienia Ukrainie długoterminowego wsparcia i silnemu przywództwu podczas prezydencji G-7 Kanada pokazała, że jest strategicznym partnerem UE i wiarygodnym sojusznikiem NATO;</w:t>
      </w:r>
    </w:p>
    <w:p w14:paraId="6AC798E9" w14:textId="77777777" w:rsidR="00DD48B4" w:rsidRPr="00291346" w:rsidRDefault="00DD48B4" w:rsidP="00DD48B4">
      <w:pPr>
        <w:pStyle w:val="NormalHanging12a"/>
      </w:pPr>
      <w:r w:rsidRPr="00291346">
        <w:t>N.</w:t>
      </w:r>
      <w:r w:rsidRPr="00291346">
        <w:tab/>
        <w:t>mając na uwadze, że należy w pełni wykorzystać potencjał istniejących instrumentów współpracy między UE a Kanadą oraz zdecydowanie zacieśnić partnerstwo UE–Kanada, tak aby UE i Kanada mogły wspólnie przeciwstawić się rosyjskiej wojnie przeciwko Ukrainie, rewizjonizmowi podmiotów geopolitycznych, eskalacji hybrydowych kampanii wojennych przeciwko demokratycznym społeczeństwom, zmianie klimatu i wyzwaniom dla światowego porządku handlowego;</w:t>
      </w:r>
    </w:p>
    <w:p w14:paraId="06420B79" w14:textId="77777777" w:rsidR="00DD48B4" w:rsidRPr="00291346" w:rsidRDefault="00DD48B4" w:rsidP="00DD48B4">
      <w:pPr>
        <w:pStyle w:val="NormalHanging12a"/>
      </w:pPr>
      <w:r w:rsidRPr="00291346">
        <w:t>1.</w:t>
      </w:r>
      <w:r w:rsidRPr="00291346">
        <w:tab/>
        <w:t>zaleca Radzie, Komisji i wiceprzewodniczącej Komisji / wysokiej przedstawicielce Unii do spraw zagranicznych i polityki bezpieczeństwa:</w:t>
      </w:r>
    </w:p>
    <w:p w14:paraId="2EBED8EE" w14:textId="77777777" w:rsidR="00DD48B4" w:rsidRPr="00291346" w:rsidRDefault="00DD48B4" w:rsidP="0003318B">
      <w:pPr>
        <w:pStyle w:val="NormalHanging12a"/>
        <w:ind w:firstLine="0"/>
        <w:rPr>
          <w:b/>
          <w:bCs/>
          <w:i/>
          <w:iCs/>
        </w:rPr>
      </w:pPr>
      <w:r w:rsidRPr="00291346">
        <w:rPr>
          <w:b/>
          <w:i/>
        </w:rPr>
        <w:t>Partnerstwo między UE a Kanadą: ramy instytucjonalne</w:t>
      </w:r>
    </w:p>
    <w:p w14:paraId="6A94F03C" w14:textId="77777777" w:rsidR="00DD48B4" w:rsidRPr="00291346" w:rsidRDefault="00DD48B4" w:rsidP="0003318B">
      <w:pPr>
        <w:pStyle w:val="NormalHanging12a"/>
        <w:ind w:left="1134"/>
      </w:pPr>
      <w:r w:rsidRPr="00291346">
        <w:t>a)</w:t>
      </w:r>
      <w:r w:rsidRPr="00291346">
        <w:tab/>
        <w:t>traktować obecną sytuację zerwania z porządkiem międzynarodowym i wspólne wyzwania jako okazję do pełnego wykorzystania potencjału partnerstwa strategicznego UE–Kanada i zacieśnienia relacji w kontekście realizacji wspólnych interesów i poszanowania wspólnych wartości w szybko zmieniającym się środowisku globalnym;</w:t>
      </w:r>
    </w:p>
    <w:p w14:paraId="6ED11C77" w14:textId="36F7B662" w:rsidR="00DD48B4" w:rsidRPr="00291346" w:rsidRDefault="00DD48B4" w:rsidP="0003318B">
      <w:pPr>
        <w:pStyle w:val="NormalHanging12a"/>
        <w:ind w:left="1134"/>
      </w:pPr>
      <w:r w:rsidRPr="00291346">
        <w:t>b)</w:t>
      </w:r>
      <w:r w:rsidRPr="00291346">
        <w:tab/>
        <w:t xml:space="preserve">zmaksymalizować wysiłki na rzecz szybkiego wdrożenia wniosków ze szczytu UE–Kanada z </w:t>
      </w:r>
      <w:r w:rsidR="0003318B">
        <w:t xml:space="preserve">dnia </w:t>
      </w:r>
      <w:r w:rsidRPr="00291346">
        <w:t xml:space="preserve">23 czerwca 2025 r. poprzez podjęcie konkretnych kroków, aby </w:t>
      </w:r>
      <w:r w:rsidRPr="00291346">
        <w:lastRenderedPageBreak/>
        <w:t>osiągnąć wymierne postępy w obszarach określonych we wspólnym oświadczeniu oraz w partnerstwie w dziedzinie bezpieczeństwa i obrony, w tym poprzez wykorzystanie udziału Kanady, jako jedynego państwa pozaeuropejskiego, w instrumencie SAFE w celu ustanowienia jak najściślejszej współpracy w zakresie obrony w świecie narastającej rywalizacji wielkich mocarstw;</w:t>
      </w:r>
    </w:p>
    <w:p w14:paraId="673DE5EF" w14:textId="77777777" w:rsidR="00DD48B4" w:rsidRPr="00291346" w:rsidRDefault="00DD48B4" w:rsidP="0003318B">
      <w:pPr>
        <w:pStyle w:val="NormalHanging12a"/>
        <w:ind w:left="1134"/>
        <w:rPr>
          <w:szCs w:val="24"/>
        </w:rPr>
      </w:pPr>
      <w:r w:rsidRPr="00291346">
        <w:t>c)</w:t>
      </w:r>
      <w:r w:rsidRPr="00291346">
        <w:tab/>
        <w:t xml:space="preserve">zintensyfikować dialogi wielopoziomowe, w tym szczyty i wspólne inicjatywy, takie jak misje handlowe i inwestycyjne, a także formaty długoterminowej współpracy na szczeblu roboczym poprzez wyznaczenie specjalnych urzędników ds. projektów na potrzeby poszczególnych obszarów zadaniowych, tak aby pogłębić współpracę i znaleźć ścieżki strategicznego zaangażowania między Kanadą a UE we wspólne stawianie czoła globalnym wyzwaniom, takim jak AI, energia, zmiana klimatu i </w:t>
      </w:r>
      <w:proofErr w:type="spellStart"/>
      <w:r w:rsidRPr="00291346">
        <w:t>cyberbezpieczeństwo</w:t>
      </w:r>
      <w:proofErr w:type="spellEnd"/>
      <w:r w:rsidRPr="00291346">
        <w:t xml:space="preserve">, zwłaszcza w czasie, gdy międzynarodowy porządek oparty na zasadach znajduje się pod coraz większą presją; dopilnować, aby, w stosownych przypadkach, w dialogach tych uczestniczyli społeczeństwo obywatelskie i zainteresowane strony posiadające odpowiednią wiedzę specjalistyczną; </w:t>
      </w:r>
    </w:p>
    <w:p w14:paraId="4CAAE075" w14:textId="77777777" w:rsidR="00DD48B4" w:rsidRPr="00291346" w:rsidRDefault="00DD48B4" w:rsidP="00146B5A">
      <w:pPr>
        <w:pStyle w:val="NormalHanging12a"/>
        <w:ind w:left="1134"/>
        <w:rPr>
          <w:szCs w:val="24"/>
        </w:rPr>
      </w:pPr>
      <w:r w:rsidRPr="00291346">
        <w:t>d)</w:t>
      </w:r>
      <w:r w:rsidRPr="00291346">
        <w:tab/>
        <w:t>propagować większą rolę dialogu parlamentarnego w partnerstwie strategicznym i zapewnić regularną dwustronną wymianę parlamentarną oraz współpracę w kluczowych kwestiach;</w:t>
      </w:r>
    </w:p>
    <w:p w14:paraId="5271D227" w14:textId="77777777" w:rsidR="00DD48B4" w:rsidRPr="00291346" w:rsidRDefault="00DD48B4" w:rsidP="00146B5A">
      <w:pPr>
        <w:pStyle w:val="NormalHanging12a"/>
        <w:ind w:left="1134"/>
      </w:pPr>
      <w:r w:rsidRPr="00291346">
        <w:t>e)</w:t>
      </w:r>
      <w:r w:rsidRPr="00291346">
        <w:tab/>
        <w:t>zwrócić uwagę, że Kanada ma prawny status obserwatora w Radzie Europy; zaapelować o zacieśnienie współpracy na szczeblu parlamentarnym oraz wzywa Radę Europy do regularnego zapraszania Kanady na posiedzenia międzyparlamentarne w charakterze obserwatora;</w:t>
      </w:r>
    </w:p>
    <w:p w14:paraId="7398005A" w14:textId="77777777" w:rsidR="00DD48B4" w:rsidRPr="00291346" w:rsidRDefault="00DD48B4" w:rsidP="0003318B">
      <w:pPr>
        <w:pStyle w:val="NormalHanging12a"/>
        <w:ind w:firstLine="0"/>
        <w:rPr>
          <w:b/>
          <w:i/>
          <w:iCs/>
          <w:szCs w:val="24"/>
        </w:rPr>
      </w:pPr>
      <w:r w:rsidRPr="00291346">
        <w:rPr>
          <w:b/>
          <w:i/>
        </w:rPr>
        <w:t>Współpraca w zakresie polityki zagranicznej i bezpieczeństwa</w:t>
      </w:r>
    </w:p>
    <w:p w14:paraId="295262E6" w14:textId="77777777" w:rsidR="00DD48B4" w:rsidRPr="00291346" w:rsidRDefault="00DD48B4" w:rsidP="0003318B">
      <w:pPr>
        <w:pStyle w:val="NormalHanging12a"/>
        <w:ind w:left="1134"/>
      </w:pPr>
      <w:r w:rsidRPr="00291346">
        <w:t>f)</w:t>
      </w:r>
      <w:r w:rsidRPr="00291346">
        <w:tab/>
        <w:t xml:space="preserve">zacieśnić współpracę z Kanadą w zakresie reagowania na zagrożenia dla bezpieczeństwa naszych społeczeństw, takie jak rosyjska wojna przeciwko Ukrainie, ataki hybrydowe, terroryzm i ingerencja w społeczeństwa demokratyczne po obu stronach Atlantyku, asertywność i wymuszenia ekonomiczne ze strony Chin, wycofanie się USA z międzynarodowego porządku opartego na zasadach, skutki zmiany klimatu, AI, </w:t>
      </w:r>
      <w:proofErr w:type="spellStart"/>
      <w:r w:rsidRPr="00291346">
        <w:t>cyberbezpieczeństwo</w:t>
      </w:r>
      <w:proofErr w:type="spellEnd"/>
      <w:r w:rsidRPr="00291346">
        <w:t xml:space="preserve"> i sytuacja na Bliskim Wschodzie, które to wszystkie czynniki zagrażają spójności społecznej naszych społeczeństw;</w:t>
      </w:r>
    </w:p>
    <w:p w14:paraId="58A8E21A" w14:textId="77777777" w:rsidR="00DD48B4" w:rsidRPr="00291346" w:rsidRDefault="00DD48B4" w:rsidP="00146B5A">
      <w:pPr>
        <w:pStyle w:val="NormalHanging12a"/>
        <w:ind w:left="1134"/>
      </w:pPr>
      <w:r w:rsidRPr="00291346">
        <w:t>g)</w:t>
      </w:r>
      <w:r w:rsidRPr="00291346">
        <w:tab/>
        <w:t>podkreślić potrzebę wspólnych działań i wzajemnego zaangażowania na rzecz propagowania pokoju, bezpieczeństwa, stabilności i odporności przez całościowe podejście do obrony w innych regionach będących przedmiotem wspólnego zainteresowania, w tym w bezpośrednim sąsiedztwie UE, w szczególności w krajach kandydujących i w regionie Zakaukazia;</w:t>
      </w:r>
    </w:p>
    <w:p w14:paraId="61F6E366" w14:textId="77777777" w:rsidR="00DD48B4" w:rsidRPr="00291346" w:rsidRDefault="00DD48B4" w:rsidP="00146B5A">
      <w:pPr>
        <w:pStyle w:val="NormalHanging12a"/>
        <w:ind w:left="1134"/>
      </w:pPr>
      <w:r w:rsidRPr="00291346">
        <w:t>h)</w:t>
      </w:r>
      <w:r w:rsidRPr="00291346">
        <w:tab/>
        <w:t xml:space="preserve">określić plan działania, aby zapewnić pełną i terminową realizację zobowiązań podjętych w ramach partnerstwa w dziedzinie bezpieczeństwa i obrony, które tworzy spójne i kompleksowe ramy polityczne dla dialogu i współpracy w szerokim spektrum obszarów związanych z pokojem, bezpieczeństwem i obronnością, w tym wybranych inicjatyw UE w dziedzinie bezpieczeństwa i obrony uzupełniających współpracę stron w NATO, takich jak instrument SAFE i Plan </w:t>
      </w:r>
      <w:proofErr w:type="spellStart"/>
      <w:r w:rsidRPr="00291346">
        <w:t>ReArm</w:t>
      </w:r>
      <w:proofErr w:type="spellEnd"/>
      <w:r w:rsidRPr="00291346">
        <w:t xml:space="preserve"> Europe/Gotowość 2030;</w:t>
      </w:r>
    </w:p>
    <w:p w14:paraId="577EA5BB" w14:textId="77777777" w:rsidR="00DD48B4" w:rsidRPr="00291346" w:rsidRDefault="00DD48B4" w:rsidP="00146B5A">
      <w:pPr>
        <w:pStyle w:val="NormalHanging12a"/>
        <w:ind w:left="1134"/>
        <w:rPr>
          <w:szCs w:val="24"/>
        </w:rPr>
      </w:pPr>
      <w:r w:rsidRPr="00291346">
        <w:lastRenderedPageBreak/>
        <w:t>i)</w:t>
      </w:r>
      <w:r w:rsidRPr="00291346">
        <w:tab/>
        <w:t>w miarę możliwości zintegrować Kanadę z unijną bazą technologiczno-przemysłową sektora obronnego z myślą o zwiększeniu komplementarności i opłacalności dla obu stron, w tym zintegrować wojskowe i przemysłowe łańcuchy dostaw oraz zharmonizować strategie obronne i badania w takich dziedzinach jak budowa lodołamaczy i działalność portów; zaapelować o współpracę między UE a Kanadą w obszarze uregulowania wdrożenia sieci 5G, aby zapewnić zgodność z rygorystycznymi normami bezpieczeństwa; zachęcać państwa członkowskie, aby umożliwiły kanadyjskim przedsiębiorstwom udziału w ich procedurach udzielania zamówień publicznych;</w:t>
      </w:r>
    </w:p>
    <w:p w14:paraId="30A8E36E" w14:textId="77777777" w:rsidR="00DD48B4" w:rsidRPr="00291346" w:rsidRDefault="00DD48B4" w:rsidP="00146B5A">
      <w:pPr>
        <w:pStyle w:val="NormalHanging12a"/>
        <w:ind w:left="1134"/>
        <w:rPr>
          <w:szCs w:val="24"/>
        </w:rPr>
      </w:pPr>
      <w:r w:rsidRPr="00291346">
        <w:t>j)</w:t>
      </w:r>
      <w:r w:rsidRPr="00291346">
        <w:tab/>
        <w:t>uznać ciągłe zaangażowanie i wkład wojskowy Kanady w bezpieczeństwo Europy, w szczególności jej przewodnią rolę w operacji NATO zapewnienia bezpieczeństwa na Łotwie (</w:t>
      </w:r>
      <w:proofErr w:type="spellStart"/>
      <w:r w:rsidRPr="00291346">
        <w:t>Operation</w:t>
      </w:r>
      <w:proofErr w:type="spellEnd"/>
      <w:r w:rsidRPr="00291346">
        <w:t xml:space="preserve"> </w:t>
      </w:r>
      <w:proofErr w:type="spellStart"/>
      <w:r w:rsidRPr="00291346">
        <w:t>Reassurance</w:t>
      </w:r>
      <w:proofErr w:type="spellEnd"/>
      <w:r w:rsidRPr="00291346">
        <w:t xml:space="preserve">), członkostwo w światowej koalicji przeciwko </w:t>
      </w:r>
      <w:proofErr w:type="spellStart"/>
      <w:r w:rsidRPr="00291346">
        <w:t>Daiszowi</w:t>
      </w:r>
      <w:proofErr w:type="spellEnd"/>
      <w:r w:rsidRPr="00291346">
        <w:t xml:space="preserve">, jej rolę w inicjatywach NATO na rzecz budowania zdolności na Bliskim Wschodzie i koalicji </w:t>
      </w:r>
      <w:proofErr w:type="spellStart"/>
      <w:r w:rsidRPr="00291346">
        <w:t>dronowej</w:t>
      </w:r>
      <w:proofErr w:type="spellEnd"/>
      <w:r w:rsidRPr="00291346">
        <w:t xml:space="preserve">, a także zachęcać do dalszej współpracy w kluczowych obszarach, aby pobudzić produkcję związaną z dronami w synergii z unijnymi inicjatywami przemysłowymi i technologicznymi; zaapelować o utworzenie wspólnych europejskich ośrodków szkoleniowych w zakresie dronów i przeciwdziałania dronom we współpracy z Kanadą; zaproponować zawarcie dwustronnej umowy z Kanadą w sprawie bezpiecznej współprodukcji i transferu technologii w zakresie zdolności zwalczania bezzałogowych statków powietrznych (CUAS) poprzez wspólny rozwój i finansowanie; </w:t>
      </w:r>
    </w:p>
    <w:p w14:paraId="5A29CD66" w14:textId="77777777" w:rsidR="00DD48B4" w:rsidRPr="00291346" w:rsidRDefault="00DD48B4" w:rsidP="00146B5A">
      <w:pPr>
        <w:pStyle w:val="NormalHanging12a"/>
        <w:ind w:left="1134"/>
        <w:rPr>
          <w:szCs w:val="24"/>
        </w:rPr>
      </w:pPr>
      <w:r w:rsidRPr="00291346">
        <w:t>k)</w:t>
      </w:r>
      <w:r w:rsidRPr="00291346">
        <w:tab/>
        <w:t xml:space="preserve">wykorzystać cenny wkład Kanady zarówno w projekty mobilności wojskowej, jak i </w:t>
      </w:r>
      <w:proofErr w:type="spellStart"/>
      <w:r w:rsidRPr="00291346">
        <w:t>NetLogHubs</w:t>
      </w:r>
      <w:proofErr w:type="spellEnd"/>
      <w:r w:rsidRPr="00291346">
        <w:t xml:space="preserve"> w ramach stałej współpracy strukturalnej UE (PESCO) oraz wieloletni wkład Kanady w misje cywilne i wojskowe w ramach wspólnej polityki bezpieczeństwa i obrony (</w:t>
      </w:r>
      <w:proofErr w:type="spellStart"/>
      <w:r w:rsidRPr="00291346">
        <w:t>WPBiO</w:t>
      </w:r>
      <w:proofErr w:type="spellEnd"/>
      <w:r w:rsidRPr="00291346">
        <w:t>); zachęcać do dalszej współpracy i rozszerzenia udziału Kanady w dodatkowych projektach PESCO i inicjatywach UE w dziedzinie obronności;</w:t>
      </w:r>
    </w:p>
    <w:p w14:paraId="10B9A51D" w14:textId="77777777" w:rsidR="00DD48B4" w:rsidRPr="00291346" w:rsidRDefault="00DD48B4" w:rsidP="00146B5A">
      <w:pPr>
        <w:pStyle w:val="NormalHanging12a"/>
        <w:ind w:left="1134"/>
        <w:rPr>
          <w:szCs w:val="24"/>
        </w:rPr>
      </w:pPr>
      <w:r w:rsidRPr="00291346">
        <w:t>l)</w:t>
      </w:r>
      <w:r w:rsidRPr="00291346">
        <w:tab/>
        <w:t>przeprowadzić przegląd współpracy z Kanadą i ją zacieśnić, aby zwalczać zagrożenia związane z wojną hybrydową i cyberwojną oraz przeciwdziałać destabilizującym działaniom, takim jak dezinformacja rozpowszechniana przez wrogie państwa lub ingerencje w wybory, w tym w krajach kandydujących do UE, które to działania poważnie zagrażają spójności społecznej w naszych społeczeństwach;</w:t>
      </w:r>
    </w:p>
    <w:p w14:paraId="3D0001F5" w14:textId="77777777" w:rsidR="00DD48B4" w:rsidRPr="00291346" w:rsidRDefault="00DD48B4" w:rsidP="00146B5A">
      <w:pPr>
        <w:pStyle w:val="NormalHanging12a"/>
        <w:ind w:left="1134"/>
        <w:rPr>
          <w:szCs w:val="24"/>
        </w:rPr>
      </w:pPr>
      <w:r w:rsidRPr="00291346">
        <w:t>m)</w:t>
      </w:r>
      <w:r w:rsidRPr="00291346">
        <w:tab/>
        <w:t xml:space="preserve">dalej rozwijać koordynację i współpracę w kluczowych obszarach, takich jak zarządzanie kryzysowe, utrzymywanie pokoju, mobilność wojskowa, </w:t>
      </w:r>
      <w:proofErr w:type="spellStart"/>
      <w:r w:rsidRPr="00291346">
        <w:t>cyberbezpieczeństwo</w:t>
      </w:r>
      <w:proofErr w:type="spellEnd"/>
      <w:r w:rsidRPr="00291346">
        <w:t>, zwalczanie terroryzmu, bezpieczeństwo przestrzeni kosmicznej, bezpieczeństwo energetyczne, AI i powstające technologie, w tym obliczenia kwantowe, tak aby wspólnie rozwijać kluczowe zdolności;</w:t>
      </w:r>
    </w:p>
    <w:p w14:paraId="4457E53A" w14:textId="77777777" w:rsidR="00DD48B4" w:rsidRPr="00291346" w:rsidRDefault="00DD48B4" w:rsidP="00146B5A">
      <w:pPr>
        <w:pStyle w:val="NormalHanging12a"/>
        <w:ind w:left="1134"/>
      </w:pPr>
      <w:r w:rsidRPr="00291346">
        <w:t>n)</w:t>
      </w:r>
      <w:r w:rsidRPr="00291346">
        <w:tab/>
        <w:t xml:space="preserve">dalej rozwijać zdecydowane wsparcie UE i Kanady dla suwerenności, niezależności i integralności terytorialnej Ukrainy, a także współpracę i wspólne zaangażowanie w zakresie udzielania, zwłaszcza w ramach grupy G-7 i koalicji chętnych, długoterminowej pomocy politycznej, wojskowej, finansowej i humanitarnej, między innymi przez wspólne działania z myślą o stworzeniu silnego międzynarodowego sojuszu na rzecz wykorzystania </w:t>
      </w:r>
      <w:proofErr w:type="spellStart"/>
      <w:r w:rsidRPr="00291346">
        <w:t>immobilizowanych</w:t>
      </w:r>
      <w:proofErr w:type="spellEnd"/>
      <w:r w:rsidRPr="00291346">
        <w:t xml:space="preserve"> rosyjskich aktywów państwowych zgodnie z prawem międzynarodowym za </w:t>
      </w:r>
      <w:r w:rsidRPr="00291346">
        <w:lastRenderedPageBreak/>
        <w:t>pośrednictwem pożyczki na poczet przyszłych reparacji wojennych, a także przez współpracę w ramach platformy darczyńców na rzecz Ukrainy oraz ustanowienie powojennych gwarancji bezpieczeństwa dla Ukrainy;</w:t>
      </w:r>
    </w:p>
    <w:p w14:paraId="7B01B803" w14:textId="77777777" w:rsidR="00DD48B4" w:rsidRPr="00291346" w:rsidRDefault="00DD48B4" w:rsidP="00146B5A">
      <w:pPr>
        <w:pStyle w:val="NormalHanging12a"/>
        <w:ind w:left="1134"/>
        <w:rPr>
          <w:szCs w:val="24"/>
        </w:rPr>
      </w:pPr>
      <w:r w:rsidRPr="00291346">
        <w:t>o)</w:t>
      </w:r>
      <w:r w:rsidRPr="00291346">
        <w:tab/>
        <w:t>koordynować z Kanadą i innymi partnerami sankcje wobec Rosji oraz dążyć z nimi do jej izolacji dyplomatycznej oraz wspólnie zbadać inne sposoby zwiększania presji na Rosję;</w:t>
      </w:r>
    </w:p>
    <w:p w14:paraId="0BFD320B" w14:textId="77777777" w:rsidR="00DD48B4" w:rsidRPr="00291346" w:rsidRDefault="00DD48B4" w:rsidP="00146B5A">
      <w:pPr>
        <w:pStyle w:val="NormalHanging12a"/>
        <w:ind w:left="1134"/>
        <w:rPr>
          <w:szCs w:val="24"/>
        </w:rPr>
      </w:pPr>
      <w:r w:rsidRPr="00291346">
        <w:t>p)</w:t>
      </w:r>
      <w:r w:rsidRPr="00291346">
        <w:tab/>
        <w:t>współpracować z Kanadą w celu zapewnienia pełnej odpowiedzialności za zbrodnie wojenne i inne poważne przestępstwa popełnione w związku z wojną napastniczą Rosji przeciwko Ukrainę, w tym przez wspieranie utworzenia specjalnego trybunału do spraw zbrodni agresji przeciwko Ukrainie;</w:t>
      </w:r>
    </w:p>
    <w:p w14:paraId="0B7599A7" w14:textId="77777777" w:rsidR="00DD48B4" w:rsidRPr="00291346" w:rsidRDefault="00DD48B4" w:rsidP="00146B5A">
      <w:pPr>
        <w:pStyle w:val="NormalHanging12a"/>
        <w:ind w:left="1134"/>
      </w:pPr>
      <w:r w:rsidRPr="00291346">
        <w:t>q)</w:t>
      </w:r>
      <w:r w:rsidRPr="00291346">
        <w:tab/>
        <w:t>dalej wykorzystywać skoordynowane wsparcie UE i Kanady dla suwerenności, integralności terytorialnej i odporności Republiki Mołdawii w obliczu ukierunkowanych działań hybrydowych Federacji Rosyjskiej oraz skutków rosyjskiej wojny napastniczej przeciwko Ukrainie;</w:t>
      </w:r>
    </w:p>
    <w:p w14:paraId="39946459" w14:textId="77777777" w:rsidR="00DD48B4" w:rsidRPr="00291346" w:rsidRDefault="00DD48B4" w:rsidP="00146B5A">
      <w:pPr>
        <w:pStyle w:val="NormalHanging12a"/>
        <w:ind w:left="1134"/>
      </w:pPr>
      <w:r w:rsidRPr="00291346">
        <w:t>r)</w:t>
      </w:r>
      <w:r w:rsidRPr="00291346">
        <w:tab/>
        <w:t>zachęcać władze Kanady do kontynuowania i intensyfikowania udziału tego państwa, wraz z UE, w inicjatywach humanitarnych i prodemokratycznych, zwłaszcza w przypadku Białorusi, w tym przez zwiększenie wsparcia dla instrumentów, które umożliwiają ukierunkowaną, elastyczną i skuteczną pomoc na całym świecie;</w:t>
      </w:r>
    </w:p>
    <w:p w14:paraId="0CDA8B84" w14:textId="77777777" w:rsidR="00DD48B4" w:rsidRPr="00291346" w:rsidRDefault="00DD48B4" w:rsidP="00146B5A">
      <w:pPr>
        <w:pStyle w:val="NormalHanging12a"/>
        <w:ind w:left="1134"/>
      </w:pPr>
      <w:r w:rsidRPr="00291346">
        <w:t>s)</w:t>
      </w:r>
      <w:r w:rsidRPr="00291346">
        <w:tab/>
        <w:t>współpracować z Kanadą, aby wspólnie zacieśniać nasze stosunki ze Stanami Zjednoczonymi, co ma kluczowe znaczenie dla bezpieczeństwa i gospodarki zarówno Kanady, jak i UE;</w:t>
      </w:r>
    </w:p>
    <w:p w14:paraId="372710FC" w14:textId="77777777" w:rsidR="00DD48B4" w:rsidRPr="00291346" w:rsidRDefault="00DD48B4" w:rsidP="00146B5A">
      <w:pPr>
        <w:pStyle w:val="NormalHanging12a"/>
        <w:ind w:left="1134"/>
        <w:rPr>
          <w:szCs w:val="24"/>
        </w:rPr>
      </w:pPr>
      <w:r w:rsidRPr="00291346">
        <w:t>t)</w:t>
      </w:r>
      <w:r w:rsidRPr="00291346">
        <w:tab/>
        <w:t>wzmocnić koordynację między UE a Kanadą, aby sprostać wieloaspektowym wyzwaniom wynikającym ze wzrostu i asertywności Chin, w tym na Bałkanach Zachodnich;</w:t>
      </w:r>
    </w:p>
    <w:p w14:paraId="70C358B4" w14:textId="77777777" w:rsidR="00DD48B4" w:rsidRPr="00291346" w:rsidRDefault="00DD48B4" w:rsidP="00146B5A">
      <w:pPr>
        <w:pStyle w:val="NormalHanging12a"/>
        <w:ind w:left="1134"/>
        <w:rPr>
          <w:szCs w:val="24"/>
        </w:rPr>
      </w:pPr>
      <w:r w:rsidRPr="00291346">
        <w:t>u)</w:t>
      </w:r>
      <w:r w:rsidRPr="00291346">
        <w:tab/>
        <w:t xml:space="preserve">ściślej współpracować z Kanadą w celu utrzymania stabilności w regionie </w:t>
      </w:r>
      <w:proofErr w:type="spellStart"/>
      <w:r w:rsidRPr="00291346">
        <w:t>Indo</w:t>
      </w:r>
      <w:proofErr w:type="spellEnd"/>
      <w:r w:rsidRPr="00291346">
        <w:t xml:space="preserve">-Pacyfiku opierając się na wieloletniej obecności Kanady w regionie i dostosowując swoje odpowiednie strategie dotyczące </w:t>
      </w:r>
      <w:proofErr w:type="spellStart"/>
      <w:r w:rsidRPr="00291346">
        <w:t>Indo</w:t>
      </w:r>
      <w:proofErr w:type="spellEnd"/>
      <w:r w:rsidRPr="00291346">
        <w:t xml:space="preserve">-Pacyfiku w celu promowania wolnego, otwartego, sprzyjającego włączeniu społecznemu i opartego na zasadach regionu </w:t>
      </w:r>
      <w:proofErr w:type="spellStart"/>
      <w:r w:rsidRPr="00291346">
        <w:t>Indo</w:t>
      </w:r>
      <w:proofErr w:type="spellEnd"/>
      <w:r w:rsidRPr="00291346">
        <w:t>-Pacyfiku, w tym poprzez współpracę z partnerami regionalnymi (takimi jak Stowarzyszenie Narodów Azji Południowo-Wschodniej, Japonia i inni) w dziedzinie bezpieczeństwa morskiego, łączności i przestrzegania prawa międzynarodowego na Morzu Wschodniochińskim, Morzu Południowochińskim i w Cieśninie Tajwańskiej;</w:t>
      </w:r>
    </w:p>
    <w:p w14:paraId="112EE455" w14:textId="77777777" w:rsidR="00DD48B4" w:rsidRPr="00291346" w:rsidRDefault="00DD48B4" w:rsidP="00146B5A">
      <w:pPr>
        <w:pStyle w:val="NormalHanging12a"/>
        <w:ind w:left="1134"/>
      </w:pPr>
      <w:r w:rsidRPr="00291346">
        <w:t>v)</w:t>
      </w:r>
      <w:r w:rsidRPr="00291346">
        <w:tab/>
        <w:t xml:space="preserve">współpracować z Kanadą na rzecz sprawiedliwego i trwałego pokoju na Bliskim Wschodzie zgodnie z prawem międzynarodowym w drodze wynegocjowanego rozwiązania dwupaństwowego; zacieśnić współpracę, aby zapewnić pomoc humanitarną ludności cywilnej w Strefie Gazy, oraz wspierać wszelkie wysiłki dyplomatyczne i operacyjne mające poprawić ogólną stabilność w regionie, przy jednoczesnym zapewnieniu, aby Hamas nie odgrywał w przyszłości żadnej roli w Strefie Gazy; przeciwstawiać się państwom działającym w złej wierze, takim jak Iran, które zagrażają bezpieczeństwu i pokojowi w regionie; połączyć starania na rzecz wsparcia pokojowej transformacji politycznej i ochrony wszystkich </w:t>
      </w:r>
      <w:r w:rsidRPr="00291346">
        <w:lastRenderedPageBreak/>
        <w:t>społeczności w Syrii; współpracować z Kanadą w celu udzielenia pomocy Jordanii i Libanowi, które są w znacznym stopniu dotknięte niestabilnością w regionie;</w:t>
      </w:r>
    </w:p>
    <w:p w14:paraId="4EFA5CEE" w14:textId="77777777" w:rsidR="00DD48B4" w:rsidRPr="00291346" w:rsidRDefault="00DD48B4" w:rsidP="00146B5A">
      <w:pPr>
        <w:pStyle w:val="NormalHanging12a"/>
        <w:ind w:left="1134"/>
      </w:pPr>
      <w:r w:rsidRPr="00291346">
        <w:t>w)</w:t>
      </w:r>
      <w:r w:rsidRPr="00291346">
        <w:tab/>
        <w:t>wprowadzić odbywający się dwa razy w roku dialog o polityce zagranicznej, aby umożliwić strategiczną współpracę w kwestiach o najwyższym priorytecie;</w:t>
      </w:r>
    </w:p>
    <w:p w14:paraId="75CBFE4F" w14:textId="77777777" w:rsidR="00DD48B4" w:rsidRPr="00291346" w:rsidRDefault="00DD48B4" w:rsidP="00146B5A">
      <w:pPr>
        <w:pStyle w:val="NormalHanging12a"/>
        <w:ind w:left="1134"/>
      </w:pPr>
      <w:r w:rsidRPr="00291346">
        <w:t>x)</w:t>
      </w:r>
      <w:r w:rsidRPr="00291346">
        <w:tab/>
        <w:t>podkreślić wspólne zaangażowanie UE i Kanady w realizację agendy ONZ na rzecz kobiet, pokoju i bezpieczeństwa poprzez ściślejszą współpracę dwustronną i wielostronną; zachęcić obie strony do opracowania konkretnych wspólnych inicjatyw, działań na rzecz budowania zdolności i działań dyplomatycznych mających na celu włączenie perspektywy płci do polityki pokoju i bezpieczeństwa;</w:t>
      </w:r>
    </w:p>
    <w:p w14:paraId="2DE81376" w14:textId="77777777" w:rsidR="00DD48B4" w:rsidRPr="00291346" w:rsidRDefault="00DD48B4" w:rsidP="00146B5A">
      <w:pPr>
        <w:pStyle w:val="NormalHanging12a"/>
        <w:ind w:left="1134"/>
      </w:pPr>
      <w:r w:rsidRPr="00291346">
        <w:t>y)</w:t>
      </w:r>
      <w:r w:rsidRPr="00291346">
        <w:tab/>
        <w:t>nadal wspierać zielony sojusz UE–Kanada jako wspólne zobowiązanie do podejmowania ambitnych działań na rzecz środowiska i klimatu na arenie międzynarodowej, w tym wspierać pełną realizację celów i zadań określonych w globalnych ramach różnorodności biologicznej z Kunmingu/Montrealu oraz w porozumieniu paryskim;</w:t>
      </w:r>
    </w:p>
    <w:p w14:paraId="3B3F6BF6" w14:textId="77777777" w:rsidR="00DD48B4" w:rsidRPr="00291346" w:rsidRDefault="00DD48B4" w:rsidP="0003318B">
      <w:pPr>
        <w:pStyle w:val="NormalHanging12a"/>
        <w:ind w:firstLine="0"/>
        <w:rPr>
          <w:b/>
          <w:i/>
          <w:iCs/>
          <w:szCs w:val="24"/>
        </w:rPr>
      </w:pPr>
      <w:r w:rsidRPr="00291346">
        <w:rPr>
          <w:b/>
          <w:i/>
        </w:rPr>
        <w:t>Wzmocnienie multilateralizmu</w:t>
      </w:r>
    </w:p>
    <w:p w14:paraId="0B1D8AE5" w14:textId="77777777" w:rsidR="00DD48B4" w:rsidRPr="00291346" w:rsidRDefault="00DD48B4" w:rsidP="0003318B">
      <w:pPr>
        <w:pStyle w:val="NormalHanging12a"/>
        <w:ind w:left="1134"/>
      </w:pPr>
      <w:r w:rsidRPr="00291346">
        <w:t>z)</w:t>
      </w:r>
      <w:r w:rsidRPr="00291346">
        <w:tab/>
        <w:t>kontynuować zacieśnianie współpracy z Kanadą w zakresie obrony multilateralizmu, aby razem stawiać czoła nowym i niebezpiecznym realiom geopolitycznym, które wpływają na nasze wspólne wartości, interesy i bezpieczeństwo, a także na spójność społeczną naszych społeczeństw;</w:t>
      </w:r>
    </w:p>
    <w:p w14:paraId="07663475" w14:textId="77777777" w:rsidR="00DD48B4" w:rsidRPr="00291346" w:rsidRDefault="00DD48B4" w:rsidP="0003318B">
      <w:pPr>
        <w:pStyle w:val="NormalHanging12a"/>
        <w:ind w:left="1134"/>
        <w:rPr>
          <w:szCs w:val="24"/>
        </w:rPr>
      </w:pPr>
      <w:r w:rsidRPr="00291346">
        <w:t>aa)</w:t>
      </w:r>
      <w:r w:rsidRPr="00291346">
        <w:tab/>
        <w:t>wzmocnić współpracę między UE a Kanadą zarówno na forach wielostronnych, jak i poza nimi, poprzez koordynację stanowisk, dostosowanie inicjatyw i podejmowanie razem działań na rzecz obrony wspólnych wartości;</w:t>
      </w:r>
    </w:p>
    <w:p w14:paraId="76F727FE" w14:textId="77777777" w:rsidR="00DD48B4" w:rsidRPr="00291346" w:rsidRDefault="00DD48B4" w:rsidP="00146B5A">
      <w:pPr>
        <w:pStyle w:val="NormalHanging12a"/>
        <w:ind w:left="1134"/>
        <w:rPr>
          <w:szCs w:val="24"/>
        </w:rPr>
      </w:pPr>
      <w:r w:rsidRPr="00291346">
        <w:t>ab)</w:t>
      </w:r>
      <w:r w:rsidRPr="00291346">
        <w:tab/>
        <w:t>współpracować na rzecz ochrony kluczowej roli i funkcjonowania instytucji międzynarodowych, takich jak ONZ, Międzynarodowy Trybunał Karny, WTO i NATO, a także forów międzynarodowych, takich jak grupa G-7 i grupa G-20; w tym względzie wezwać Kanadę i inne kraje o podobnych poglądach do dalszego przestrzegania standardów WTO w stosunkach dwustronnych z krajami innymi niż Stany Zjednoczone;</w:t>
      </w:r>
    </w:p>
    <w:p w14:paraId="02C64406" w14:textId="77777777" w:rsidR="00DD48B4" w:rsidRPr="00291346" w:rsidRDefault="00DD48B4" w:rsidP="00146B5A">
      <w:pPr>
        <w:pStyle w:val="NormalHanging12a"/>
        <w:ind w:left="1134"/>
        <w:rPr>
          <w:szCs w:val="24"/>
        </w:rPr>
      </w:pPr>
      <w:proofErr w:type="spellStart"/>
      <w:r w:rsidRPr="00291346">
        <w:t>ac</w:t>
      </w:r>
      <w:proofErr w:type="spellEnd"/>
      <w:r w:rsidRPr="00291346">
        <w:t>)</w:t>
      </w:r>
      <w:r w:rsidRPr="00291346">
        <w:tab/>
        <w:t>koordynować działania na rzecz przeprowadzenia długo oczekiwanej reformy organizacji międzynarodowych, takich jak ONZ i WTO;</w:t>
      </w:r>
    </w:p>
    <w:p w14:paraId="0B2C3A54" w14:textId="77777777" w:rsidR="00DD48B4" w:rsidRPr="00291346" w:rsidRDefault="00DD48B4" w:rsidP="00146B5A">
      <w:pPr>
        <w:pStyle w:val="NormalHanging12a"/>
        <w:ind w:left="1134"/>
        <w:rPr>
          <w:szCs w:val="24"/>
        </w:rPr>
      </w:pPr>
      <w:r w:rsidRPr="00291346">
        <w:t>ad)</w:t>
      </w:r>
      <w:r w:rsidRPr="00291346">
        <w:tab/>
        <w:t>zintensyfikować współpracę w ramach wielostronnych instytucji kredytowych oraz zwiększyć synergię rynków kapitałowych i wspomóc budowanie zdolności, w tym w zakresie finansowania obronności;</w:t>
      </w:r>
    </w:p>
    <w:p w14:paraId="3AC65912" w14:textId="77777777" w:rsidR="00DD48B4" w:rsidRPr="00291346" w:rsidRDefault="00DD48B4" w:rsidP="0003318B">
      <w:pPr>
        <w:pStyle w:val="NormalHanging12a"/>
        <w:ind w:firstLine="0"/>
        <w:rPr>
          <w:b/>
          <w:i/>
          <w:iCs/>
          <w:szCs w:val="24"/>
        </w:rPr>
      </w:pPr>
      <w:r w:rsidRPr="00291346">
        <w:rPr>
          <w:b/>
          <w:i/>
        </w:rPr>
        <w:t>Współpraca w odniesieniu do Arktyki</w:t>
      </w:r>
    </w:p>
    <w:p w14:paraId="6653ECFB" w14:textId="77777777" w:rsidR="00DD48B4" w:rsidRPr="00291346" w:rsidRDefault="00DD48B4" w:rsidP="00146B5A">
      <w:pPr>
        <w:pStyle w:val="NormalHanging12a"/>
        <w:ind w:left="1134"/>
      </w:pPr>
      <w:proofErr w:type="spellStart"/>
      <w:r w:rsidRPr="00291346">
        <w:t>ae</w:t>
      </w:r>
      <w:proofErr w:type="spellEnd"/>
      <w:r w:rsidRPr="00291346">
        <w:t>)</w:t>
      </w:r>
      <w:r w:rsidRPr="00291346">
        <w:tab/>
        <w:t xml:space="preserve">podkreślić strategiczną wagę regionu arktycznego zarówno dla UE, jak i Kanady, biorąc pod uwagę jego rosnące znaczenie geopolityczne, środowiskowe i gospodarcze; zaapelować o pogłębienie współpracy między UE a Kanadą w sprawie Arktyki, w tym w zakresie zrównoważonego rozwoju gospodarczego, wolności żeglugi i bezpieczeństwa morskiego, współpracy wojskowej, badań </w:t>
      </w:r>
      <w:r w:rsidRPr="00291346">
        <w:lastRenderedPageBreak/>
        <w:t>naukowych oraz monitorowania i ochrony środowiska;</w:t>
      </w:r>
    </w:p>
    <w:p w14:paraId="3CB747DA" w14:textId="77777777" w:rsidR="00DD48B4" w:rsidRPr="00291346" w:rsidRDefault="00DD48B4" w:rsidP="00146B5A">
      <w:pPr>
        <w:pStyle w:val="NormalHanging12a"/>
        <w:ind w:left="1134"/>
      </w:pPr>
      <w:proofErr w:type="spellStart"/>
      <w:r w:rsidRPr="00291346">
        <w:t>af</w:t>
      </w:r>
      <w:proofErr w:type="spellEnd"/>
      <w:r w:rsidRPr="00291346">
        <w:t>)</w:t>
      </w:r>
      <w:r w:rsidRPr="00291346">
        <w:tab/>
        <w:t>wyrazić zaniepokojenie militaryzacją Arktyki, w tym ekspansją infrastruktury wojskowej Rosji i rosnącą obecnością strategiczną Chin w tym regionie, oraz współpracować z Kanadą i Stanami Zjednoczonymi na rzecz zachowania Arktyki jako regionu pokoju i stabilności, wykorzystując do tego wszystkie odpowiednie narzędzia techniczne i prawne, w szczególności Konwencję Narodów Zjednoczonych o prawie morza;</w:t>
      </w:r>
    </w:p>
    <w:p w14:paraId="5E4C5AE6" w14:textId="77777777" w:rsidR="00DD48B4" w:rsidRPr="00291346" w:rsidRDefault="00DD48B4" w:rsidP="00146B5A">
      <w:pPr>
        <w:pStyle w:val="NormalHanging12a"/>
        <w:ind w:left="1134"/>
      </w:pPr>
      <w:r w:rsidRPr="00291346">
        <w:t>ag)</w:t>
      </w:r>
      <w:r w:rsidRPr="00291346">
        <w:tab/>
        <w:t>wzmocnić wielostronne zarządzanie Arktyką wraz z Kanadą, w tym współpracę w ramach Rady Arktycznej i NATO, i wraz z państwami obserwatorami w celu poszanowania prawa międzynarodowego oraz zapewnienia wolności żeglugi i zapobieżenia konfliktom; promować prowadzone przez UE i Kanadę inicjatywy na rzecz dialogu, reagowania kryzysowego i wspólnych ćwiczeń;</w:t>
      </w:r>
    </w:p>
    <w:p w14:paraId="32480831" w14:textId="77777777" w:rsidR="00DD48B4" w:rsidRPr="00291346" w:rsidRDefault="00DD48B4" w:rsidP="00146B5A">
      <w:pPr>
        <w:pStyle w:val="NormalHanging12a"/>
        <w:ind w:left="1134"/>
      </w:pPr>
      <w:r w:rsidRPr="00291346">
        <w:t>ah)</w:t>
      </w:r>
      <w:r w:rsidRPr="00291346">
        <w:tab/>
        <w:t xml:space="preserve">zachęcać do ustanowienia specjalnych ram współpracy UE-Kanada w Arktyce obejmujących zorganizowany dialog między instytucjami UE i Kanady, aby promować wspólną orientację sytuacyjną i ochronę infrastruktury, sprostać wyzwaniom klimatycznym i środowiskowym oraz chronić interesy, prawa i dziedzictwo społeczności i ludności rdzennej Arktyki; </w:t>
      </w:r>
    </w:p>
    <w:p w14:paraId="106F0317" w14:textId="77777777" w:rsidR="00DD48B4" w:rsidRPr="00291346" w:rsidRDefault="00DD48B4" w:rsidP="00146B5A">
      <w:pPr>
        <w:pStyle w:val="NormalHanging12a"/>
        <w:ind w:left="1134"/>
      </w:pPr>
      <w:proofErr w:type="spellStart"/>
      <w:r w:rsidRPr="00291346">
        <w:t>ai</w:t>
      </w:r>
      <w:proofErr w:type="spellEnd"/>
      <w:r w:rsidRPr="00291346">
        <w:t>)</w:t>
      </w:r>
      <w:r w:rsidRPr="00291346">
        <w:tab/>
        <w:t>promować sprzyjające strategie polityczne, które zapewniają, że projekty mające wpływ na ziemie, terytoria lub zasoby ludności rdzennej w Arktyce zależą od wyrażenia przez nią dobrowolnej, uprzedniej i świadomej zgody; nawiązać zorganizowany dialog z Kanadą w sprawie ochrony ekosystemów i różnorodności biologicznej, wdrażania międzynarodowych norm środowiskowych, odpornej infrastruktury, bezpieczeństwa morskiego oraz uwzględniania w procesie decyzyjnym wiedzy tradycyjnej; zachęcać do ściślejszej współpracy w dziedzinie nauki i kultury w celu wzmocnienia pozycji ludności rdzennej;</w:t>
      </w:r>
    </w:p>
    <w:p w14:paraId="0DD6412E" w14:textId="77777777" w:rsidR="00DD48B4" w:rsidRPr="00291346" w:rsidRDefault="00DD48B4" w:rsidP="00146B5A">
      <w:pPr>
        <w:pStyle w:val="NormalHanging12a"/>
        <w:ind w:left="1134"/>
      </w:pPr>
      <w:r w:rsidRPr="00291346">
        <w:t>aj)</w:t>
      </w:r>
      <w:r w:rsidRPr="00291346">
        <w:tab/>
        <w:t xml:space="preserve">zacieśnić współpracę między UE a Kanadą w zakresie bezpieczeństwa Arktyki, w tym poprzez wspólne monitorowanie strategicznych korytarzy morskich, ustanowienie wspólnych systemów wczesnego ostrzegania i ocen zagrożeń, reagowanie na zagrożenia hybrydowe i konwencjonalne, takie jak cyberataki, zakłócenia sygnału GPS i operacje floty cieni, oraz ochronę krytycznej infrastruktury Arktyki, w tym kabli podmorskich, rurociągów i systemów łączności; </w:t>
      </w:r>
    </w:p>
    <w:p w14:paraId="6F8F418C" w14:textId="77777777" w:rsidR="00DD48B4" w:rsidRPr="00291346" w:rsidRDefault="00DD48B4" w:rsidP="00146B5A">
      <w:pPr>
        <w:pStyle w:val="NormalHanging12a"/>
        <w:ind w:left="1134"/>
      </w:pPr>
      <w:proofErr w:type="spellStart"/>
      <w:r w:rsidRPr="00291346">
        <w:t>ak</w:t>
      </w:r>
      <w:proofErr w:type="spellEnd"/>
      <w:r w:rsidRPr="00291346">
        <w:t>)</w:t>
      </w:r>
      <w:r w:rsidRPr="00291346">
        <w:tab/>
        <w:t xml:space="preserve">polecić państwom członkowskim, aby rozważyły utworzenie nowych projektów PESCO z Kanadą, na przykład dotyczących działań poszukiwawczo-ratowniczych lub reagowania na problemy środowiskowe, aby wzmocnić zdolności w zakresie </w:t>
      </w:r>
      <w:proofErr w:type="spellStart"/>
      <w:r w:rsidRPr="00291346">
        <w:t>WPBiO</w:t>
      </w:r>
      <w:proofErr w:type="spellEnd"/>
      <w:r w:rsidRPr="00291346">
        <w:t xml:space="preserve"> w Arktyce; zachęcać do prowadzonych przez UE i Kanadę ćwiczeń symulacyjnych koncentrujących się na szerokim wdrażaniu mechanizmu ochrony ludności w Arktyce;</w:t>
      </w:r>
    </w:p>
    <w:p w14:paraId="65D28EC5" w14:textId="77777777" w:rsidR="00DD48B4" w:rsidRPr="00291346" w:rsidRDefault="00DD48B4" w:rsidP="00146B5A">
      <w:pPr>
        <w:pStyle w:val="NormalHanging12a"/>
        <w:ind w:left="1134"/>
      </w:pPr>
      <w:r w:rsidRPr="00291346">
        <w:t>al)</w:t>
      </w:r>
      <w:r w:rsidRPr="00291346">
        <w:tab/>
        <w:t>zaktualizować strategię UE w zakresie bezpieczeństwa morskiego i politykę kosmiczną UE, aby wspólnie z partnerami strategicznymi, takimi jak Kanada, zająć się nowymi możliwościami i wyzwaniami w regionie Arktyki; ocenić, we współpracy z Kanadą, możliwość rozszerzenia istniejących programów satelitarnych w celu zaspokojenia szczególnych potrzeb regionu Arktyki, w tym lepszego wykorzystania programu Copernicus do monitorowania Arktyki;</w:t>
      </w:r>
    </w:p>
    <w:p w14:paraId="59BBFF98" w14:textId="77777777" w:rsidR="00DD48B4" w:rsidRPr="00291346" w:rsidRDefault="00DD48B4" w:rsidP="00146B5A">
      <w:pPr>
        <w:pStyle w:val="NormalHanging12a"/>
        <w:ind w:left="1134"/>
      </w:pPr>
      <w:proofErr w:type="spellStart"/>
      <w:r w:rsidRPr="00291346">
        <w:lastRenderedPageBreak/>
        <w:t>am</w:t>
      </w:r>
      <w:proofErr w:type="spellEnd"/>
      <w:r w:rsidRPr="00291346">
        <w:t>)</w:t>
      </w:r>
      <w:r w:rsidRPr="00291346">
        <w:tab/>
        <w:t>zachęcać do ścisłej współpracy z Kanadą w zakresie rozwoju infrastruktury światłowodowej, aby stworzyć nowe korytarze cyfrowe, które poprawią również łączność dla społeczności Arktyki oraz będą wspierać lepszą opiekę zdrowotną i usługi społeczne, możliwości edukacji online i dostęp do gospodarki globalnej;</w:t>
      </w:r>
    </w:p>
    <w:p w14:paraId="1C4956DE" w14:textId="77777777" w:rsidR="00DD48B4" w:rsidRPr="00291346" w:rsidRDefault="00DD48B4" w:rsidP="00146B5A">
      <w:pPr>
        <w:pStyle w:val="NormalHanging12a"/>
        <w:ind w:left="1134"/>
      </w:pPr>
      <w:proofErr w:type="spellStart"/>
      <w:r w:rsidRPr="00291346">
        <w:t>an</w:t>
      </w:r>
      <w:proofErr w:type="spellEnd"/>
      <w:r w:rsidRPr="00291346">
        <w:t>)</w:t>
      </w:r>
      <w:r w:rsidRPr="00291346">
        <w:tab/>
        <w:t xml:space="preserve">wspierać wysiłki na rzecz wzmocnienia odporności na potencjalną presję wynikającą z działań coraz bardziej obecnej Chińskiej Republiki Ludowej i innych podmiotów, które nie traktują priorytetowo zrównoważonego, opartego na zasadach wydobycia minerałów; zaapelować o ściślejszą współpracę z Kanadą oraz o monitorowanie przez grupę zadaniową East </w:t>
      </w:r>
      <w:proofErr w:type="spellStart"/>
      <w:r w:rsidRPr="00291346">
        <w:t>StratCom</w:t>
      </w:r>
      <w:proofErr w:type="spellEnd"/>
      <w:r w:rsidRPr="00291346">
        <w:t xml:space="preserve"> kampanii wywierania wpływu ukierunkowanych na decyzje dotyczące wydobycia minerałów w Arktyce;</w:t>
      </w:r>
    </w:p>
    <w:p w14:paraId="449644A9" w14:textId="77777777" w:rsidR="00DD48B4" w:rsidRPr="00291346" w:rsidRDefault="00DD48B4" w:rsidP="00146B5A">
      <w:pPr>
        <w:pStyle w:val="NormalHanging12a"/>
        <w:ind w:left="1134"/>
      </w:pPr>
      <w:proofErr w:type="spellStart"/>
      <w:r w:rsidRPr="00291346">
        <w:t>ao</w:t>
      </w:r>
      <w:proofErr w:type="spellEnd"/>
      <w:r w:rsidRPr="00291346">
        <w:t>)</w:t>
      </w:r>
      <w:r w:rsidRPr="00291346">
        <w:tab/>
        <w:t>pogłębić współpracę z Kanadą w zakresie zwalczania skutków zmiany klimatu w Arktyce, wzmocnić strategie adaptacyjne, wspierać działania monitorujące i zwiększyć inwestycje w badania naukowe, infrastrukturę transportową, cyfrową i energetyczną, technologie kosmiczne, zrównoważoną żeglugę, zrównoważone wydobycie i przetwarzanie surowców, energię ze źródeł odnawialnych i inną niskoemisyjną działalność, turystykę i ogólną odporność;</w:t>
      </w:r>
    </w:p>
    <w:p w14:paraId="53D4E235" w14:textId="77777777" w:rsidR="00DD48B4" w:rsidRPr="00291346" w:rsidRDefault="00DD48B4" w:rsidP="00146B5A">
      <w:pPr>
        <w:pStyle w:val="NormalHanging12a"/>
        <w:ind w:left="1134"/>
      </w:pPr>
      <w:proofErr w:type="spellStart"/>
      <w:r w:rsidRPr="00291346">
        <w:t>ap</w:t>
      </w:r>
      <w:proofErr w:type="spellEnd"/>
      <w:r w:rsidRPr="00291346">
        <w:t>)</w:t>
      </w:r>
      <w:r w:rsidRPr="00291346">
        <w:tab/>
        <w:t>promować wspólne inicjatywy badawcze dotyczące Arktyki realizowane z Kanadą, dbając o to, aby współpraca naukowa uwzględniała również zagrożenia dla bezpieczeństwa związane z podwójnym zastosowaniem; zachęcać do otwartej wymiany danych, monitorowania zmian klimatycznych, środowiskowych i strategicznych oraz uwzględniania wyników badań przy planowaniu polityki i bezpieczeństwa;</w:t>
      </w:r>
    </w:p>
    <w:p w14:paraId="28F6EACA" w14:textId="77777777" w:rsidR="00DD48B4" w:rsidRPr="00291346" w:rsidRDefault="00DD48B4" w:rsidP="00146B5A">
      <w:pPr>
        <w:pStyle w:val="NormalHanging12a"/>
        <w:ind w:left="1134"/>
      </w:pPr>
      <w:proofErr w:type="spellStart"/>
      <w:r w:rsidRPr="00291346">
        <w:t>aq</w:t>
      </w:r>
      <w:proofErr w:type="spellEnd"/>
      <w:r w:rsidRPr="00291346">
        <w:t>)</w:t>
      </w:r>
      <w:r w:rsidRPr="00291346">
        <w:tab/>
        <w:t xml:space="preserve">ściśle współpracować z Kanadą, w tym za pośrednictwem takich kanałów jak koalicja chętnych, aby razem stanąć w obronie autonomii Grenlandii i zdolności działania narodu grenlandzkiego, w kontekście rosnącego zainteresowania geopolitycznego Arktyką, czego przykładem jest retoryka administracji </w:t>
      </w:r>
      <w:proofErr w:type="spellStart"/>
      <w:r w:rsidRPr="00291346">
        <w:t>Trumpa</w:t>
      </w:r>
      <w:proofErr w:type="spellEnd"/>
      <w:r w:rsidRPr="00291346">
        <w:t xml:space="preserve"> dotycząca aneksji Grenlandii oraz wymuszenia ekonomicznego i przymusu wojskowego w stosunku do Grenlandii, a także określenie się przez Chiny mianem „państwa położonego w pobliżu Arktyki”; współpracować z Kanadą w celu zapewnienia stosowania wysokich standardów środowiskowych, społecznych i z zakresu ładu korporacyjnego przy realizacji projektów infrastrukturalnych i wydobywczych w Arktyce;</w:t>
      </w:r>
    </w:p>
    <w:p w14:paraId="239A1190" w14:textId="77777777" w:rsidR="00DD48B4" w:rsidRPr="00291346" w:rsidRDefault="00DD48B4" w:rsidP="00146B5A">
      <w:pPr>
        <w:pStyle w:val="NormalHanging12a"/>
        <w:ind w:left="1134"/>
        <w:rPr>
          <w:szCs w:val="24"/>
        </w:rPr>
      </w:pPr>
      <w:r w:rsidRPr="00291346">
        <w:t>ar)</w:t>
      </w:r>
      <w:r w:rsidRPr="00291346">
        <w:tab/>
        <w:t xml:space="preserve">wzmocnić współpracę między UE, Kanadą, Danią i Grenlandią w oparciu o historyczne porozumienie osiągnięte w celu pokojowego rozwiązania długotrwałych sporów dotyczących granic; z zadowoleniem przyjąć podpisanie nowego protokołu ustaleń dotyczącego rybołówstwa między Grenlandią a terytorium </w:t>
      </w:r>
      <w:proofErr w:type="spellStart"/>
      <w:r w:rsidRPr="00291346">
        <w:t>Nunavut</w:t>
      </w:r>
      <w:proofErr w:type="spellEnd"/>
      <w:r w:rsidRPr="00291346">
        <w:t xml:space="preserve"> w Kanadzie;</w:t>
      </w:r>
    </w:p>
    <w:p w14:paraId="68A09468" w14:textId="77777777" w:rsidR="00DD48B4" w:rsidRPr="00291346" w:rsidRDefault="00DD48B4" w:rsidP="0003318B">
      <w:pPr>
        <w:pStyle w:val="NormalHanging12a"/>
        <w:ind w:firstLine="0"/>
        <w:rPr>
          <w:b/>
          <w:i/>
          <w:iCs/>
          <w:szCs w:val="24"/>
        </w:rPr>
      </w:pPr>
      <w:r w:rsidRPr="00291346">
        <w:rPr>
          <w:b/>
          <w:i/>
        </w:rPr>
        <w:t xml:space="preserve">Handel towarami i usługami, handel cyfrowy, inwestycje i bezpieczeństwo gospodarcze </w:t>
      </w:r>
    </w:p>
    <w:p w14:paraId="736A447A" w14:textId="77777777" w:rsidR="00DD48B4" w:rsidRPr="00291346" w:rsidRDefault="00DD48B4" w:rsidP="0003318B">
      <w:pPr>
        <w:pStyle w:val="NormalHanging12a"/>
        <w:ind w:left="1134"/>
        <w:rPr>
          <w:szCs w:val="24"/>
        </w:rPr>
      </w:pPr>
      <w:r w:rsidRPr="00291346">
        <w:t>as)</w:t>
      </w:r>
      <w:r w:rsidRPr="00291346">
        <w:tab/>
        <w:t xml:space="preserve">promować korzyści płynące z CETA w państwach członkowskich i w UE, które obejmują m.in. łatwiejszy dostęp do rynku, uproszczenie handlu i zmniejszenie barier administracyjnych dla MŚP, w szczególności poprzez zwiększenie zasobów przeznaczonych na skierowane do unijnych przedsiębiorstw kampanie </w:t>
      </w:r>
      <w:r w:rsidRPr="00291346">
        <w:lastRenderedPageBreak/>
        <w:t>uświadamiające o możliwościach handlowych; wykorzystać pozytywne wyniki CETA do działań na rzecz jej pełnego wdrożenia i wykorzystać każdą okazję na wzmocnienie stosunków handlowych i inwestycyjnych z Kanadą;</w:t>
      </w:r>
    </w:p>
    <w:p w14:paraId="4ED1EF56" w14:textId="77777777" w:rsidR="00DD48B4" w:rsidRPr="00291346" w:rsidRDefault="00DD48B4" w:rsidP="00146B5A">
      <w:pPr>
        <w:pStyle w:val="NormalHanging12a"/>
        <w:ind w:left="1134"/>
        <w:rPr>
          <w:szCs w:val="24"/>
        </w:rPr>
      </w:pPr>
      <w:proofErr w:type="spellStart"/>
      <w:r w:rsidRPr="00291346">
        <w:t>at</w:t>
      </w:r>
      <w:proofErr w:type="spellEnd"/>
      <w:r w:rsidRPr="00291346">
        <w:t>)</w:t>
      </w:r>
      <w:r w:rsidRPr="00291346">
        <w:tab/>
        <w:t>dalej pogłębiać współpracę regulacyjną w przejrzysty sposób i prowadzić do jeszcze większej harmonizacji dzięki Protokołowi CETA w sprawie wzajemnej akceptacji wyników oceny zgodności i intensywniejszej pracy na Forum Współpracy Regulacyjnej CETA;</w:t>
      </w:r>
    </w:p>
    <w:p w14:paraId="66D78930" w14:textId="77777777" w:rsidR="00DD48B4" w:rsidRPr="00291346" w:rsidRDefault="00DD48B4" w:rsidP="00146B5A">
      <w:pPr>
        <w:pStyle w:val="NormalHanging12a"/>
        <w:ind w:left="1134"/>
        <w:rPr>
          <w:szCs w:val="24"/>
        </w:rPr>
      </w:pPr>
      <w:r w:rsidRPr="00291346">
        <w:t>au)</w:t>
      </w:r>
      <w:r w:rsidRPr="00291346">
        <w:tab/>
        <w:t xml:space="preserve">niezwłocznie rozpocząć negocjacje w sprawie ambitnej, odrębnej umowy o handlu cyfrowym uzupełniającej CETA, która nie powinna utrudniać wdrażania dorobku prawnego UE w dziedzinie cyfryzacji ani ograniczać przyszłej przestrzeni politycznej żadnej ze stron w zakresie regulacji sfery cyfrowej i która musi być w pełni zgodna z przepisami horyzontalnymi dotyczącymi transgranicznego przepływu danych i ochrony danych osobowych w umowach handlowych i inwestycyjnych UE, zapewniać wysoki poziom ochrony konsumentów w </w:t>
      </w:r>
      <w:proofErr w:type="spellStart"/>
      <w:r w:rsidRPr="00291346">
        <w:t>internecie</w:t>
      </w:r>
      <w:proofErr w:type="spellEnd"/>
      <w:r w:rsidRPr="00291346">
        <w:t xml:space="preserve"> i przewidywalne zasady dla podmiotów gospodarczych oraz zacieśniać współpracę dwustronną w gospodarce cyfrowej poprzez dostosowanie norm i infrastruktury, zwiększenie konkurencyjności, zapewnienie współpracy w zakresie </w:t>
      </w:r>
      <w:proofErr w:type="spellStart"/>
      <w:r w:rsidRPr="00291346">
        <w:t>cyberbezpieczeństwa</w:t>
      </w:r>
      <w:proofErr w:type="spellEnd"/>
      <w:r w:rsidRPr="00291346">
        <w:t>, AI i badań kwantowych oraz stworzenie nowych możliwości w handlu elektronicznym i usługach cyfrowych, w szczególności dla MŚP;</w:t>
      </w:r>
    </w:p>
    <w:p w14:paraId="75B6D332" w14:textId="77777777" w:rsidR="00DD48B4" w:rsidRPr="00291346" w:rsidRDefault="00DD48B4" w:rsidP="00146B5A">
      <w:pPr>
        <w:pStyle w:val="NormalHanging12a"/>
        <w:ind w:left="1134"/>
        <w:rPr>
          <w:szCs w:val="24"/>
        </w:rPr>
      </w:pPr>
      <w:proofErr w:type="spellStart"/>
      <w:r w:rsidRPr="00291346">
        <w:t>av</w:t>
      </w:r>
      <w:proofErr w:type="spellEnd"/>
      <w:r w:rsidRPr="00291346">
        <w:t>)</w:t>
      </w:r>
      <w:r w:rsidRPr="00291346">
        <w:tab/>
        <w:t>ściśle współpracować z Kanadą, aby zagwarantować skuteczniejsze egzekwowanie, jaśniejszą ocenę skutków i lepsze dostosowanie regulacyjne w odniesieniu do wdrażania rozdziału CETA dotyczącego handlu i zrównoważonego rozwoju, w tym poprzez zwalczanie pracy przymusowej i pracy dzieci oraz przeanalizowanie propozycji rządu kanadyjskiego dotyczących poprawy egzekwowania postanowień dotyczących handlu i zrównoważonego rozwoju;</w:t>
      </w:r>
    </w:p>
    <w:p w14:paraId="01D1206D" w14:textId="77777777" w:rsidR="00DD48B4" w:rsidRPr="00291346" w:rsidRDefault="00DD48B4" w:rsidP="00146B5A">
      <w:pPr>
        <w:pStyle w:val="NormalHanging12a"/>
        <w:ind w:left="1134"/>
        <w:rPr>
          <w:szCs w:val="24"/>
        </w:rPr>
      </w:pPr>
      <w:proofErr w:type="spellStart"/>
      <w:r w:rsidRPr="00291346">
        <w:t>aw</w:t>
      </w:r>
      <w:proofErr w:type="spellEnd"/>
      <w:r w:rsidRPr="00291346">
        <w:t>)</w:t>
      </w:r>
      <w:r w:rsidRPr="00291346">
        <w:tab/>
        <w:t>ściśle współpracować z Kanadą, aby zwiększyć dostęp społeczeństwa obywatelskiego do informacji i jego bezpośredni udział w pracach komitetów w ramach CETA, zarówno przed wszystkimi posiedzeniami odpowiednich specjalnych komitetów, jak i po nich;</w:t>
      </w:r>
    </w:p>
    <w:p w14:paraId="4ED5A16E" w14:textId="77777777" w:rsidR="00DD48B4" w:rsidRPr="00291346" w:rsidRDefault="00DD48B4" w:rsidP="00146B5A">
      <w:pPr>
        <w:pStyle w:val="NormalHanging12a"/>
        <w:ind w:left="1134"/>
        <w:rPr>
          <w:szCs w:val="24"/>
        </w:rPr>
      </w:pPr>
      <w:proofErr w:type="spellStart"/>
      <w:r w:rsidRPr="00291346">
        <w:t>ax</w:t>
      </w:r>
      <w:proofErr w:type="spellEnd"/>
      <w:r w:rsidRPr="00291346">
        <w:t>)</w:t>
      </w:r>
      <w:r w:rsidRPr="00291346">
        <w:tab/>
        <w:t>ściśle współpracować z Kanadą, aby wprowadzić w ramach CETA system gromadzenia danych z podziałem na płeć w odniesieniu do sektorów działalności przedsiębiorstw prowadzonych przez kobiety oraz działalności handlowej kobiet;</w:t>
      </w:r>
    </w:p>
    <w:p w14:paraId="749EDCC4" w14:textId="77777777" w:rsidR="00DD48B4" w:rsidRPr="00291346" w:rsidRDefault="00DD48B4" w:rsidP="00146B5A">
      <w:pPr>
        <w:pStyle w:val="NormalHanging12a"/>
        <w:ind w:left="1134"/>
        <w:rPr>
          <w:szCs w:val="24"/>
        </w:rPr>
      </w:pPr>
      <w:proofErr w:type="spellStart"/>
      <w:r w:rsidRPr="00291346">
        <w:t>ay</w:t>
      </w:r>
      <w:proofErr w:type="spellEnd"/>
      <w:r w:rsidRPr="00291346">
        <w:t>)</w:t>
      </w:r>
      <w:r w:rsidRPr="00291346">
        <w:tab/>
        <w:t>kontynuować współpracę z Kanadą, aby określić odpowiedni instrument i konkretne wspólne działania, które ułatwią rdzennej ludności dostęp do CETA, umożliwią jej czerpanie korzyści z tej umowy, a także zagwarantują, że rdzenna ludność będzie zaangażowana w tę umowę i będą z nią prowadzone konstruktywne konsultacje, w tym poprzez zapewnienie jej dobrowolnej, uprzedniej i świadomej zgody na wdrażanie CETA i partnerstwa strategicznego w dziedzinie surowców;</w:t>
      </w:r>
    </w:p>
    <w:p w14:paraId="0D8839F3" w14:textId="77777777" w:rsidR="00DD48B4" w:rsidRPr="00291346" w:rsidRDefault="00DD48B4" w:rsidP="00146B5A">
      <w:pPr>
        <w:pStyle w:val="NormalHanging12a"/>
        <w:ind w:left="1134"/>
        <w:rPr>
          <w:szCs w:val="24"/>
        </w:rPr>
      </w:pPr>
      <w:proofErr w:type="spellStart"/>
      <w:r w:rsidRPr="00291346">
        <w:t>az</w:t>
      </w:r>
      <w:proofErr w:type="spellEnd"/>
      <w:r w:rsidRPr="00291346">
        <w:t>)</w:t>
      </w:r>
      <w:r w:rsidRPr="00291346">
        <w:tab/>
        <w:t xml:space="preserve">uznać, że CETA w znacznym stopniu przyczyniła się do dywersyfikacji oraz odporności unijnych i kanadyjskich łańcuchów dostaw oraz do wzrostu przywozu do UE surowców krytycznych pochodzących z Kanady; z zadowoleniem przyjąć </w:t>
      </w:r>
      <w:r w:rsidRPr="00291346">
        <w:lastRenderedPageBreak/>
        <w:t xml:space="preserve">sojusz w sprawie produkcji minerałów krytycznych, inicjatywę grupy G-7 pod przewodnictwem Kanady, której celem jest dywersyfikacja i zabezpieczenie światowej produkcji i dostaw minerałów krytycznych; podkreślić, że strategiczne partnerstwo UE–Kanada w sprawie surowców krytycznych wspiera koordynację i wspólne działania w odpowiedzi na ograniczenia wywozowe nałożone przez państwa trzecie na minerały krytyczne i inne zasoby o znaczeniu strategicznym oraz wzmacnia bezpieczeństwo łańcucha dostaw i odporność gospodarczą; zagwarantować dalszy rozwój wspólnych projektów w ramach partnerstwa strategicznego UE–Kanada dotyczącego surowców, w tym poprzez zacieśnienie współpracy technicznej i naukowej oraz zwiększenie inwestycji w infrastrukturę, i dalej wzmacniać dialog z Kanadą na temat polityki przemysłowej; </w:t>
      </w:r>
    </w:p>
    <w:p w14:paraId="3E23E4BC" w14:textId="77777777" w:rsidR="00DD48B4" w:rsidRPr="00291346" w:rsidRDefault="00DD48B4" w:rsidP="00146B5A">
      <w:pPr>
        <w:pStyle w:val="NormalHanging12a"/>
        <w:ind w:left="1134"/>
        <w:rPr>
          <w:szCs w:val="24"/>
        </w:rPr>
      </w:pPr>
      <w:r w:rsidRPr="00291346">
        <w:t>ba)</w:t>
      </w:r>
      <w:r w:rsidRPr="00291346">
        <w:tab/>
        <w:t>wspierać współpracę z Kanadą jako kluczowym partnerem w zakresie bezpieczeństwa energetycznego i wezwać do rozszerzenia dialogu energetycznego wysokiego szczebla między UE a Kanadą, aby opracować wspólne działania w zakresie wodoru, innych zrównoważonych technologii niskoemisyjnych, ochrony krytycznej infrastruktury energetycznej i zrównoważonego handlu energią; kontynuować bieżącą współpracę w zakresie technologii jądrowych, w tym paliw i usług związanych z cyklem paliwowym, poprzez negocjacje dotyczące zmodernizowanej i kompleksowej umowy o współpracy jądrowej między Kanadą a Euratomem;</w:t>
      </w:r>
    </w:p>
    <w:p w14:paraId="020AE8C0" w14:textId="77777777" w:rsidR="00DD48B4" w:rsidRPr="00291346" w:rsidRDefault="00DD48B4" w:rsidP="00146B5A">
      <w:pPr>
        <w:pStyle w:val="NormalHanging12a"/>
        <w:ind w:left="1134"/>
        <w:rPr>
          <w:szCs w:val="24"/>
        </w:rPr>
      </w:pPr>
      <w:proofErr w:type="spellStart"/>
      <w:r w:rsidRPr="00291346">
        <w:t>bb</w:t>
      </w:r>
      <w:proofErr w:type="spellEnd"/>
      <w:r w:rsidRPr="00291346">
        <w:t>)</w:t>
      </w:r>
      <w:r w:rsidRPr="00291346">
        <w:tab/>
        <w:t xml:space="preserve">rozważyć możliwości współpracy między UE, Kanadą i innymi podmiotami i regionami geopolitycznymi o podobnych poglądach, takimi jak Ameryka Łacińska i region </w:t>
      </w:r>
      <w:proofErr w:type="spellStart"/>
      <w:r w:rsidRPr="00291346">
        <w:t>Indo</w:t>
      </w:r>
      <w:proofErr w:type="spellEnd"/>
      <w:r w:rsidRPr="00291346">
        <w:t>-Pacyfiku, lub w ramach wszechstronnego i progresywnego porozumienia o partnerstwie transpacyficznym, w celu wspierania handlu, zmniejszenia strategicznych zależności, w szczególności od Chin, zwiększenia odporności, sprostania globalnym wyzwaniom handlowym, w tym poprzez wzmocnienie rynku stali, aby zwalczyć globalną nadwyżkę mocy produkcyjnych, i umożliwienia handlu między partnerami opartego na zasadach; w związku z tym z zadowoleniem przyjąć rozpoczęcie negocjacji w sprawie kompleksowej umowy o partnerstwie gospodarczym między Kanadą a Indiami, a także zawarcie umowy o wolnym handlu między UE a Indiami;</w:t>
      </w:r>
    </w:p>
    <w:p w14:paraId="778FC92A" w14:textId="77777777" w:rsidR="00DD48B4" w:rsidRPr="00291346" w:rsidRDefault="00DD48B4" w:rsidP="00146B5A">
      <w:pPr>
        <w:pStyle w:val="NormalHanging12a"/>
        <w:ind w:left="1134"/>
        <w:rPr>
          <w:szCs w:val="24"/>
        </w:rPr>
      </w:pPr>
      <w:proofErr w:type="spellStart"/>
      <w:r w:rsidRPr="00291346">
        <w:t>bc</w:t>
      </w:r>
      <w:proofErr w:type="spellEnd"/>
      <w:r w:rsidRPr="00291346">
        <w:t>)</w:t>
      </w:r>
      <w:r w:rsidRPr="00291346">
        <w:tab/>
        <w:t>wezwać dziesięć państw członkowskich, które jeszcze nie ratyfikowały CETA, aby szybko to uczyniły; ponownie podkreślić znaczenie pełnego stosowania CETA jako ważnego sygnału politycznego przed 10. rocznicą, przypadającą w 2027 r., rozpoczęcia tymczasowego stosowania tej umowy, zwłaszcza w obecnej sytuacji geopolitycznej, oraz warunku koniecznego do tego, aby w pełni wykorzystać potencjał gospodarczy umowy; podjąć dialog z tymi państwami członkowskimi, aby ustalić ich obawy;</w:t>
      </w:r>
    </w:p>
    <w:p w14:paraId="62255209" w14:textId="77777777" w:rsidR="00DD48B4" w:rsidRPr="00291346" w:rsidRDefault="00DD48B4" w:rsidP="0003318B">
      <w:pPr>
        <w:pStyle w:val="NormalHanging12a"/>
        <w:ind w:firstLine="0"/>
        <w:rPr>
          <w:b/>
          <w:i/>
          <w:iCs/>
          <w:szCs w:val="24"/>
        </w:rPr>
      </w:pPr>
      <w:r w:rsidRPr="00291346">
        <w:rPr>
          <w:b/>
          <w:i/>
        </w:rPr>
        <w:t>Globalny rozwój</w:t>
      </w:r>
    </w:p>
    <w:p w14:paraId="4CC904E7" w14:textId="77777777" w:rsidR="00DD48B4" w:rsidRPr="00291346" w:rsidRDefault="00DD48B4" w:rsidP="0003318B">
      <w:pPr>
        <w:pStyle w:val="NormalHanging12a"/>
        <w:ind w:left="1134"/>
      </w:pPr>
      <w:proofErr w:type="spellStart"/>
      <w:r w:rsidRPr="00291346">
        <w:t>bd</w:t>
      </w:r>
      <w:proofErr w:type="spellEnd"/>
      <w:r w:rsidRPr="00291346">
        <w:t>)</w:t>
      </w:r>
      <w:r w:rsidRPr="00291346">
        <w:tab/>
        <w:t xml:space="preserve">zapewnić ścisłą koordynację z Kanadą, aby pomóc wypełnić krytyczne luki, wzmocnić wielostronne ramy rozwoju, stanowić silniejszą przeciwwagę dla reżimów autorytarnych i przeciwdziałać ich rosnącym wpływom na arenie międzynarodowej, promować zrównoważony rozwój, realizację Agendy ONZ na rzecz zrównoważonego rozwoju 2030 i celów zrównoważonego rozwoju oraz </w:t>
      </w:r>
      <w:proofErr w:type="spellStart"/>
      <w:r w:rsidRPr="00291346">
        <w:t>inkluzywne</w:t>
      </w:r>
      <w:proofErr w:type="spellEnd"/>
      <w:r w:rsidRPr="00291346">
        <w:t xml:space="preserve"> partnerstwa międzynarodowe, a także utrzymać wsparcie dla społeczeństwa obywatelskiego i odporności demokratycznej, w szczególności w </w:t>
      </w:r>
      <w:r w:rsidRPr="00291346">
        <w:lastRenderedPageBreak/>
        <w:t>sąsiedztwie UE i w krajach kandydujących do UE;</w:t>
      </w:r>
    </w:p>
    <w:p w14:paraId="56CDDF65" w14:textId="77777777" w:rsidR="00DD48B4" w:rsidRPr="00291346" w:rsidRDefault="00DD48B4" w:rsidP="0003318B">
      <w:pPr>
        <w:pStyle w:val="NormalHanging12a"/>
        <w:ind w:left="1134"/>
      </w:pPr>
      <w:r w:rsidRPr="00291346">
        <w:t>be)</w:t>
      </w:r>
      <w:r w:rsidRPr="00291346">
        <w:tab/>
        <w:t>wspólnie stawić czoła pojawiającym się wyzwaniom zagrażającym globalnemu rozwojowi, w tym likwidacji Agencji Stanów Zjednoczonych ds. Rozwoju Międzynarodowego (USAID) i wstrzymaniu pomocy zagranicznej USA;</w:t>
      </w:r>
    </w:p>
    <w:p w14:paraId="32FFF87D" w14:textId="77777777" w:rsidR="00DD48B4" w:rsidRPr="00291346" w:rsidRDefault="00DD48B4" w:rsidP="0003318B">
      <w:pPr>
        <w:pStyle w:val="NormalHanging12a"/>
        <w:ind w:firstLine="0"/>
        <w:rPr>
          <w:b/>
          <w:i/>
          <w:iCs/>
          <w:szCs w:val="24"/>
        </w:rPr>
      </w:pPr>
      <w:r w:rsidRPr="00291346">
        <w:rPr>
          <w:b/>
          <w:i/>
        </w:rPr>
        <w:t>Edukacja, badania naukowe i więzi międzyludzkie</w:t>
      </w:r>
    </w:p>
    <w:p w14:paraId="20ECA23D" w14:textId="77777777" w:rsidR="00DD48B4" w:rsidRPr="00291346" w:rsidRDefault="00DD48B4" w:rsidP="00146B5A">
      <w:pPr>
        <w:pStyle w:val="NormalHanging12a"/>
        <w:ind w:left="1134"/>
        <w:rPr>
          <w:szCs w:val="24"/>
        </w:rPr>
      </w:pPr>
      <w:proofErr w:type="spellStart"/>
      <w:r w:rsidRPr="00291346">
        <w:t>bf</w:t>
      </w:r>
      <w:proofErr w:type="spellEnd"/>
      <w:r w:rsidRPr="00291346">
        <w:t>)</w:t>
      </w:r>
      <w:r w:rsidRPr="00291346">
        <w:tab/>
        <w:t>szybko podjąć działania w związku z zobowiązaniem do pogłębienia współpracy w obszarach takich jak więzi międzyludzkie, kultura, młodzież, propagowanie polityki sprzyjającej włączeniu społecznemu oraz ramy partnerstwa cyfrowego między UE a Kanadą;</w:t>
      </w:r>
    </w:p>
    <w:p w14:paraId="3118B4EF" w14:textId="77777777" w:rsidR="00DD48B4" w:rsidRPr="00291346" w:rsidRDefault="00DD48B4" w:rsidP="00146B5A">
      <w:pPr>
        <w:pStyle w:val="NormalHanging12a"/>
        <w:ind w:left="1134"/>
      </w:pPr>
      <w:proofErr w:type="spellStart"/>
      <w:r w:rsidRPr="00291346">
        <w:t>bg</w:t>
      </w:r>
      <w:proofErr w:type="spellEnd"/>
      <w:r w:rsidRPr="00291346">
        <w:t>)</w:t>
      </w:r>
      <w:r w:rsidRPr="00291346">
        <w:tab/>
        <w:t>zwiększyć odporność społeczną poprzez wykorzystanie stowarzyszenia Kanady z programem „Horyzont Europa”, zacieśnienie współpracy w dziedzinie edukacji, badań i kultury oraz współpracy naukowej w strategicznych dziedzinach, ułatwienie transatlantyckiej mobilności studentów, młodych przedsiębiorców, naukowców i inwestorów oraz ogólnie młodych ludzi w celu podjęcia pracy, studiów i wolontariatu oraz zachęcanie do takiej mobilności, a także dalsze badanie możliwości kontaktów międzyludzkich i wymian studenckich w oparciu o program Erasmus+ oraz zwiększanie świadomości o instrumencie mobilności pracowników w postaci niebieskiej karty UE;</w:t>
      </w:r>
    </w:p>
    <w:p w14:paraId="1BE20633" w14:textId="77777777" w:rsidR="00DD48B4" w:rsidRPr="00291346" w:rsidRDefault="00DD48B4" w:rsidP="00146B5A">
      <w:pPr>
        <w:pStyle w:val="NormalHanging12a"/>
        <w:ind w:left="1134"/>
      </w:pPr>
      <w:proofErr w:type="spellStart"/>
      <w:r w:rsidRPr="00291346">
        <w:t>bh</w:t>
      </w:r>
      <w:proofErr w:type="spellEnd"/>
      <w:r w:rsidRPr="00291346">
        <w:t>)</w:t>
      </w:r>
      <w:r w:rsidRPr="00291346">
        <w:tab/>
        <w:t>ściśle współpracować z Kanadą na rzecz rozszerzenia wzajemnego uznawania zawodów regulowanych na inne sektory, takie jak inżynieria i rachunkowość, po przyjęciu Umowy o wzajemnym uznawaniu kwalifikacji zawodowych architektów w ramach CETA</w:t>
      </w:r>
      <w:r w:rsidRPr="00291346">
        <w:rPr>
          <w:rStyle w:val="FootnoteReference"/>
          <w:bCs/>
          <w:iCs/>
        </w:rPr>
        <w:footnoteReference w:id="4"/>
      </w:r>
      <w:r w:rsidRPr="00291346">
        <w:t>;</w:t>
      </w:r>
    </w:p>
    <w:p w14:paraId="4914900B" w14:textId="77777777" w:rsidR="00DD48B4" w:rsidRPr="00291346" w:rsidRDefault="00DD48B4" w:rsidP="0003318B">
      <w:pPr>
        <w:pStyle w:val="NormalHanging12a"/>
        <w:ind w:firstLine="0"/>
        <w:rPr>
          <w:b/>
          <w:i/>
          <w:iCs/>
          <w:szCs w:val="24"/>
        </w:rPr>
      </w:pPr>
      <w:r w:rsidRPr="00291346">
        <w:rPr>
          <w:b/>
          <w:i/>
        </w:rPr>
        <w:t>Promowanie odporności demokratycznej i równości</w:t>
      </w:r>
    </w:p>
    <w:p w14:paraId="34E6D4B5" w14:textId="77777777" w:rsidR="00DD48B4" w:rsidRPr="00291346" w:rsidRDefault="00DD48B4" w:rsidP="00146B5A">
      <w:pPr>
        <w:pStyle w:val="NormalHanging12a"/>
        <w:ind w:left="1134"/>
        <w:rPr>
          <w:bCs/>
          <w:szCs w:val="24"/>
        </w:rPr>
      </w:pPr>
      <w:proofErr w:type="spellStart"/>
      <w:r w:rsidRPr="00291346">
        <w:t>bi</w:t>
      </w:r>
      <w:proofErr w:type="spellEnd"/>
      <w:r w:rsidRPr="00291346">
        <w:t>)</w:t>
      </w:r>
      <w:r w:rsidRPr="00291346">
        <w:tab/>
        <w:t>współpracować z Kanadą w zakresie zwiększania odporności demokratycznej na całym świecie przez promowanie całościowego podejścia do bezpieczeństwa oraz wspieranie wolnych mediów, uczciwości wyborów, spójności społecznej i społeczeństwa obywatelskiego w demokracjach podatnych na zagrożenia;</w:t>
      </w:r>
    </w:p>
    <w:p w14:paraId="167AEE03" w14:textId="77777777" w:rsidR="00DD48B4" w:rsidRPr="00291346" w:rsidRDefault="00DD48B4" w:rsidP="00146B5A">
      <w:pPr>
        <w:pStyle w:val="NormalHanging12a"/>
        <w:ind w:left="1134"/>
        <w:rPr>
          <w:bCs/>
          <w:szCs w:val="24"/>
        </w:rPr>
      </w:pPr>
      <w:proofErr w:type="spellStart"/>
      <w:r w:rsidRPr="00291346">
        <w:t>bj</w:t>
      </w:r>
      <w:proofErr w:type="spellEnd"/>
      <w:r w:rsidRPr="00291346">
        <w:t>)</w:t>
      </w:r>
      <w:r w:rsidRPr="00291346">
        <w:tab/>
        <w:t>zacieśnić współpracę w obszarze regulacji mediów społecznościowych i gigantów technologicznych, jednocześnie wzmacniając unijne przepisy aktu o usługach cyfrowych</w:t>
      </w:r>
      <w:r w:rsidRPr="00291346">
        <w:rPr>
          <w:rStyle w:val="FootnoteReference"/>
          <w:bCs/>
          <w:szCs w:val="24"/>
        </w:rPr>
        <w:footnoteReference w:id="5"/>
      </w:r>
      <w:r w:rsidRPr="00291346">
        <w:t xml:space="preserve"> i aktu o rynkach cyfrowych</w:t>
      </w:r>
      <w:r w:rsidRPr="00291346">
        <w:rPr>
          <w:rStyle w:val="FootnoteReference"/>
          <w:bCs/>
          <w:szCs w:val="24"/>
        </w:rPr>
        <w:footnoteReference w:id="6"/>
      </w:r>
      <w:r w:rsidRPr="00291346">
        <w:t>;</w:t>
      </w:r>
    </w:p>
    <w:p w14:paraId="05099CCB" w14:textId="77777777" w:rsidR="00DD48B4" w:rsidRPr="00291346" w:rsidRDefault="00DD48B4" w:rsidP="00146B5A">
      <w:pPr>
        <w:pStyle w:val="NormalHanging12a"/>
        <w:ind w:left="1134"/>
        <w:rPr>
          <w:bCs/>
          <w:szCs w:val="24"/>
        </w:rPr>
      </w:pPr>
      <w:proofErr w:type="spellStart"/>
      <w:r w:rsidRPr="00291346">
        <w:lastRenderedPageBreak/>
        <w:t>bk</w:t>
      </w:r>
      <w:proofErr w:type="spellEnd"/>
      <w:r w:rsidRPr="00291346">
        <w:t>)</w:t>
      </w:r>
      <w:r w:rsidRPr="00291346">
        <w:tab/>
        <w:t>ściśle współpracować z Kanadą w celu opracowania odpowiedzialnego zarządzania AI zgodnie z Konwencją ramową w sprawie sztucznej inteligencji, praw człowieka, demokracji i praworządności, której sygnatariuszami są zarówno UE, jak i Kanada;</w:t>
      </w:r>
    </w:p>
    <w:p w14:paraId="5CD0D7F5" w14:textId="77777777" w:rsidR="00DD48B4" w:rsidRPr="00291346" w:rsidRDefault="00DD48B4" w:rsidP="00146B5A">
      <w:pPr>
        <w:pStyle w:val="NormalHanging12a"/>
        <w:ind w:left="1134"/>
        <w:rPr>
          <w:bCs/>
          <w:szCs w:val="24"/>
        </w:rPr>
      </w:pPr>
      <w:proofErr w:type="spellStart"/>
      <w:r w:rsidRPr="00291346">
        <w:t>bl</w:t>
      </w:r>
      <w:proofErr w:type="spellEnd"/>
      <w:r w:rsidRPr="00291346">
        <w:t>)</w:t>
      </w:r>
      <w:r w:rsidRPr="00291346">
        <w:tab/>
        <w:t>wspierać współpracę i wymianę dobrych praktyk w celu wspólnego promowania równości i integracji grup marginalizowanych w UE, Kanadzie i na całym świecie, w oparciu o inicjatywy takie jak Unia równości w UE i kanadyjska strategia na rzecz sprawiedliwości dla ludności rdzennej;</w:t>
      </w:r>
    </w:p>
    <w:p w14:paraId="52F9C565" w14:textId="77777777" w:rsidR="00DD48B4" w:rsidRPr="00291346" w:rsidRDefault="00DD48B4" w:rsidP="0003318B">
      <w:pPr>
        <w:pStyle w:val="NormalHanging12a"/>
        <w:ind w:firstLine="0"/>
        <w:rPr>
          <w:b/>
          <w:i/>
          <w:iCs/>
          <w:szCs w:val="24"/>
        </w:rPr>
      </w:pPr>
      <w:r w:rsidRPr="00291346">
        <w:rPr>
          <w:b/>
          <w:i/>
        </w:rPr>
        <w:t>Uwagi końcowe</w:t>
      </w:r>
    </w:p>
    <w:p w14:paraId="5316830A" w14:textId="77777777" w:rsidR="00DD48B4" w:rsidRPr="00291346" w:rsidRDefault="00DD48B4" w:rsidP="00146B5A">
      <w:pPr>
        <w:pStyle w:val="NormalHanging12a"/>
        <w:ind w:left="1134"/>
      </w:pPr>
      <w:proofErr w:type="spellStart"/>
      <w:r w:rsidRPr="00291346">
        <w:t>bm</w:t>
      </w:r>
      <w:proofErr w:type="spellEnd"/>
      <w:r w:rsidRPr="00291346">
        <w:t>)</w:t>
      </w:r>
      <w:r w:rsidRPr="00291346">
        <w:tab/>
        <w:t>dalej budować prawdziwie strategiczne partnerstwo z Kanadą, oparte na zaufaniu oraz wspólnych zasadach i wartościach zakorzenionych w prawie międzynarodowym i demokracji;</w:t>
      </w:r>
    </w:p>
    <w:p w14:paraId="21ADFE30" w14:textId="77777777" w:rsidR="00DD48B4" w:rsidRPr="00291346" w:rsidRDefault="00DD48B4" w:rsidP="00146B5A">
      <w:pPr>
        <w:pStyle w:val="NormalHanging12a"/>
        <w:ind w:left="1134"/>
        <w:rPr>
          <w:szCs w:val="24"/>
        </w:rPr>
      </w:pPr>
      <w:proofErr w:type="spellStart"/>
      <w:r w:rsidRPr="00291346">
        <w:t>bn</w:t>
      </w:r>
      <w:proofErr w:type="spellEnd"/>
      <w:r w:rsidRPr="00291346">
        <w:t>)</w:t>
      </w:r>
      <w:r w:rsidRPr="00291346">
        <w:tab/>
        <w:t>promować zaangażowanie w inicjatywy współpracy nie tylko z rządem centralnym Kanady, ale także z władzami prowincji i gmin oraz innymi właściwymi organami;</w:t>
      </w:r>
    </w:p>
    <w:p w14:paraId="2AFD2BF7" w14:textId="77777777" w:rsidR="00DD48B4" w:rsidRPr="00291346" w:rsidRDefault="00DD48B4" w:rsidP="00DD48B4">
      <w:pPr>
        <w:pStyle w:val="NormalHanging12a"/>
        <w:jc w:val="center"/>
      </w:pPr>
      <w:r w:rsidRPr="00291346">
        <w:t>°</w:t>
      </w:r>
    </w:p>
    <w:p w14:paraId="4D8C62DE" w14:textId="77777777" w:rsidR="00DD48B4" w:rsidRPr="00291346" w:rsidRDefault="00DD48B4" w:rsidP="00DD48B4">
      <w:pPr>
        <w:pStyle w:val="NormalHanging12a"/>
        <w:jc w:val="center"/>
      </w:pPr>
      <w:r w:rsidRPr="00291346">
        <w:t>°</w:t>
      </w:r>
      <w:r w:rsidRPr="00291346">
        <w:tab/>
        <w:t>°</w:t>
      </w:r>
    </w:p>
    <w:p w14:paraId="1DB9CB12" w14:textId="1EA5D8F7" w:rsidR="00291346" w:rsidRPr="00291346" w:rsidRDefault="00DD48B4" w:rsidP="00291346">
      <w:pPr>
        <w:pStyle w:val="NormalHanging12a"/>
      </w:pPr>
      <w:r w:rsidRPr="00291346">
        <w:t>2.</w:t>
      </w:r>
      <w:r w:rsidRPr="00291346">
        <w:tab/>
        <w:t>zobowiązuje swoją przewodniczącą do przekazania niniejszego zalecenia Radzie, Komisji oraz wiceprzewodniczącej Komisji / wysokiej przedstawicielce Unii do spraw zagranicznych i polityki bezpieczeństwa.</w:t>
      </w:r>
    </w:p>
    <w:p w14:paraId="7FA5B5E4" w14:textId="015B28F9" w:rsidR="00E365E1" w:rsidRPr="00291346" w:rsidRDefault="00E365E1" w:rsidP="00546D3B"/>
    <w:sectPr w:rsidR="00E365E1" w:rsidRPr="00291346" w:rsidSect="002913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F1C1D" w14:textId="77777777" w:rsidR="00546D3B" w:rsidRPr="00291346" w:rsidRDefault="00546D3B">
      <w:r w:rsidRPr="00291346">
        <w:separator/>
      </w:r>
    </w:p>
  </w:endnote>
  <w:endnote w:type="continuationSeparator" w:id="0">
    <w:p w14:paraId="291DE12A" w14:textId="77777777" w:rsidR="00546D3B" w:rsidRPr="00291346" w:rsidRDefault="00546D3B">
      <w:r w:rsidRPr="002913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E9182" w14:textId="77777777" w:rsidR="00064002" w:rsidRPr="0029134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917DA" w14:textId="77777777" w:rsidR="00064002" w:rsidRPr="0029134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D5ABE" w14:textId="77777777" w:rsidR="00064002" w:rsidRPr="0029134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7048B" w14:textId="77777777" w:rsidR="00546D3B" w:rsidRPr="00291346" w:rsidRDefault="00546D3B">
      <w:r w:rsidRPr="00291346">
        <w:separator/>
      </w:r>
    </w:p>
  </w:footnote>
  <w:footnote w:type="continuationSeparator" w:id="0">
    <w:p w14:paraId="0FCEE03F" w14:textId="77777777" w:rsidR="00546D3B" w:rsidRPr="00291346" w:rsidRDefault="00546D3B">
      <w:r w:rsidRPr="00291346">
        <w:continuationSeparator/>
      </w:r>
    </w:p>
  </w:footnote>
  <w:footnote w:id="1">
    <w:p w14:paraId="345444E7" w14:textId="78653836" w:rsidR="00DD48B4" w:rsidRPr="00291346" w:rsidRDefault="00DD48B4" w:rsidP="00291346">
      <w:pPr>
        <w:pStyle w:val="FootnoteText"/>
        <w:ind w:left="567" w:hanging="567"/>
        <w:rPr>
          <w:sz w:val="24"/>
          <w:lang w:val="pl-PL"/>
        </w:rPr>
      </w:pPr>
      <w:r w:rsidRPr="00291346">
        <w:rPr>
          <w:rStyle w:val="FootnoteReference"/>
          <w:sz w:val="24"/>
          <w:lang w:val="pl-PL"/>
        </w:rPr>
        <w:footnoteRef/>
      </w:r>
      <w:r w:rsidR="00291346" w:rsidRPr="00291346">
        <w:rPr>
          <w:sz w:val="24"/>
          <w:lang w:val="pl-PL"/>
        </w:rPr>
        <w:t xml:space="preserve"> </w:t>
      </w:r>
      <w:r w:rsidR="00291346" w:rsidRPr="00291346">
        <w:rPr>
          <w:sz w:val="24"/>
          <w:lang w:val="pl-PL"/>
        </w:rPr>
        <w:tab/>
      </w:r>
      <w:r w:rsidRPr="00291346">
        <w:rPr>
          <w:sz w:val="24"/>
          <w:lang w:val="pl-PL"/>
        </w:rPr>
        <w:t xml:space="preserve">Dz.U. L 329 z 3.12.2016, s. 45, ELI: </w:t>
      </w:r>
      <w:hyperlink r:id="rId1" w:history="1">
        <w:r w:rsidRPr="00291346">
          <w:rPr>
            <w:rStyle w:val="Hyperlink"/>
            <w:sz w:val="24"/>
            <w:lang w:val="pl-PL"/>
          </w:rPr>
          <w:t>http://data.europa.eu/eli/agree_internation/2016/2118/oj</w:t>
        </w:r>
      </w:hyperlink>
      <w:r w:rsidRPr="00291346">
        <w:rPr>
          <w:sz w:val="24"/>
          <w:lang w:val="pl-PL"/>
        </w:rPr>
        <w:t>.</w:t>
      </w:r>
    </w:p>
  </w:footnote>
  <w:footnote w:id="2">
    <w:p w14:paraId="1FE43068" w14:textId="1DD6F40A" w:rsidR="00DD48B4" w:rsidRPr="00291346" w:rsidRDefault="00DD48B4" w:rsidP="00291346">
      <w:pPr>
        <w:pStyle w:val="FootnoteText"/>
        <w:ind w:left="567" w:hanging="567"/>
        <w:rPr>
          <w:sz w:val="24"/>
          <w:lang w:val="pl-PL"/>
        </w:rPr>
      </w:pPr>
      <w:r w:rsidRPr="00291346">
        <w:rPr>
          <w:rStyle w:val="FootnoteReference"/>
          <w:sz w:val="24"/>
          <w:lang w:val="pl-PL"/>
        </w:rPr>
        <w:footnoteRef/>
      </w:r>
      <w:r w:rsidR="00291346" w:rsidRPr="00291346">
        <w:rPr>
          <w:sz w:val="24"/>
          <w:lang w:val="pl-PL"/>
        </w:rPr>
        <w:t xml:space="preserve"> </w:t>
      </w:r>
      <w:r w:rsidR="00291346" w:rsidRPr="00291346">
        <w:rPr>
          <w:sz w:val="24"/>
          <w:lang w:val="pl-PL"/>
        </w:rPr>
        <w:tab/>
      </w:r>
      <w:r w:rsidRPr="00291346">
        <w:rPr>
          <w:sz w:val="24"/>
          <w:lang w:val="pl-PL"/>
        </w:rPr>
        <w:t xml:space="preserve">Dz.U. L 11 z </w:t>
      </w:r>
      <w:proofErr w:type="gramStart"/>
      <w:r w:rsidRPr="00291346">
        <w:rPr>
          <w:sz w:val="24"/>
          <w:lang w:val="pl-PL"/>
        </w:rPr>
        <w:t>14.1.2017</w:t>
      </w:r>
      <w:proofErr w:type="gramEnd"/>
      <w:r w:rsidRPr="00291346">
        <w:rPr>
          <w:sz w:val="24"/>
          <w:lang w:val="pl-PL"/>
        </w:rPr>
        <w:t xml:space="preserve">, s. 23, ELI: </w:t>
      </w:r>
      <w:hyperlink r:id="rId2" w:history="1">
        <w:r w:rsidRPr="00291346">
          <w:rPr>
            <w:rStyle w:val="Hyperlink"/>
            <w:sz w:val="24"/>
            <w:lang w:val="pl-PL"/>
          </w:rPr>
          <w:t>http://data.europa.eu/eli/agree_internation/2017/37/oj</w:t>
        </w:r>
      </w:hyperlink>
      <w:r w:rsidRPr="00291346">
        <w:rPr>
          <w:sz w:val="24"/>
          <w:lang w:val="pl-PL"/>
        </w:rPr>
        <w:t>.</w:t>
      </w:r>
    </w:p>
  </w:footnote>
  <w:footnote w:id="3">
    <w:p w14:paraId="1021BB22" w14:textId="3A0518B1" w:rsidR="00DD48B4" w:rsidRPr="00291346" w:rsidRDefault="00DD48B4" w:rsidP="00291346">
      <w:pPr>
        <w:pStyle w:val="FootnoteText"/>
        <w:ind w:left="567" w:hanging="567"/>
        <w:rPr>
          <w:sz w:val="24"/>
          <w:lang w:val="pl-PL"/>
        </w:rPr>
      </w:pPr>
      <w:r w:rsidRPr="00291346">
        <w:rPr>
          <w:rStyle w:val="FootnoteReference"/>
          <w:sz w:val="24"/>
          <w:lang w:val="pl-PL"/>
        </w:rPr>
        <w:footnoteRef/>
      </w:r>
      <w:r w:rsidR="00291346" w:rsidRPr="00291346">
        <w:rPr>
          <w:sz w:val="24"/>
          <w:lang w:val="pl-PL"/>
        </w:rPr>
        <w:t xml:space="preserve"> </w:t>
      </w:r>
      <w:r w:rsidR="00291346" w:rsidRPr="00291346">
        <w:rPr>
          <w:sz w:val="24"/>
          <w:lang w:val="pl-PL"/>
        </w:rPr>
        <w:tab/>
      </w:r>
      <w:r w:rsidRPr="00291346">
        <w:rPr>
          <w:sz w:val="24"/>
          <w:lang w:val="pl-PL"/>
        </w:rPr>
        <w:t>Komisja Europejska: Dyrekcja Generalna ds. Handlu i Bezpieczeństwa Gospodarczego i in., „</w:t>
      </w:r>
      <w:proofErr w:type="spellStart"/>
      <w:r w:rsidRPr="00291346">
        <w:rPr>
          <w:sz w:val="24"/>
          <w:lang w:val="pl-PL"/>
        </w:rPr>
        <w:t>Study</w:t>
      </w:r>
      <w:proofErr w:type="spellEnd"/>
      <w:r w:rsidRPr="00291346">
        <w:rPr>
          <w:sz w:val="24"/>
          <w:lang w:val="pl-PL"/>
        </w:rPr>
        <w:t xml:space="preserve"> in </w:t>
      </w:r>
      <w:proofErr w:type="spellStart"/>
      <w:r w:rsidRPr="00291346">
        <w:rPr>
          <w:sz w:val="24"/>
          <w:lang w:val="pl-PL"/>
        </w:rPr>
        <w:t>support</w:t>
      </w:r>
      <w:proofErr w:type="spellEnd"/>
      <w:r w:rsidRPr="00291346">
        <w:rPr>
          <w:sz w:val="24"/>
          <w:lang w:val="pl-PL"/>
        </w:rPr>
        <w:t xml:space="preserve"> of </w:t>
      </w:r>
      <w:proofErr w:type="spellStart"/>
      <w:r w:rsidRPr="00291346">
        <w:rPr>
          <w:sz w:val="24"/>
          <w:lang w:val="pl-PL"/>
        </w:rPr>
        <w:t>an</w:t>
      </w:r>
      <w:proofErr w:type="spellEnd"/>
      <w:r w:rsidRPr="00291346">
        <w:rPr>
          <w:sz w:val="24"/>
          <w:lang w:val="pl-PL"/>
        </w:rPr>
        <w:t xml:space="preserve"> ex-post </w:t>
      </w:r>
      <w:proofErr w:type="spellStart"/>
      <w:r w:rsidRPr="00291346">
        <w:rPr>
          <w:sz w:val="24"/>
          <w:lang w:val="pl-PL"/>
        </w:rPr>
        <w:t>evaluation</w:t>
      </w:r>
      <w:proofErr w:type="spellEnd"/>
      <w:r w:rsidRPr="00291346">
        <w:rPr>
          <w:sz w:val="24"/>
          <w:lang w:val="pl-PL"/>
        </w:rPr>
        <w:t xml:space="preserve"> of the Comprehensive </w:t>
      </w:r>
      <w:proofErr w:type="spellStart"/>
      <w:r w:rsidRPr="00291346">
        <w:rPr>
          <w:sz w:val="24"/>
          <w:lang w:val="pl-PL"/>
        </w:rPr>
        <w:t>Economic</w:t>
      </w:r>
      <w:proofErr w:type="spellEnd"/>
      <w:r w:rsidRPr="00291346">
        <w:rPr>
          <w:sz w:val="24"/>
          <w:lang w:val="pl-PL"/>
        </w:rPr>
        <w:t xml:space="preserve"> and Trade Agreement (CETA) </w:t>
      </w:r>
      <w:proofErr w:type="spellStart"/>
      <w:r w:rsidRPr="00291346">
        <w:rPr>
          <w:sz w:val="24"/>
          <w:lang w:val="pl-PL"/>
        </w:rPr>
        <w:t>between</w:t>
      </w:r>
      <w:proofErr w:type="spellEnd"/>
      <w:r w:rsidRPr="00291346">
        <w:rPr>
          <w:sz w:val="24"/>
          <w:lang w:val="pl-PL"/>
        </w:rPr>
        <w:t xml:space="preserve"> the EU and </w:t>
      </w:r>
      <w:proofErr w:type="spellStart"/>
      <w:r w:rsidRPr="00291346">
        <w:rPr>
          <w:sz w:val="24"/>
          <w:lang w:val="pl-PL"/>
        </w:rPr>
        <w:t>its</w:t>
      </w:r>
      <w:proofErr w:type="spellEnd"/>
      <w:r w:rsidRPr="00291346">
        <w:rPr>
          <w:sz w:val="24"/>
          <w:lang w:val="pl-PL"/>
        </w:rPr>
        <w:t xml:space="preserve"> </w:t>
      </w:r>
      <w:proofErr w:type="spellStart"/>
      <w:r w:rsidRPr="00291346">
        <w:rPr>
          <w:sz w:val="24"/>
          <w:lang w:val="pl-PL"/>
        </w:rPr>
        <w:t>Member</w:t>
      </w:r>
      <w:proofErr w:type="spellEnd"/>
      <w:r w:rsidRPr="00291346">
        <w:rPr>
          <w:sz w:val="24"/>
          <w:lang w:val="pl-PL"/>
        </w:rPr>
        <w:t xml:space="preserve"> </w:t>
      </w:r>
      <w:proofErr w:type="spellStart"/>
      <w:r w:rsidRPr="00291346">
        <w:rPr>
          <w:sz w:val="24"/>
          <w:lang w:val="pl-PL"/>
        </w:rPr>
        <w:t>States</w:t>
      </w:r>
      <w:proofErr w:type="spellEnd"/>
      <w:r w:rsidRPr="00291346">
        <w:rPr>
          <w:sz w:val="24"/>
          <w:lang w:val="pl-PL"/>
        </w:rPr>
        <w:t xml:space="preserve"> and Canada – </w:t>
      </w:r>
      <w:proofErr w:type="spellStart"/>
      <w:r w:rsidRPr="00291346">
        <w:rPr>
          <w:sz w:val="24"/>
          <w:lang w:val="pl-PL"/>
        </w:rPr>
        <w:t>Final</w:t>
      </w:r>
      <w:proofErr w:type="spellEnd"/>
      <w:r w:rsidRPr="00291346">
        <w:rPr>
          <w:sz w:val="24"/>
          <w:lang w:val="pl-PL"/>
        </w:rPr>
        <w:t xml:space="preserve"> report – </w:t>
      </w:r>
      <w:proofErr w:type="spellStart"/>
      <w:r w:rsidRPr="00291346">
        <w:rPr>
          <w:sz w:val="24"/>
          <w:lang w:val="pl-PL"/>
        </w:rPr>
        <w:t>Annexes</w:t>
      </w:r>
      <w:proofErr w:type="spellEnd"/>
      <w:r w:rsidRPr="00291346">
        <w:rPr>
          <w:sz w:val="24"/>
          <w:lang w:val="pl-PL"/>
        </w:rPr>
        <w:t xml:space="preserve">” [Badanie wspierające ocenę ex post kompleksowej umowy gospodarczo-handlowej (CETA) między UE i jej państwami członkowskimi a Kanadą – sprawozdanie końcowe – załączniki], Urząd Publikacji Unii Europejskiej, 2025 r., </w:t>
      </w:r>
      <w:hyperlink r:id="rId3" w:history="1">
        <w:r w:rsidRPr="00291346">
          <w:rPr>
            <w:rStyle w:val="Hyperlink"/>
            <w:sz w:val="24"/>
            <w:lang w:val="pl-PL"/>
          </w:rPr>
          <w:t>https://data.europa.eu/doi/10.2781/9705637</w:t>
        </w:r>
      </w:hyperlink>
      <w:r w:rsidRPr="00291346">
        <w:rPr>
          <w:rStyle w:val="Hyperlink"/>
          <w:sz w:val="24"/>
          <w:lang w:val="pl-PL"/>
        </w:rPr>
        <w:t>.</w:t>
      </w:r>
    </w:p>
  </w:footnote>
  <w:footnote w:id="4">
    <w:p w14:paraId="7914C769" w14:textId="0B0FBAF7" w:rsidR="00DD48B4" w:rsidRPr="00291346" w:rsidRDefault="00DD48B4" w:rsidP="00291346">
      <w:pPr>
        <w:pStyle w:val="FootnoteText"/>
        <w:ind w:left="567" w:hanging="567"/>
        <w:rPr>
          <w:color w:val="0563C1" w:themeColor="hyperlink"/>
          <w:sz w:val="24"/>
          <w:szCs w:val="24"/>
          <w:u w:val="single"/>
          <w:lang w:val="pl-PL"/>
        </w:rPr>
      </w:pPr>
      <w:r w:rsidRPr="00291346">
        <w:rPr>
          <w:rStyle w:val="FootnoteReference"/>
          <w:sz w:val="24"/>
          <w:lang w:val="pl-PL"/>
        </w:rPr>
        <w:footnoteRef/>
      </w:r>
      <w:r w:rsidR="00291346" w:rsidRPr="00291346">
        <w:rPr>
          <w:sz w:val="24"/>
          <w:lang w:val="pl-PL"/>
        </w:rPr>
        <w:t xml:space="preserve"> </w:t>
      </w:r>
      <w:r w:rsidR="00291346" w:rsidRPr="00291346">
        <w:rPr>
          <w:sz w:val="24"/>
          <w:lang w:val="pl-PL"/>
        </w:rPr>
        <w:tab/>
      </w:r>
      <w:r w:rsidRPr="00291346">
        <w:rPr>
          <w:sz w:val="24"/>
          <w:lang w:val="pl-PL"/>
        </w:rPr>
        <w:t>Decyzja Wspólnego Komitetu ds. Wzajemnego uznawania kwalifikacji zawodowych nr 1/2024 z dnia 10 października 2024 r. ustanawiająca Umowę o wzajemnym uznaniu kwalifikacji zawodowych architektów (Dz.U. L, 2024/2873, 14.11.2024, ELI:</w:t>
      </w:r>
      <w:r w:rsidRPr="00291346">
        <w:rPr>
          <w:b/>
          <w:sz w:val="24"/>
          <w:lang w:val="pl-PL"/>
        </w:rPr>
        <w:t xml:space="preserve"> </w:t>
      </w:r>
      <w:hyperlink r:id="rId4" w:history="1">
        <w:r w:rsidRPr="00291346">
          <w:rPr>
            <w:rStyle w:val="Hyperlink"/>
            <w:sz w:val="24"/>
            <w:lang w:val="pl-PL"/>
          </w:rPr>
          <w:t>http://data.europa.eu/eli/dec/2024/2873/oj</w:t>
        </w:r>
      </w:hyperlink>
      <w:r w:rsidRPr="00291346">
        <w:rPr>
          <w:rStyle w:val="Hyperlink"/>
          <w:sz w:val="24"/>
          <w:lang w:val="pl-PL"/>
        </w:rPr>
        <w:t>)</w:t>
      </w:r>
      <w:r w:rsidRPr="00291346">
        <w:rPr>
          <w:sz w:val="24"/>
          <w:lang w:val="pl-PL"/>
        </w:rPr>
        <w:t>.</w:t>
      </w:r>
    </w:p>
  </w:footnote>
  <w:footnote w:id="5">
    <w:p w14:paraId="2D3312F6" w14:textId="7229A332" w:rsidR="00DD48B4" w:rsidRPr="00291346" w:rsidRDefault="00DD48B4" w:rsidP="00291346">
      <w:pPr>
        <w:pStyle w:val="FootnoteText"/>
        <w:ind w:left="567" w:hanging="567"/>
        <w:rPr>
          <w:sz w:val="24"/>
          <w:lang w:val="pl-PL"/>
        </w:rPr>
      </w:pPr>
      <w:r w:rsidRPr="00291346">
        <w:rPr>
          <w:rStyle w:val="FootnoteReference"/>
          <w:sz w:val="24"/>
          <w:lang w:val="pl-PL"/>
        </w:rPr>
        <w:footnoteRef/>
      </w:r>
      <w:r w:rsidR="00291346" w:rsidRPr="00291346">
        <w:rPr>
          <w:sz w:val="24"/>
          <w:lang w:val="pl-PL"/>
        </w:rPr>
        <w:t xml:space="preserve"> </w:t>
      </w:r>
      <w:r w:rsidR="00291346" w:rsidRPr="00291346">
        <w:rPr>
          <w:sz w:val="24"/>
          <w:lang w:val="pl-PL"/>
        </w:rPr>
        <w:tab/>
      </w:r>
      <w:r w:rsidRPr="00291346">
        <w:rPr>
          <w:sz w:val="24"/>
          <w:lang w:val="pl-PL"/>
        </w:rPr>
        <w:t xml:space="preserve">Rozporządzenie Parlamentu Europejskiego i Rady (UE) 2022/2065 z 19 października 2022 r. w sprawie jednolitego rynku usług cyfrowych oraz zmiany dyrektywy 2000/31/WE (akt o usługach cyfrowych) (Dz.U. L 277 z 27.10.2022, s. 1, ELI: </w:t>
      </w:r>
      <w:hyperlink r:id="rId5" w:history="1">
        <w:r w:rsidRPr="00291346">
          <w:rPr>
            <w:rStyle w:val="Hyperlink"/>
            <w:sz w:val="24"/>
            <w:lang w:val="pl-PL"/>
          </w:rPr>
          <w:t>http://data.europa.eu/eli/reg/2022/2065/oj</w:t>
        </w:r>
      </w:hyperlink>
      <w:r w:rsidRPr="00291346">
        <w:rPr>
          <w:sz w:val="24"/>
          <w:lang w:val="pl-PL"/>
        </w:rPr>
        <w:t xml:space="preserve">). </w:t>
      </w:r>
    </w:p>
  </w:footnote>
  <w:footnote w:id="6">
    <w:p w14:paraId="1B6B3F1C" w14:textId="7651CB09" w:rsidR="00DD48B4" w:rsidRPr="00291346" w:rsidRDefault="00DD48B4" w:rsidP="00291346">
      <w:pPr>
        <w:pStyle w:val="FootnoteText"/>
        <w:ind w:left="567" w:hanging="567"/>
        <w:rPr>
          <w:sz w:val="24"/>
          <w:lang w:val="pl-PL"/>
        </w:rPr>
      </w:pPr>
      <w:r w:rsidRPr="00291346">
        <w:rPr>
          <w:rStyle w:val="FootnoteReference"/>
          <w:sz w:val="24"/>
          <w:lang w:val="pl-PL"/>
        </w:rPr>
        <w:footnoteRef/>
      </w:r>
      <w:r w:rsidR="00291346" w:rsidRPr="00291346">
        <w:rPr>
          <w:sz w:val="24"/>
          <w:lang w:val="pl-PL"/>
        </w:rPr>
        <w:t xml:space="preserve"> </w:t>
      </w:r>
      <w:r w:rsidR="00291346" w:rsidRPr="00291346">
        <w:rPr>
          <w:sz w:val="24"/>
          <w:lang w:val="pl-PL"/>
        </w:rPr>
        <w:tab/>
      </w:r>
      <w:r w:rsidRPr="00291346">
        <w:rPr>
          <w:sz w:val="24"/>
          <w:lang w:val="pl-PL"/>
        </w:rPr>
        <w:t xml:space="preserve">Rozporządzenie Parlamentu Europejskiego i Rady (UE) 2022/1925 z dnia 14 września 2022 r. w sprawie </w:t>
      </w:r>
      <w:proofErr w:type="spellStart"/>
      <w:r w:rsidRPr="00291346">
        <w:rPr>
          <w:sz w:val="24"/>
          <w:lang w:val="pl-PL"/>
        </w:rPr>
        <w:t>kontestowalnych</w:t>
      </w:r>
      <w:proofErr w:type="spellEnd"/>
      <w:r w:rsidRPr="00291346">
        <w:rPr>
          <w:sz w:val="24"/>
          <w:lang w:val="pl-PL"/>
        </w:rPr>
        <w:t xml:space="preserve"> i uczciwych rynków w sektorze cyfrowym oraz zmiany dyrektyw (UE) 2019/1937 i (UE) 2020/1828 (akt o rynkach cyfrowych) (Dz.U. L 265 z 12.10.2022, s. 1, ELI: </w:t>
      </w:r>
      <w:hyperlink r:id="rId6" w:history="1">
        <w:r w:rsidRPr="00291346">
          <w:rPr>
            <w:rStyle w:val="Hyperlink"/>
            <w:sz w:val="24"/>
            <w:lang w:val="pl-PL"/>
          </w:rPr>
          <w:t>http://data.europa.eu/eli/reg/2022/1925/oj</w:t>
        </w:r>
      </w:hyperlink>
      <w:r w:rsidRPr="00291346">
        <w:rPr>
          <w:sz w:val="24"/>
          <w:lang w:val="pl-PL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77D0F" w14:textId="77777777" w:rsidR="00064002" w:rsidRPr="0029134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C2F28" w14:textId="77777777" w:rsidR="00064002" w:rsidRPr="0029134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28DEF" w14:textId="77777777" w:rsidR="00064002" w:rsidRPr="0029134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666729">
    <w:abstractNumId w:val="9"/>
  </w:num>
  <w:num w:numId="2" w16cid:durableId="1550805398">
    <w:abstractNumId w:val="9"/>
  </w:num>
  <w:num w:numId="3" w16cid:durableId="2068916906">
    <w:abstractNumId w:val="7"/>
  </w:num>
  <w:num w:numId="4" w16cid:durableId="469900782">
    <w:abstractNumId w:val="7"/>
  </w:num>
  <w:num w:numId="5" w16cid:durableId="359405152">
    <w:abstractNumId w:val="6"/>
  </w:num>
  <w:num w:numId="6" w16cid:durableId="201677012">
    <w:abstractNumId w:val="6"/>
  </w:num>
  <w:num w:numId="7" w16cid:durableId="719136493">
    <w:abstractNumId w:val="5"/>
  </w:num>
  <w:num w:numId="8" w16cid:durableId="1020551994">
    <w:abstractNumId w:val="5"/>
  </w:num>
  <w:num w:numId="9" w16cid:durableId="987975191">
    <w:abstractNumId w:val="4"/>
  </w:num>
  <w:num w:numId="10" w16cid:durableId="109133861">
    <w:abstractNumId w:val="4"/>
  </w:num>
  <w:num w:numId="11" w16cid:durableId="2075926415">
    <w:abstractNumId w:val="8"/>
  </w:num>
  <w:num w:numId="12" w16cid:durableId="1113746234">
    <w:abstractNumId w:val="8"/>
  </w:num>
  <w:num w:numId="13" w16cid:durableId="520364429">
    <w:abstractNumId w:val="3"/>
  </w:num>
  <w:num w:numId="14" w16cid:durableId="1609658410">
    <w:abstractNumId w:val="3"/>
  </w:num>
  <w:num w:numId="15" w16cid:durableId="352345327">
    <w:abstractNumId w:val="2"/>
  </w:num>
  <w:num w:numId="16" w16cid:durableId="1123843531">
    <w:abstractNumId w:val="2"/>
  </w:num>
  <w:num w:numId="17" w16cid:durableId="1216892845">
    <w:abstractNumId w:val="1"/>
  </w:num>
  <w:num w:numId="18" w16cid:durableId="20933585">
    <w:abstractNumId w:val="1"/>
  </w:num>
  <w:num w:numId="19" w16cid:durableId="1204098527">
    <w:abstractNumId w:val="0"/>
  </w:num>
  <w:num w:numId="20" w16cid:durableId="837690892">
    <w:abstractNumId w:val="0"/>
  </w:num>
  <w:num w:numId="21" w16cid:durableId="1401563585">
    <w:abstractNumId w:val="9"/>
  </w:num>
  <w:num w:numId="22" w16cid:durableId="2006542834">
    <w:abstractNumId w:val="7"/>
  </w:num>
  <w:num w:numId="23" w16cid:durableId="1630235248">
    <w:abstractNumId w:val="6"/>
  </w:num>
  <w:num w:numId="24" w16cid:durableId="1910194305">
    <w:abstractNumId w:val="5"/>
  </w:num>
  <w:num w:numId="25" w16cid:durableId="1508980640">
    <w:abstractNumId w:val="4"/>
  </w:num>
  <w:num w:numId="26" w16cid:durableId="1569027284">
    <w:abstractNumId w:val="8"/>
  </w:num>
  <w:num w:numId="27" w16cid:durableId="287973491">
    <w:abstractNumId w:val="3"/>
  </w:num>
  <w:num w:numId="28" w16cid:durableId="804738534">
    <w:abstractNumId w:val="2"/>
  </w:num>
  <w:num w:numId="29" w16cid:durableId="1940335378">
    <w:abstractNumId w:val="1"/>
  </w:num>
  <w:num w:numId="30" w16cid:durableId="116722609">
    <w:abstractNumId w:val="0"/>
  </w:num>
  <w:num w:numId="31" w16cid:durableId="1634945197">
    <w:abstractNumId w:val="9"/>
  </w:num>
  <w:num w:numId="32" w16cid:durableId="220871945">
    <w:abstractNumId w:val="7"/>
  </w:num>
  <w:num w:numId="33" w16cid:durableId="1097403154">
    <w:abstractNumId w:val="6"/>
  </w:num>
  <w:num w:numId="34" w16cid:durableId="1324894627">
    <w:abstractNumId w:val="5"/>
  </w:num>
  <w:num w:numId="35" w16cid:durableId="987049117">
    <w:abstractNumId w:val="4"/>
  </w:num>
  <w:num w:numId="36" w16cid:durableId="1208225960">
    <w:abstractNumId w:val="8"/>
  </w:num>
  <w:num w:numId="37" w16cid:durableId="1759403925">
    <w:abstractNumId w:val="3"/>
  </w:num>
  <w:num w:numId="38" w16cid:durableId="1009678009">
    <w:abstractNumId w:val="2"/>
  </w:num>
  <w:num w:numId="39" w16cid:durableId="894394720">
    <w:abstractNumId w:val="1"/>
  </w:num>
  <w:num w:numId="40" w16cid:durableId="574167454">
    <w:abstractNumId w:val="0"/>
  </w:num>
  <w:num w:numId="41" w16cid:durableId="106463086">
    <w:abstractNumId w:val="10"/>
  </w:num>
  <w:num w:numId="42" w16cid:durableId="168298131">
    <w:abstractNumId w:val="10"/>
  </w:num>
  <w:num w:numId="43" w16cid:durableId="1683357907">
    <w:abstractNumId w:val="10"/>
  </w:num>
  <w:num w:numId="44" w16cid:durableId="12923254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5/2026"/>
    <w:docVar w:name="dvlangue" w:val="PL"/>
    <w:docVar w:name="dvnumam" w:val="31"/>
    <w:docVar w:name="dvpe" w:val="778.092"/>
    <w:docVar w:name="dvrapporteur" w:val="Sprawozdawca: "/>
    <w:docVar w:name="dvstar" w:val="??"/>
    <w:docVar w:name="dvtitre" w:val="Zalecenie Parlamentu Europejskiego dla Rady dotyczące zalecenia Parlamentu Europejskiego dla Rady, Komisji i wiceprzewodniczącej Komisji / wysokiej przedstawicielki Unii do spraw zagranicznych i polityki bezpieczeństwa w sprawie zacieśnionej współpracy UE–Kanada w świetle obecnej sytuacji geopolitycznej, w tym zagrożeń dla stabilności gospodarczej i suwerenności Kanady(2025/2168(INI))"/>
  </w:docVars>
  <w:rsids>
    <w:rsidRoot w:val="00546D3B"/>
    <w:rsid w:val="00002272"/>
    <w:rsid w:val="0003318B"/>
    <w:rsid w:val="00064002"/>
    <w:rsid w:val="000677B9"/>
    <w:rsid w:val="000831BA"/>
    <w:rsid w:val="000A42CC"/>
    <w:rsid w:val="000E7DD9"/>
    <w:rsid w:val="0010095E"/>
    <w:rsid w:val="00125B37"/>
    <w:rsid w:val="00146B5A"/>
    <w:rsid w:val="00187494"/>
    <w:rsid w:val="001F32AE"/>
    <w:rsid w:val="002767FF"/>
    <w:rsid w:val="00291346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6D3B"/>
    <w:rsid w:val="00560270"/>
    <w:rsid w:val="00587A05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154C"/>
    <w:rsid w:val="00D834A0"/>
    <w:rsid w:val="00D872DF"/>
    <w:rsid w:val="00D91E21"/>
    <w:rsid w:val="00DA7FCD"/>
    <w:rsid w:val="00DD48B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7B46D0"/>
  <w15:chartTrackingRefBased/>
  <w15:docId w15:val="{441EEF0C-DE8C-488C-924E-379EB288F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D48B4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qFormat/>
    <w:rsid w:val="00DD48B4"/>
    <w:pPr>
      <w:spacing w:after="240"/>
      <w:ind w:left="567" w:hanging="567"/>
    </w:pPr>
  </w:style>
  <w:style w:type="character" w:styleId="Hyperlink">
    <w:name w:val="Hyperlink"/>
    <w:basedOn w:val="DefaultParagraphFont"/>
    <w:rsid w:val="00DD48B4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DD48B4"/>
    <w:rPr>
      <w:sz w:val="24"/>
      <w:lang w:val="pl-PL"/>
    </w:rPr>
  </w:style>
  <w:style w:type="paragraph" w:styleId="Revision">
    <w:name w:val="Revision"/>
    <w:hidden/>
    <w:uiPriority w:val="99"/>
    <w:semiHidden/>
    <w:rsid w:val="0003318B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ata.europa.eu/doi/10.2781/9705637" TargetMode="External"/><Relationship Id="rId2" Type="http://schemas.openxmlformats.org/officeDocument/2006/relationships/hyperlink" Target="http://data.europa.eu/eli/agree_internation/2017/37/oj" TargetMode="External"/><Relationship Id="rId1" Type="http://schemas.openxmlformats.org/officeDocument/2006/relationships/hyperlink" Target="http://data.europa.eu/eli/agree_internation/2016/2118/oj" TargetMode="External"/><Relationship Id="rId6" Type="http://schemas.openxmlformats.org/officeDocument/2006/relationships/hyperlink" Target="http://data.europa.eu/eli/reg/2022/1925/oj" TargetMode="External"/><Relationship Id="rId5" Type="http://schemas.openxmlformats.org/officeDocument/2006/relationships/hyperlink" Target="http://data.europa.eu/eli/reg/2022/2065/oj" TargetMode="External"/><Relationship Id="rId4" Type="http://schemas.openxmlformats.org/officeDocument/2006/relationships/hyperlink" Target="http://data.europa.eu/eli/dec/2024/287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4669</Words>
  <Characters>31916</Characters>
  <Application>Microsoft Office Word</Application>
  <DocSecurity>0</DocSecurity>
  <Lines>1276</Lines>
  <Paragraphs>762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2026-03-12T11:52:00Z</dcterms:created>
  <dcterms:modified xsi:type="dcterms:W3CDTF">2026-03-12T11:52:00Z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P10_TA(2026)0078_</vt:lpwstr>
  </property>
  <property fmtid="{D5CDD505-2E9C-101B-9397-08002B2CF9AE}" pid="4" name="&lt;Type&gt;">
    <vt:lpwstr>RR</vt:lpwstr>
  </property>
</Properties>
</file>