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77483" w14:paraId="4BCF8A57" w14:textId="77777777" w:rsidTr="0010095E">
        <w:trPr>
          <w:trHeight w:hRule="exact" w:val="1418"/>
        </w:trPr>
        <w:tc>
          <w:tcPr>
            <w:tcW w:w="6804" w:type="dxa"/>
            <w:shd w:val="clear" w:color="auto" w:fill="auto"/>
            <w:vAlign w:val="center"/>
          </w:tcPr>
          <w:p w14:paraId="52874679" w14:textId="7C72637C" w:rsidR="00751A4A" w:rsidRPr="00B77483" w:rsidRDefault="006C7049" w:rsidP="0010095E">
            <w:pPr>
              <w:pStyle w:val="EPName"/>
            </w:pPr>
            <w:r w:rsidRPr="00B77483">
              <w:t>E</w:t>
            </w:r>
            <w:r w:rsidR="0023399C">
              <w:t>v</w:t>
            </w:r>
            <w:r w:rsidRPr="00B77483">
              <w:t>ropski parlament</w:t>
            </w:r>
          </w:p>
          <w:p w14:paraId="2AA76839" w14:textId="77777777" w:rsidR="00751A4A" w:rsidRPr="00B77483" w:rsidRDefault="005F1B17" w:rsidP="005F1B17">
            <w:pPr>
              <w:pStyle w:val="EPTerm"/>
              <w:rPr>
                <w:rStyle w:val="HideTWBExt"/>
                <w:noProof w:val="0"/>
                <w:vanish w:val="0"/>
                <w:color w:val="auto"/>
              </w:rPr>
            </w:pPr>
            <w:r w:rsidRPr="00B77483">
              <w:t>2024</w:t>
            </w:r>
            <w:r w:rsidR="00817416" w:rsidRPr="00B77483">
              <w:t>-202</w:t>
            </w:r>
            <w:r w:rsidRPr="00B77483">
              <w:t>9</w:t>
            </w:r>
          </w:p>
        </w:tc>
        <w:tc>
          <w:tcPr>
            <w:tcW w:w="2268" w:type="dxa"/>
            <w:shd w:val="clear" w:color="auto" w:fill="auto"/>
          </w:tcPr>
          <w:p w14:paraId="73562B7F" w14:textId="77777777" w:rsidR="00751A4A" w:rsidRPr="00B77483" w:rsidRDefault="00187494" w:rsidP="0010095E">
            <w:pPr>
              <w:pStyle w:val="EPLogo"/>
            </w:pPr>
            <w:r w:rsidRPr="00B77483">
              <w:rPr>
                <w:noProof/>
                <w:lang w:eastAsia="ja-JP"/>
              </w:rPr>
              <w:drawing>
                <wp:inline distT="0" distB="0" distL="0" distR="0" wp14:anchorId="0453AEF5" wp14:editId="196B9B8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3FB1853" w14:textId="77777777" w:rsidR="00D058B8" w:rsidRPr="00B77483" w:rsidRDefault="00D058B8" w:rsidP="004C5D52">
      <w:pPr>
        <w:pStyle w:val="LineTop"/>
      </w:pPr>
    </w:p>
    <w:p w14:paraId="02E11780" w14:textId="77777777" w:rsidR="00680577" w:rsidRPr="00B77483" w:rsidRDefault="006C7049" w:rsidP="00680577">
      <w:pPr>
        <w:pStyle w:val="EPBodyTA1"/>
      </w:pPr>
      <w:r w:rsidRPr="00B77483">
        <w:t>SPREJETA BESEDILA</w:t>
      </w:r>
    </w:p>
    <w:p w14:paraId="104F39FB" w14:textId="77777777" w:rsidR="00D058B8" w:rsidRPr="00B77483" w:rsidRDefault="00D058B8" w:rsidP="00D058B8">
      <w:pPr>
        <w:pStyle w:val="LineBottom"/>
      </w:pPr>
    </w:p>
    <w:p w14:paraId="4A7019AB" w14:textId="05E4674E" w:rsidR="006C7049" w:rsidRPr="00B77483" w:rsidRDefault="006C7049" w:rsidP="006C7049">
      <w:pPr>
        <w:pStyle w:val="ATHeading1"/>
      </w:pPr>
      <w:bookmarkStart w:id="0" w:name="TANumber"/>
      <w:r w:rsidRPr="00B77483">
        <w:t>P10_TA(2026)00</w:t>
      </w:r>
      <w:r w:rsidR="00B77483" w:rsidRPr="00B77483">
        <w:t>7</w:t>
      </w:r>
      <w:r w:rsidR="00A627E0">
        <w:t>8</w:t>
      </w:r>
      <w:bookmarkEnd w:id="0"/>
    </w:p>
    <w:p w14:paraId="49958A8A" w14:textId="77777777" w:rsidR="006C7049" w:rsidRPr="00B77483" w:rsidRDefault="006C7049" w:rsidP="006C7049">
      <w:pPr>
        <w:pStyle w:val="ATHeading2"/>
      </w:pPr>
      <w:bookmarkStart w:id="1" w:name="title"/>
      <w:r w:rsidRPr="00B77483">
        <w:t>Priporočilo o okrepljenem sodelovanju med EU in Kanado glede na aktualne geopolitične razmere, vključno z grožnjami kanadski ekonomski stabilnosti in suverenosti</w:t>
      </w:r>
      <w:bookmarkEnd w:id="1"/>
    </w:p>
    <w:p w14:paraId="08F0ACAC" w14:textId="77777777" w:rsidR="006C7049" w:rsidRPr="00B77483" w:rsidRDefault="006C7049" w:rsidP="006C7049">
      <w:pPr>
        <w:rPr>
          <w:i/>
          <w:vanish/>
        </w:rPr>
      </w:pPr>
      <w:r w:rsidRPr="00B77483">
        <w:rPr>
          <w:i/>
        </w:rPr>
        <w:fldChar w:fldCharType="begin"/>
      </w:r>
      <w:r w:rsidRPr="00B77483">
        <w:rPr>
          <w:i/>
        </w:rPr>
        <w:instrText xml:space="preserve"> TC"(</w:instrText>
      </w:r>
      <w:bookmarkStart w:id="2" w:name="DocNumber"/>
      <w:r w:rsidRPr="00B77483">
        <w:rPr>
          <w:i/>
        </w:rPr>
        <w:instrText>A10-0035/2026</w:instrText>
      </w:r>
      <w:bookmarkEnd w:id="2"/>
      <w:r w:rsidRPr="00B77483">
        <w:rPr>
          <w:i/>
        </w:rPr>
        <w:instrText xml:space="preserve"> - Poročevalec: Tobias Cremer)"\l3 \n&gt; \* MERGEFORMAT </w:instrText>
      </w:r>
      <w:r w:rsidRPr="00B77483">
        <w:rPr>
          <w:i/>
        </w:rPr>
        <w:fldChar w:fldCharType="end"/>
      </w:r>
    </w:p>
    <w:p w14:paraId="141D027A" w14:textId="77777777" w:rsidR="006C7049" w:rsidRPr="00B77483" w:rsidRDefault="006C7049" w:rsidP="006C7049">
      <w:pPr>
        <w:rPr>
          <w:vanish/>
        </w:rPr>
      </w:pPr>
      <w:bookmarkStart w:id="3" w:name="Commission"/>
      <w:r w:rsidRPr="00B77483">
        <w:rPr>
          <w:vanish/>
        </w:rPr>
        <w:t>Odbor za zunanje zadeve</w:t>
      </w:r>
      <w:bookmarkEnd w:id="3"/>
    </w:p>
    <w:p w14:paraId="37F4BA71" w14:textId="77777777" w:rsidR="006C7049" w:rsidRPr="00B77483" w:rsidRDefault="006C7049" w:rsidP="006C7049">
      <w:pPr>
        <w:rPr>
          <w:vanish/>
        </w:rPr>
      </w:pPr>
      <w:bookmarkStart w:id="4" w:name="PE"/>
      <w:r w:rsidRPr="00B77483">
        <w:rPr>
          <w:vanish/>
        </w:rPr>
        <w:t>PE778.092</w:t>
      </w:r>
      <w:bookmarkEnd w:id="4"/>
    </w:p>
    <w:p w14:paraId="42A15CC3" w14:textId="27F9D5A5" w:rsidR="006C7049" w:rsidRPr="00B77483" w:rsidRDefault="00B77483" w:rsidP="006C7049">
      <w:pPr>
        <w:pStyle w:val="ATHeading3"/>
      </w:pPr>
      <w:bookmarkStart w:id="5" w:name="Sujet"/>
      <w:r w:rsidRPr="00B77483">
        <w:t>Priporočilo</w:t>
      </w:r>
      <w:r w:rsidR="006C7049" w:rsidRPr="00B77483">
        <w:t xml:space="preserve"> Evropskega parlamenta </w:t>
      </w:r>
      <w:r w:rsidR="009446A1" w:rsidRPr="00B77483">
        <w:t xml:space="preserve">z dne 11. marca 2026 </w:t>
      </w:r>
      <w:r w:rsidR="006C7049" w:rsidRPr="00B77483">
        <w:t>Svetu, Komisiji in podpredsednici Komisije/visoki predstavnici Unije za zunanje zadeve in varnostno politiko o okrepljenem sodelovanju med EU in Kanado glede na aktualne geopolitične razmere, vključno z grožnjami kanadski ekonomski stabilnosti in suverenosti</w:t>
      </w:r>
      <w:bookmarkEnd w:id="5"/>
      <w:r w:rsidR="006C7049" w:rsidRPr="00B77483">
        <w:t xml:space="preserve"> </w:t>
      </w:r>
      <w:bookmarkStart w:id="6" w:name="References"/>
      <w:r w:rsidR="006C7049" w:rsidRPr="00B77483">
        <w:t>(2025/2168(INI))</w:t>
      </w:r>
      <w:bookmarkEnd w:id="6"/>
    </w:p>
    <w:p w14:paraId="69875007" w14:textId="77777777" w:rsidR="00BD28E1" w:rsidRPr="00B77483" w:rsidRDefault="00BD28E1" w:rsidP="00BD28E1">
      <w:pPr>
        <w:pStyle w:val="EPComma"/>
        <w:rPr>
          <w:i/>
          <w:iCs/>
        </w:rPr>
      </w:pPr>
      <w:r w:rsidRPr="00B77483">
        <w:rPr>
          <w:i/>
          <w:iCs/>
        </w:rPr>
        <w:t>Evropski parlament,</w:t>
      </w:r>
    </w:p>
    <w:p w14:paraId="0715FACE" w14:textId="77777777" w:rsidR="00BD28E1" w:rsidRPr="00B77483" w:rsidRDefault="00BD28E1" w:rsidP="00BD28E1">
      <w:pPr>
        <w:pStyle w:val="NormalHanging12a"/>
      </w:pPr>
      <w:r w:rsidRPr="00B77483">
        <w:t>–</w:t>
      </w:r>
      <w:r w:rsidRPr="00B77483">
        <w:tab/>
        <w:t>ob upoštevanju Sporazuma o strateškem partnerstvu med Evropsko unijo in njenimi državami članicami na eni strani ter Kanado na drugi strani</w:t>
      </w:r>
      <w:r w:rsidRPr="00B77483">
        <w:rPr>
          <w:rStyle w:val="FootnoteReference"/>
        </w:rPr>
        <w:footnoteReference w:id="1"/>
      </w:r>
      <w:r w:rsidRPr="00B77483">
        <w:t>, ki je bil podpisan 30. oktobra 2016 in se začasno uporablja od 1. aprila 2017,</w:t>
      </w:r>
    </w:p>
    <w:p w14:paraId="714377A4" w14:textId="77777777" w:rsidR="00BD28E1" w:rsidRPr="00B77483" w:rsidRDefault="00BD28E1" w:rsidP="00BD28E1">
      <w:pPr>
        <w:pStyle w:val="NormalHanging12a"/>
      </w:pPr>
      <w:r w:rsidRPr="00B77483">
        <w:t>–</w:t>
      </w:r>
      <w:r w:rsidRPr="00B77483">
        <w:tab/>
        <w:t>ob upoštevanju Celovitega gospodarskega in trgovinskega sporazuma (CETA) med Kanado na eni strani ter Evropsko unijo in njenimi državami članicami na drugi strani</w:t>
      </w:r>
      <w:r w:rsidRPr="00B77483">
        <w:rPr>
          <w:rStyle w:val="FootnoteReference"/>
        </w:rPr>
        <w:footnoteReference w:id="2"/>
      </w:r>
      <w:r w:rsidRPr="00B77483">
        <w:t>, ki je začel začasno veljati 21. septembra 2017,</w:t>
      </w:r>
    </w:p>
    <w:p w14:paraId="4451C15E" w14:textId="1BCB2A82" w:rsidR="00BD28E1" w:rsidRPr="00B77483" w:rsidRDefault="00BD28E1" w:rsidP="00BD28E1">
      <w:pPr>
        <w:pStyle w:val="NormalHanging12a"/>
      </w:pPr>
      <w:r w:rsidRPr="00B77483">
        <w:t>–</w:t>
      </w:r>
      <w:r w:rsidRPr="00B77483">
        <w:tab/>
        <w:t>ob upoštevanju strateškega partnerstva med EU in Kanado o surovinah, sklenjenega 21.</w:t>
      </w:r>
      <w:r w:rsidR="00B77483">
        <w:t> </w:t>
      </w:r>
      <w:r w:rsidRPr="00B77483">
        <w:t>junija 2021,</w:t>
      </w:r>
    </w:p>
    <w:p w14:paraId="0F74177B" w14:textId="77777777" w:rsidR="00BD28E1" w:rsidRPr="00B77483" w:rsidRDefault="00BD28E1" w:rsidP="00BD28E1">
      <w:pPr>
        <w:pStyle w:val="NormalHanging12a"/>
      </w:pPr>
      <w:r w:rsidRPr="00B77483">
        <w:t>–</w:t>
      </w:r>
      <w:r w:rsidRPr="00B77483">
        <w:tab/>
        <w:t>ob upoštevanju digitalnega partnerstva med EU in Kanado ter zelenega zavezništva med EU in Kanado, ki sta bila sklenjena 23. novembra 2023,</w:t>
      </w:r>
    </w:p>
    <w:p w14:paraId="73B58579" w14:textId="77777777" w:rsidR="00BD28E1" w:rsidRPr="00B77483" w:rsidRDefault="00BD28E1" w:rsidP="00BD28E1">
      <w:pPr>
        <w:pStyle w:val="NormalHanging12a"/>
      </w:pPr>
      <w:r w:rsidRPr="00B77483">
        <w:t>–</w:t>
      </w:r>
      <w:r w:rsidRPr="00B77483">
        <w:tab/>
        <w:t>ob upoštevanju skupne izjave voditeljev Evropske unije in Kanade z naslovom Trajno partnerstvo, ambiciozna agenda, sprejete na vrhu EU-Kanada 23. junija 2025 v Bruslju,</w:t>
      </w:r>
    </w:p>
    <w:p w14:paraId="15CE7137" w14:textId="77777777" w:rsidR="00BD28E1" w:rsidRPr="00B77483" w:rsidRDefault="00BD28E1" w:rsidP="00BD28E1">
      <w:pPr>
        <w:pStyle w:val="NormalHanging12a"/>
      </w:pPr>
      <w:r w:rsidRPr="00B77483">
        <w:t>–</w:t>
      </w:r>
      <w:r w:rsidRPr="00B77483">
        <w:tab/>
        <w:t>ob upoštevanju partnerstva na področju varnosti in obrambe med Evropsko unijo in Kanado, podpisanega na vrhu EU–Kanada 23. junija 2025,</w:t>
      </w:r>
    </w:p>
    <w:p w14:paraId="2BDA0101" w14:textId="77777777" w:rsidR="00BD28E1" w:rsidRPr="00B77483" w:rsidRDefault="00BD28E1" w:rsidP="00BD28E1">
      <w:pPr>
        <w:pStyle w:val="NormalHanging12a"/>
      </w:pPr>
      <w:r w:rsidRPr="00B77483">
        <w:lastRenderedPageBreak/>
        <w:t>–</w:t>
      </w:r>
      <w:r w:rsidRPr="00B77483">
        <w:tab/>
        <w:t>ob upoštevanju izjave z vrha zveze Nato v Haagu z dne 25. junija 2025,</w:t>
      </w:r>
    </w:p>
    <w:p w14:paraId="65655BC7" w14:textId="77777777" w:rsidR="00BD28E1" w:rsidRPr="00B77483" w:rsidRDefault="00BD28E1" w:rsidP="00BD28E1">
      <w:pPr>
        <w:pStyle w:val="NormalHanging12a"/>
      </w:pPr>
      <w:r w:rsidRPr="00B77483">
        <w:t>–</w:t>
      </w:r>
      <w:r w:rsidRPr="00B77483">
        <w:tab/>
        <w:t>ob upoštevanju sklepov Evropskega sveta z dne 26. junija 2025,</w:t>
      </w:r>
    </w:p>
    <w:p w14:paraId="7C7EC804" w14:textId="77777777" w:rsidR="00BD28E1" w:rsidRPr="00B77483" w:rsidRDefault="00BD28E1" w:rsidP="00BD28E1">
      <w:pPr>
        <w:pStyle w:val="NormalHanging12a"/>
      </w:pPr>
      <w:r w:rsidRPr="00B77483">
        <w:t>–</w:t>
      </w:r>
      <w:r w:rsidRPr="00B77483">
        <w:tab/>
        <w:t>ob upoštevanju zavezništva skupine G7 za proizvodnjo kritičnih mineralov, ki je bilo napovedano 17. junija 2025 in vzpostavljeno 31. oktobra 2025, vodi pa ga Kanada,</w:t>
      </w:r>
    </w:p>
    <w:p w14:paraId="26CC42C8" w14:textId="77777777" w:rsidR="00BD28E1" w:rsidRPr="00B77483" w:rsidRDefault="00BD28E1" w:rsidP="00BD28E1">
      <w:pPr>
        <w:pStyle w:val="NormalHanging12a"/>
      </w:pPr>
      <w:r w:rsidRPr="00B77483">
        <w:t>–</w:t>
      </w:r>
      <w:r w:rsidRPr="00B77483">
        <w:tab/>
        <w:t>ob upoštevanju skupne izjave z dne 12. novembra 2025 po četrtem srečanju skupnega ministrskega odbora EU-Kanada,</w:t>
      </w:r>
    </w:p>
    <w:p w14:paraId="052AB9EB" w14:textId="77777777" w:rsidR="00BD28E1" w:rsidRPr="00B77483" w:rsidRDefault="00BD28E1" w:rsidP="00BD28E1">
      <w:pPr>
        <w:pStyle w:val="NormalHanging12a"/>
      </w:pPr>
      <w:r w:rsidRPr="00B77483">
        <w:t>–</w:t>
      </w:r>
      <w:r w:rsidRPr="00B77483">
        <w:tab/>
        <w:t>ob upoštevanju Deklaracije OZN o pravicah domorodnih ljudstev, sprejete 13. septembra 2007,</w:t>
      </w:r>
    </w:p>
    <w:p w14:paraId="532B15E1" w14:textId="77777777" w:rsidR="00BD28E1" w:rsidRPr="00B77483" w:rsidRDefault="00BD28E1" w:rsidP="00BD28E1">
      <w:pPr>
        <w:pStyle w:val="NormalHanging12a"/>
      </w:pPr>
      <w:r w:rsidRPr="00B77483">
        <w:t>–</w:t>
      </w:r>
      <w:r w:rsidRPr="00B77483">
        <w:tab/>
        <w:t>ob upoštevanju Kunminško-montrealskega svetovnega okvira za biotsko raznovrstnost na podlagi Konvencije o biološki raznovrstnosti,</w:t>
      </w:r>
    </w:p>
    <w:p w14:paraId="36F34AB5" w14:textId="77777777" w:rsidR="00BD28E1" w:rsidRPr="00B77483" w:rsidRDefault="00BD28E1" w:rsidP="00BD28E1">
      <w:pPr>
        <w:pStyle w:val="NormalHanging12a"/>
      </w:pPr>
      <w:r w:rsidRPr="00B77483">
        <w:t>–</w:t>
      </w:r>
      <w:r w:rsidRPr="00B77483">
        <w:tab/>
        <w:t>ob upoštevanju svojega priporočila Svetu, Komisiji in podpredsednici Komisije/visoki predstavnici Unije za zunanje zadeve in varnostno politiko z dne 26. novembra 2025 o diplomatski strategiji EU in geopolitičnem sodelovanju na Arktiki,</w:t>
      </w:r>
    </w:p>
    <w:p w14:paraId="2E85BFCC" w14:textId="77777777" w:rsidR="00BD28E1" w:rsidRPr="00B77483" w:rsidRDefault="00BD28E1" w:rsidP="00BD28E1">
      <w:pPr>
        <w:pStyle w:val="NormalHanging12a"/>
      </w:pPr>
      <w:r w:rsidRPr="00B77483">
        <w:t>–</w:t>
      </w:r>
      <w:r w:rsidRPr="00B77483">
        <w:tab/>
        <w:t>ob upoštevanju člena 121 Poslovnika,</w:t>
      </w:r>
    </w:p>
    <w:p w14:paraId="5C1BB7DE" w14:textId="77777777" w:rsidR="00BD28E1" w:rsidRPr="00B77483" w:rsidRDefault="00BD28E1" w:rsidP="00BD28E1">
      <w:pPr>
        <w:pStyle w:val="NormalHanging12a"/>
      </w:pPr>
      <w:r w:rsidRPr="00B77483">
        <w:t>–</w:t>
      </w:r>
      <w:r w:rsidRPr="00B77483">
        <w:tab/>
        <w:t>ob upoštevanju mnenja Odbora za mednarodno trgovino,</w:t>
      </w:r>
    </w:p>
    <w:p w14:paraId="2E69B9C8" w14:textId="77777777" w:rsidR="00BD28E1" w:rsidRPr="00B77483" w:rsidRDefault="00BD28E1" w:rsidP="00BD28E1">
      <w:pPr>
        <w:pStyle w:val="NormalHanging12a"/>
      </w:pPr>
      <w:r w:rsidRPr="00B77483">
        <w:t>–</w:t>
      </w:r>
      <w:r w:rsidRPr="00B77483">
        <w:tab/>
        <w:t>ob upoštevanju poročila Odbora za zunanje zadeve (A10-0035/2026),</w:t>
      </w:r>
    </w:p>
    <w:p w14:paraId="29090A58" w14:textId="77777777" w:rsidR="00BD28E1" w:rsidRPr="00B77483" w:rsidRDefault="00BD28E1" w:rsidP="00BD28E1">
      <w:pPr>
        <w:pStyle w:val="NormalHanging12a"/>
      </w:pPr>
      <w:r w:rsidRPr="00B77483">
        <w:t>A.</w:t>
      </w:r>
      <w:r w:rsidRPr="00B77483">
        <w:tab/>
        <w:t>ker mora EU v geopolitičnih razmerah vse večjega rivalstva med velikimi silami, politične nestanovitnosti, razdrobljenih svetovnih dobavnih verig, rastočega protekcionizma, uporabe trgovine kot orožja, ranljivosti v gospodarski varnosti in pospeševanja podnebnih sprememb poglobiti sodelovanje s podobno mislečimi partnerji, kot je Kanada; ker imata EU in Kanada skupen in povečan interes za poglobitev sodelovanja, krepitev gospodarskih vezi in ohranjanje mednarodnega reda, ki temelji na pravilih, družijo pa ju tudi skupna stališča o skoraj vseh regijah sveta; ker EU vedno ostaja zanesljiva in zvesta zaveznica Kanade;</w:t>
      </w:r>
    </w:p>
    <w:p w14:paraId="5ADE9FE5" w14:textId="77777777" w:rsidR="00BD28E1" w:rsidRPr="00B77483" w:rsidRDefault="00BD28E1" w:rsidP="00BD28E1">
      <w:pPr>
        <w:pStyle w:val="NormalHanging12a"/>
      </w:pPr>
      <w:r w:rsidRPr="00B77483">
        <w:t>B.</w:t>
      </w:r>
      <w:r w:rsidRPr="00B77483">
        <w:tab/>
        <w:t>ker sta EU in Kanada strateški partnerici, združeni v prepričanju, da demokracija, pravna država, človekove pravice in večstransko sodelovanje, zlasti na področjih varnosti in trgovine, koristijo kanadski in evropskim družbam ter mednarodni skupnosti, zato bi jih morala svetovna zavezništva podobno mislečih partnerjev braniti;</w:t>
      </w:r>
    </w:p>
    <w:p w14:paraId="29A8EA70" w14:textId="77777777" w:rsidR="00BD28E1" w:rsidRPr="00B77483" w:rsidRDefault="00BD28E1" w:rsidP="00BD28E1">
      <w:pPr>
        <w:pStyle w:val="NormalHanging12a"/>
      </w:pPr>
      <w:r w:rsidRPr="00B77483">
        <w:t>C.</w:t>
      </w:r>
      <w:r w:rsidRPr="00B77483">
        <w:tab/>
        <w:t>ker je partnerstvo med EU in Kanado postalo osrednjega pomena za obrambo in ohranjanje multilateralizma in demokracije po vsem svetu v času, ko sta tako ti že dolgo uveljavljeni načeli kot dosežki nenehno in vse bolj ogroženi; ker so Kanada in vse države članice EU pogodbenice Pogodbe o neširjenju jedrskega orožja;</w:t>
      </w:r>
    </w:p>
    <w:p w14:paraId="503680C9" w14:textId="77777777" w:rsidR="00BD28E1" w:rsidRPr="00B77483" w:rsidRDefault="00BD28E1" w:rsidP="00BD28E1">
      <w:pPr>
        <w:pStyle w:val="NormalHanging12a"/>
      </w:pPr>
      <w:r w:rsidRPr="00B77483">
        <w:t>D.</w:t>
      </w:r>
      <w:r w:rsidRPr="00B77483">
        <w:tab/>
        <w:t>ker EU in Kanada že dolgo sodelujeta v okviru Svetovne trgovinske organizacije (STO), zavezani pa sta tudi sodelovanju za stabilizacijo in krepitev na pravilih utemeljenega mednarodnega trgovinskega sistema, katerega obstoj je trenutno ogrožen, posodobitev STO in oživitev njenega sistema za reševanje sporov, vključno z večstransko začasno ureditvijo o arbitraži sporov;</w:t>
      </w:r>
    </w:p>
    <w:p w14:paraId="55F77E67" w14:textId="77777777" w:rsidR="00BD28E1" w:rsidRPr="00B77483" w:rsidRDefault="00BD28E1" w:rsidP="00BD28E1">
      <w:pPr>
        <w:pStyle w:val="NormalHanging12a"/>
      </w:pPr>
      <w:r w:rsidRPr="00B77483">
        <w:t>E.</w:t>
      </w:r>
      <w:r w:rsidRPr="00B77483">
        <w:tab/>
        <w:t xml:space="preserve">ker je učinkovito sodelovanje med EU in Kanado, temelječe na skupnem vodstvu in </w:t>
      </w:r>
      <w:r w:rsidRPr="00B77483">
        <w:lastRenderedPageBreak/>
        <w:t>odgovornosti, ključno za reševanje svetovnih izzivov, kot so ruska vojna proti Ukrajini, rusko hibridno vojskovanje proti demokratičnim družbam, geopolitična konkurenca na Arktiki, vse agresivnejši ukrepi in gospodarska prisila Kitajske zunaj mednarodno uveljavljenih okvirov, večja nestanovitnost zunanje politike ZDA, podnebne spremembe in razmere na Bližnjem vzhodu;</w:t>
      </w:r>
    </w:p>
    <w:p w14:paraId="12B91807" w14:textId="77777777" w:rsidR="00BD28E1" w:rsidRPr="00B77483" w:rsidRDefault="00BD28E1" w:rsidP="00BD28E1">
      <w:pPr>
        <w:pStyle w:val="NormalHanging12a"/>
      </w:pPr>
      <w:r w:rsidRPr="00B77483">
        <w:t>F.</w:t>
      </w:r>
      <w:r w:rsidRPr="00B77483">
        <w:tab/>
        <w:t>ker je sodelovanje med EU in Kanado v obstoječih okvirih bistveno za ohranitev in povečanje blaginje obeh strani; ker primeri tega bistvenega sodelovanja vključujejo trgovinsko in gospodarsko sodelovanje ter skupne ambicije za reševanje izzivov, kot so zeleni in digitalni prehod, umetna inteligenca in druge porajajoče se tehnologije, varnost, vključno z vojaškim sodelovanjem, preprečevanjem terorizma in bojem proti organiziranemu kriminalu, ter infrastruktura, energetika, zdravje in prehranska varnost;</w:t>
      </w:r>
    </w:p>
    <w:p w14:paraId="61DB7984" w14:textId="77777777" w:rsidR="00BD28E1" w:rsidRPr="00B77483" w:rsidRDefault="00BD28E1" w:rsidP="00BD28E1">
      <w:pPr>
        <w:pStyle w:val="NormalHanging12a"/>
      </w:pPr>
      <w:r w:rsidRPr="00B77483">
        <w:t>G.</w:t>
      </w:r>
      <w:r w:rsidRPr="00B77483">
        <w:tab/>
        <w:t>ker sta Kanada in EU 1. decembra 2025 uspešno zaključili pogajanja o sporazumu o sodelovanju Kanade v programu za varnostne ukrepe za Evropo (SAFE), s čimer sta nadgradili njuno partnerstvo na področju varnosti in obrambe, ki sta ga podpisali na vrhu EU-Kanada junija 2025;</w:t>
      </w:r>
    </w:p>
    <w:p w14:paraId="3BD1A6E7" w14:textId="77777777" w:rsidR="00BD28E1" w:rsidRPr="00B77483" w:rsidRDefault="00BD28E1" w:rsidP="00BD28E1">
      <w:pPr>
        <w:pStyle w:val="NormalHanging12a"/>
      </w:pPr>
      <w:r w:rsidRPr="00B77483">
        <w:t>H.</w:t>
      </w:r>
      <w:r w:rsidRPr="00B77483">
        <w:tab/>
        <w:t>ker je učinek sporazuma CETA ocenjen kot pozitiven, saj je znatno povečal trgovino z blagom in storitvami med EU in Kanado za približno 63 % in 75,6 milijarde EUR, odpravil 99 % tarifnih postavk ter je neposredno pozitivno vplival na mala in srednja podjetja v EU in Kanadi, pri čemer se vse več malih in srednjih podjetij ukvarja z dvostransko trgovino; ker se prvotni strahovi, da bi kanadsko goveje meso preplavilo evropski trg, niso uresničili, saj sta bila leta 2023 uporabljena le približno 2 % letne kvote za goveje meso, določene v sporazumu CETA;</w:t>
      </w:r>
    </w:p>
    <w:p w14:paraId="74FCBF9C" w14:textId="77777777" w:rsidR="00BD28E1" w:rsidRPr="00B77483" w:rsidRDefault="00BD28E1" w:rsidP="00BD28E1">
      <w:pPr>
        <w:pStyle w:val="NormalHanging12a"/>
      </w:pPr>
      <w:r w:rsidRPr="00B77483">
        <w:t>I.</w:t>
      </w:r>
      <w:r w:rsidRPr="00B77483">
        <w:tab/>
        <w:t>ker ostajajo izzivi pri izvrševanju sporazuma CETA na nekaterih področjih, kot so regulativno sodelovanje, poglavje o trgovini in trajnostnem razvoju ter pregleden dostop do popolnih podatkov o javnih naročilih</w:t>
      </w:r>
      <w:r w:rsidRPr="00B77483">
        <w:rPr>
          <w:rStyle w:val="FootnoteReference"/>
          <w:bCs/>
          <w:iCs/>
        </w:rPr>
        <w:footnoteReference w:id="3"/>
      </w:r>
      <w:r w:rsidRPr="00B77483">
        <w:t>;</w:t>
      </w:r>
    </w:p>
    <w:p w14:paraId="1F4FBFC1" w14:textId="77777777" w:rsidR="00BD28E1" w:rsidRPr="00B77483" w:rsidRDefault="00BD28E1" w:rsidP="00BD28E1">
      <w:pPr>
        <w:pStyle w:val="NormalHanging12a"/>
      </w:pPr>
      <w:r w:rsidRPr="00B77483">
        <w:t>J.</w:t>
      </w:r>
      <w:r w:rsidRPr="00B77483">
        <w:tab/>
        <w:t>ker so poglavja o e-trgovanju, trgovini in trajnostnem razvoju ter določba o zaščiti vlagateljev v sporazumu CETA zastareli in ne odražajo sedanje politike Komisije; ker je kanadska vlada predstavila predloge za izboljšanje izvršljivosti določb sporazuma CETA o trgovini in trajnostnem razvoju;</w:t>
      </w:r>
    </w:p>
    <w:p w14:paraId="517C2129" w14:textId="77777777" w:rsidR="00BD28E1" w:rsidRPr="00B77483" w:rsidRDefault="00BD28E1" w:rsidP="00BD28E1">
      <w:pPr>
        <w:pStyle w:val="NormalHanging12a"/>
      </w:pPr>
      <w:r w:rsidRPr="00B77483">
        <w:t>K.</w:t>
      </w:r>
      <w:r w:rsidRPr="00B77483">
        <w:tab/>
        <w:t>ker sporazum CETA zagotavlja okvir za vzajemno priznavanje kvalifikacij v reguliranih poklicih, kot so arhitekti, računovodje in inženirji;</w:t>
      </w:r>
    </w:p>
    <w:p w14:paraId="2210F7C4" w14:textId="77777777" w:rsidR="00BD28E1" w:rsidRPr="00B77483" w:rsidRDefault="00BD28E1" w:rsidP="00BD28E1">
      <w:pPr>
        <w:pStyle w:val="NormalHanging12a"/>
      </w:pPr>
      <w:r w:rsidRPr="00B77483">
        <w:t>L.</w:t>
      </w:r>
      <w:r w:rsidRPr="00B77483">
        <w:tab/>
        <w:t xml:space="preserve">ker imajo domorodna ljudstva v Kanadi nenadomestljivo tradicionalno znanje in so glavni akterji pri upravljanju ekosistemov in ker nanje že zdaj nesorazmerno vplivajo podnebne spremembe, socialno-ekonomska marginalizacija in degradacija okolja; ker sta Kanada in EU podprli Deklaracijo OZN o pravicah domorodnih ljudstev, ki vključuje zavezo, da se bosta v dobri veri posvetovali in sodelovali z domorodnimi ljudstvi, da bi pridobili njihovo svobodno, predhodno in informirano soglasje pred </w:t>
      </w:r>
      <w:r w:rsidRPr="00B77483">
        <w:lastRenderedPageBreak/>
        <w:t>odobritvijo vsakega projekta, ki vpliva na njihova zemljišča, ozemlje ali vire;</w:t>
      </w:r>
    </w:p>
    <w:p w14:paraId="7FFDD3D2" w14:textId="77777777" w:rsidR="00BD28E1" w:rsidRPr="00B77483" w:rsidRDefault="00BD28E1" w:rsidP="00BD28E1">
      <w:pPr>
        <w:pStyle w:val="NormalHanging12a"/>
      </w:pPr>
      <w:r w:rsidRPr="00B77483">
        <w:t>M.</w:t>
      </w:r>
      <w:r w:rsidRPr="00B77483">
        <w:tab/>
        <w:t>ker se je Kanada z zavezo, da bo dolgoročno podpirala Ukrajino, in odločnim vodenjem skupine G7 med svojim predsedovanjem izkazala za strateško partnerico EU in zanesljivo zaveznico Nata;</w:t>
      </w:r>
    </w:p>
    <w:p w14:paraId="47B41347" w14:textId="77777777" w:rsidR="00BD28E1" w:rsidRPr="00B77483" w:rsidRDefault="00BD28E1" w:rsidP="00BD28E1">
      <w:pPr>
        <w:pStyle w:val="NormalHanging12a"/>
      </w:pPr>
      <w:r w:rsidRPr="00B77483">
        <w:t>N.</w:t>
      </w:r>
      <w:r w:rsidRPr="00B77483">
        <w:tab/>
        <w:t>ker je treba izkoristiti celoten potencial obstoječih instrumentov sodelovanja med EU in Kanado ter močno okrepiti partnerstvo med njima, da se bosta skupaj lahko odločno zoperstavili ruski vojni proti Ukrajini, revizionizmu geopolitičnih akterjev, stopnjevanju kampanj hibridnega vojskovanja proti demokratičnim družbam, podnebnim spremembam in izzivom za svetovni trgovinski red;</w:t>
      </w:r>
    </w:p>
    <w:p w14:paraId="62546B86" w14:textId="77777777" w:rsidR="00BD28E1" w:rsidRPr="00B77483" w:rsidRDefault="00BD28E1" w:rsidP="00BD28E1">
      <w:pPr>
        <w:pStyle w:val="NormalHanging12a"/>
      </w:pPr>
      <w:r w:rsidRPr="00B77483">
        <w:t>1.</w:t>
      </w:r>
      <w:r w:rsidRPr="00B77483">
        <w:tab/>
        <w:t>priporoča, naj Svet, Komisija in podpredsednica Komisije/visoka predstavnica Unije za zunanje zadeve in varnostno politiko:</w:t>
      </w:r>
    </w:p>
    <w:p w14:paraId="5BADE0A0" w14:textId="77777777" w:rsidR="00BD28E1" w:rsidRPr="00B77483" w:rsidRDefault="00BD28E1" w:rsidP="00AB0642">
      <w:pPr>
        <w:pStyle w:val="NormalHanging12a"/>
        <w:ind w:firstLine="0"/>
        <w:rPr>
          <w:b/>
          <w:bCs/>
          <w:i/>
          <w:iCs/>
        </w:rPr>
      </w:pPr>
      <w:r w:rsidRPr="00B77483">
        <w:rPr>
          <w:b/>
          <w:i/>
        </w:rPr>
        <w:t>Partnerstvo med EU in Kanado: institucionalni okvir</w:t>
      </w:r>
    </w:p>
    <w:p w14:paraId="388F3803" w14:textId="77777777" w:rsidR="00BD28E1" w:rsidRPr="00B77483" w:rsidRDefault="00BD28E1" w:rsidP="00AB0642">
      <w:pPr>
        <w:pStyle w:val="NormalHanging12a"/>
        <w:ind w:left="1134"/>
      </w:pPr>
      <w:r w:rsidRPr="00B77483">
        <w:t>(a)</w:t>
      </w:r>
      <w:r w:rsidRPr="00B77483">
        <w:tab/>
        <w:t>obravnavajo ta prelomni trenutek za mednarodni red ter skupne izzive kot priložnost, da bi v polni meri izkoristili potencial strateškega partnerstva med EU in Kanado ter v prizadevanju za skupne interese in vrednote v hitro spreminjajočem se globalnem okolju dvignili odnose na novo raven;</w:t>
      </w:r>
    </w:p>
    <w:p w14:paraId="6964956B" w14:textId="77777777" w:rsidR="00BD28E1" w:rsidRPr="00B77483" w:rsidRDefault="00BD28E1" w:rsidP="00AB0642">
      <w:pPr>
        <w:pStyle w:val="NormalHanging12a"/>
        <w:ind w:left="1134"/>
      </w:pPr>
      <w:r w:rsidRPr="00B77483">
        <w:t>(b)</w:t>
      </w:r>
      <w:r w:rsidRPr="00B77483">
        <w:tab/>
        <w:t>čim bolj povečajo prizadevanja za hitro izvajanje sklepov vrha EU-Kanada z dne 23. junija 2025 s konkretnimi ukrepi za oprijemljiv napredek na področjih, opredeljenih v skupni izjavi ter partnerstvu na področju varnosti in obrambe, tudi na podlagi sodelovanja Kanade kot edine neevropske države v programu SAFE, da bi vzpostavili čim tesnejše obrambno sodelovanje v svetu rastočega rivalstva med velikimi silami;</w:t>
      </w:r>
    </w:p>
    <w:p w14:paraId="52C50AE7" w14:textId="77777777" w:rsidR="00BD28E1" w:rsidRPr="00B77483" w:rsidRDefault="00BD28E1" w:rsidP="00AB0642">
      <w:pPr>
        <w:pStyle w:val="NormalHanging12a"/>
        <w:ind w:left="1134"/>
        <w:rPr>
          <w:szCs w:val="24"/>
        </w:rPr>
      </w:pPr>
      <w:r w:rsidRPr="00B77483">
        <w:t>(c)</w:t>
      </w:r>
      <w:r w:rsidRPr="00B77483">
        <w:tab/>
        <w:t xml:space="preserve">okrepijo dialoge na več ravneh, vključno s srečanji na vrhu in skupnimi pobudami, kot so trgovinske in naložbene misije, pa tudi oblike dolgoročnega sodelovanja na delovni ravni z imenovanjem namenskih projektnih referentov za različne delovne tokove, da bi poglobili sodelovanje in našli poti za strateško sodelovanje med Kanado in EU pri skupnem reševanju svetovnih izzivov, kot so umetna inteligenca, energija, podnebne spremembe in kibernetska varnost, zlasti v času, ko je mednarodni red, ki temelji na pravilih, pod vse večjim pritiskom; zagotovijo, da bodo, kjer je to primerno, v te dialoge vključeni civilna družba in strokovni deležniki; </w:t>
      </w:r>
    </w:p>
    <w:p w14:paraId="6C40225F" w14:textId="77777777" w:rsidR="00BD28E1" w:rsidRPr="00B77483" w:rsidRDefault="00BD28E1" w:rsidP="00AB0642">
      <w:pPr>
        <w:pStyle w:val="NormalHanging12a"/>
        <w:ind w:left="1134"/>
        <w:rPr>
          <w:szCs w:val="24"/>
        </w:rPr>
      </w:pPr>
      <w:r w:rsidRPr="00B77483">
        <w:t>(d)</w:t>
      </w:r>
      <w:r w:rsidRPr="00B77483">
        <w:tab/>
        <w:t>podprejo pomembnejšo vlogo parlamentarnega dialoga v strateškem partnerstvu ter zagotovijo redne dvostranske parlamentarne izmenjave in sodelovanje pri ključnih vprašanjih;</w:t>
      </w:r>
    </w:p>
    <w:p w14:paraId="73738A46" w14:textId="77777777" w:rsidR="00BD28E1" w:rsidRPr="00B77483" w:rsidRDefault="00BD28E1" w:rsidP="00AB0642">
      <w:pPr>
        <w:pStyle w:val="NormalHanging12a"/>
        <w:ind w:left="1134"/>
      </w:pPr>
      <w:r w:rsidRPr="00B77483">
        <w:t>(e)</w:t>
      </w:r>
      <w:r w:rsidRPr="00B77483">
        <w:tab/>
        <w:t>ugotovijo, da ima Kanada v Svetu Evrope pravni status opazovalke; pozovejo k večjemu sodelovanju na parlamentarni ravni in poziva Svet Evrope, naj Kanado v vlogi opazovalke redno vabi na medparlamentarna srečanja;</w:t>
      </w:r>
    </w:p>
    <w:p w14:paraId="328C91B2" w14:textId="77777777" w:rsidR="00BD28E1" w:rsidRPr="00B77483" w:rsidRDefault="00BD28E1" w:rsidP="00AB0642">
      <w:pPr>
        <w:pStyle w:val="NormalHanging12a"/>
        <w:ind w:left="1134"/>
        <w:rPr>
          <w:b/>
          <w:i/>
          <w:iCs/>
          <w:szCs w:val="24"/>
        </w:rPr>
      </w:pPr>
      <w:r w:rsidRPr="00B77483">
        <w:rPr>
          <w:b/>
          <w:i/>
        </w:rPr>
        <w:t>Sodelovanje pri zunanji in varnostni politiki</w:t>
      </w:r>
    </w:p>
    <w:p w14:paraId="55BE33A7" w14:textId="77777777" w:rsidR="00BD28E1" w:rsidRPr="00B77483" w:rsidRDefault="00BD28E1" w:rsidP="00AB0642">
      <w:pPr>
        <w:pStyle w:val="NormalHanging12a"/>
        <w:ind w:left="1134"/>
      </w:pPr>
      <w:r w:rsidRPr="00B77483">
        <w:t>(f)</w:t>
      </w:r>
      <w:r w:rsidRPr="00B77483">
        <w:tab/>
        <w:t xml:space="preserve">povečajo sodelovanje s Kanado pri odzivanju na varnostne grožnje našim družbam, kot so ruska vojna proti Ukrajini, hibridni napadi, terorizem in vmešavanje v demokratične družbe na obeh straneh Atlantika, odločnost in </w:t>
      </w:r>
      <w:r w:rsidRPr="00B77483">
        <w:lastRenderedPageBreak/>
        <w:t>gospodarska prisila Kitajske, umik ZDA iz mednarodnega reda, ki temelji na pravilih, posledice podnebnih sprememb, umetna inteligenca, kibernetska varnost in razmere na Bližnjem vzhodu, kar vse ogroža socialno kohezijo naših družb;</w:t>
      </w:r>
    </w:p>
    <w:p w14:paraId="7CD06D46" w14:textId="77777777" w:rsidR="00BD28E1" w:rsidRPr="00B77483" w:rsidRDefault="00BD28E1" w:rsidP="00AB0642">
      <w:pPr>
        <w:pStyle w:val="NormalHanging12a"/>
        <w:ind w:left="1134"/>
      </w:pPr>
      <w:r w:rsidRPr="00B77483">
        <w:t>(g)</w:t>
      </w:r>
      <w:r w:rsidRPr="00B77483">
        <w:tab/>
        <w:t>poudarijo, da so potrebna skupna prizadevanja in vzajemna predanost spodbujanju miru, varnosti, stabilnosti in odpornosti prek celovitega pristopa k obrambi v drugih regijah skupnega interesa, vključno z neposrednim sosedstvom EU, zlasti državami kandidatkami in Južnim Kavkazom;</w:t>
      </w:r>
    </w:p>
    <w:p w14:paraId="62FD0DF0" w14:textId="77777777" w:rsidR="00BD28E1" w:rsidRPr="00B77483" w:rsidRDefault="00BD28E1" w:rsidP="00AB0642">
      <w:pPr>
        <w:pStyle w:val="NormalHanging12a"/>
        <w:ind w:left="1134"/>
      </w:pPr>
      <w:r w:rsidRPr="00B77483">
        <w:t>(h)</w:t>
      </w:r>
      <w:r w:rsidRPr="00B77483">
        <w:tab/>
        <w:t>določijo časovni načrt za celovito in pravočasno izvajanje zavez, sprejetih v okviru partnerstva na področju varnosti in obrambe, ki ponuja skladen in celovit politični okvir za dialog in sodelovanje v širokem spektru mirovnih, varnostnih in obrambnih področij, vključno z izbranimi varnostnimi in obrambnimi pobudami EU, ki dopolnjujejo sodelovanje pogodbenic v Natu, kot sta program SAFE in načrt ReArm Europe/Pripravljenost do leta 2030;</w:t>
      </w:r>
    </w:p>
    <w:p w14:paraId="210CA59A" w14:textId="77777777" w:rsidR="00BD28E1" w:rsidRPr="00B77483" w:rsidRDefault="00BD28E1" w:rsidP="00AB0642">
      <w:pPr>
        <w:pStyle w:val="NormalHanging12a"/>
        <w:ind w:left="1134"/>
        <w:rPr>
          <w:szCs w:val="24"/>
        </w:rPr>
      </w:pPr>
      <w:r w:rsidRPr="00B77483">
        <w:t>(i)</w:t>
      </w:r>
      <w:r w:rsidRPr="00B77483">
        <w:tab/>
        <w:t>čim bolj vključijo Kanado v obrambno tehnološko-industrijsko bazo EU, da bi se povečala dopolnjevanje in stroškovna učinkovitost za obe strani, vključno s povezovanjem vojaških in industrijskih dobavnih verig ter usklajevanjem obrambnih strategij in raziskav na področjih, kot sta gradnja ledolomilcev in upravljanje pristanišč; pozovejo k sodelovanju med EU in Kanado pri urejanju izvajanja 5G, da se zagotovi skladnost s strogimi varnostnimi standardi; spodbudijo države članice, naj kanadskim podjetjem omogočijo sodelovanje v svojih postopkih javnega naročanja;</w:t>
      </w:r>
    </w:p>
    <w:p w14:paraId="7D39D09F" w14:textId="77777777" w:rsidR="00BD28E1" w:rsidRPr="00B77483" w:rsidRDefault="00BD28E1" w:rsidP="00AB0642">
      <w:pPr>
        <w:pStyle w:val="NormalHanging12a"/>
        <w:ind w:left="1134"/>
        <w:rPr>
          <w:szCs w:val="24"/>
        </w:rPr>
      </w:pPr>
      <w:r w:rsidRPr="00B77483">
        <w:t>(j)</w:t>
      </w:r>
      <w:r w:rsidRPr="00B77483">
        <w:tab/>
        <w:t xml:space="preserve">priznajo stalno zavezanost in vojaški prispevek Kanade evropski varnosti, zlasti njeno vodilno vlogo pri Natovi operaciji Reassurance v Latviji, članstvo v svetovni koaliciji za boj proti Daišu, Natovi pobudi za krepitev zmogljivosti na Bližnjem vzhodu in koaliciji za drone, ter spodbujajo nadaljnje sodelovanje na ključnih področjih za povečanje proizvodnje, povezane z droni, v sinergiji z industrijskimi in tehnološkimi pobudami EU; pozovejo k skupnim evropskim centrom zmogljivosti za brezpilotne zrakoplove in za boj proti njim v sodelovanju s Kanado; predlagajo dvostranski sporazum s Kanado o varni skupni proizvodnji in prenosu tehnologije na področju zmogljivosti za boj proti brezpilotnim zrakoplovnim sistemom (CUAS) s skupnim razvojem in financiranjem; </w:t>
      </w:r>
    </w:p>
    <w:p w14:paraId="2E054F23" w14:textId="77777777" w:rsidR="00BD28E1" w:rsidRPr="00B77483" w:rsidRDefault="00BD28E1" w:rsidP="00AB0642">
      <w:pPr>
        <w:pStyle w:val="NormalHanging12a"/>
        <w:ind w:left="1134"/>
        <w:rPr>
          <w:szCs w:val="24"/>
        </w:rPr>
      </w:pPr>
      <w:r w:rsidRPr="00B77483">
        <w:t>(k)</w:t>
      </w:r>
      <w:r w:rsidRPr="00B77483">
        <w:tab/>
        <w:t>nadgradijo dragoceni prispevek Kanade k projektom vojaške mobilnosti in NetLogHubs v okviru stalnega strukturnega sodelovanja EU (PESCO) ter dolgoletne prispevke Kanade k civilnim in vojaškim misijam skupne varnostne in obrambne politike (SVOP); spodbujajo nadaljnje sodelovanje in razširitev sodelovanja Kanade v dodatnih projektih PESCO in obrambnih pobudah EU;</w:t>
      </w:r>
    </w:p>
    <w:p w14:paraId="1CB9B06F" w14:textId="77777777" w:rsidR="00BD28E1" w:rsidRPr="00B77483" w:rsidRDefault="00BD28E1" w:rsidP="00AB0642">
      <w:pPr>
        <w:pStyle w:val="NormalHanging12a"/>
        <w:ind w:left="1134"/>
        <w:rPr>
          <w:szCs w:val="24"/>
        </w:rPr>
      </w:pPr>
      <w:r w:rsidRPr="00B77483">
        <w:t>(l)</w:t>
      </w:r>
      <w:r w:rsidRPr="00B77483">
        <w:tab/>
        <w:t>pregledajo in povečajo sodelovanje s Kanado za boj proti kibernetskim grožnjam in grožnjam hibridnega vojskovanja ter se zoperstavijo destabilizirajočim dejavnostim, kot so dezinformacije, ki jih širijo sovražne države, ali vmešavanje v volitve, tudi v državah kandidatkah za članstvo v EU, saj močno ogrožajo socialno kohezijo v naših družbah;</w:t>
      </w:r>
    </w:p>
    <w:p w14:paraId="1AB24714" w14:textId="77777777" w:rsidR="00BD28E1" w:rsidRPr="00B77483" w:rsidRDefault="00BD28E1" w:rsidP="00AB0642">
      <w:pPr>
        <w:pStyle w:val="NormalHanging12a"/>
        <w:ind w:left="1134"/>
        <w:rPr>
          <w:szCs w:val="24"/>
        </w:rPr>
      </w:pPr>
      <w:r w:rsidRPr="00B77483">
        <w:t>(m)</w:t>
      </w:r>
      <w:r w:rsidRPr="00B77483">
        <w:tab/>
        <w:t xml:space="preserve">nadalje spodbujajo usklajevanje in sodelovanje na ključnih področjih, kot so krizno upravljanje, ohranjanje miru, vojaška mobilnost, kibernetska varnost, boj proti terorizmu, varnost v vesolju, energetska varnost, umetna inteligenca in </w:t>
      </w:r>
      <w:r w:rsidRPr="00B77483">
        <w:lastRenderedPageBreak/>
        <w:t>porajajoče se tehnologije, vključno s kvantnim računalništvom, da bi skupaj razvijali ključne zmogljivosti;</w:t>
      </w:r>
    </w:p>
    <w:p w14:paraId="445D78F2" w14:textId="77777777" w:rsidR="00BD28E1" w:rsidRPr="00B77483" w:rsidRDefault="00BD28E1" w:rsidP="00AB0642">
      <w:pPr>
        <w:pStyle w:val="NormalHanging12a"/>
        <w:ind w:left="1134"/>
      </w:pPr>
      <w:r w:rsidRPr="00B77483">
        <w:t>(n)</w:t>
      </w:r>
      <w:r w:rsidRPr="00B77483">
        <w:tab/>
        <w:t>še nadgrajujejo neomajno podporo EU in Kanade suverenosti, neodvisnosti in ozemeljski celovitosti Ukrajine ter njuno sodelovanje in skupno zavezanosti, kar zadeva zagotavljanje dolgoročne politične, vojaške, finančne in humanitarne pomoči, zlasti prek skupine G7 in koalicije voljnih, med drugim s skupnimi prizadevanji za oblikovanje močnega mednarodnega zavezništva za uporabo imobiliziranega ruskega državnega premoženja v skladu z mednarodnim pravom prek posojila za reparacije, pa tudi s sodelovanjem pri donatorski platformi za Ukrajino in vzpostavitvi povojnih varnostnih jamstev za Ukrajino;</w:t>
      </w:r>
    </w:p>
    <w:p w14:paraId="50F5BBF9" w14:textId="77777777" w:rsidR="00BD28E1" w:rsidRPr="00B77483" w:rsidRDefault="00BD28E1" w:rsidP="00AB0642">
      <w:pPr>
        <w:pStyle w:val="NormalHanging12a"/>
        <w:ind w:left="1134"/>
        <w:rPr>
          <w:szCs w:val="24"/>
        </w:rPr>
      </w:pPr>
      <w:r w:rsidRPr="00B77483">
        <w:t>(o)</w:t>
      </w:r>
      <w:r w:rsidRPr="00B77483">
        <w:tab/>
        <w:t>usklajujejo sankcije, zasledujejo diplomatsko osamitev Rusije s Kanado in drugimi partnerji ter skupaj preučijo druge načine za povečanje pritiska na Rusijo;</w:t>
      </w:r>
    </w:p>
    <w:p w14:paraId="7E39140C" w14:textId="77777777" w:rsidR="00BD28E1" w:rsidRPr="00B77483" w:rsidRDefault="00BD28E1" w:rsidP="00AB0642">
      <w:pPr>
        <w:pStyle w:val="NormalHanging12a"/>
        <w:ind w:left="1134"/>
        <w:rPr>
          <w:szCs w:val="24"/>
        </w:rPr>
      </w:pPr>
      <w:r w:rsidRPr="00B77483">
        <w:t>(p)</w:t>
      </w:r>
      <w:r w:rsidRPr="00B77483">
        <w:tab/>
        <w:t>sodelujejo s Kanado, da bi zagotovili popolno odgovornost za vojne zločine in druga huda kazniva dejanja, storjena v zvezi z rusko vojaško agresijo proti Ukrajini, tudi s podpiranjem ustanovitve posebnega sodišča, pristojnega za kaznivo dejanje agresije proti Ukrajini;</w:t>
      </w:r>
    </w:p>
    <w:p w14:paraId="6EC31355" w14:textId="77777777" w:rsidR="00BD28E1" w:rsidRPr="00B77483" w:rsidRDefault="00BD28E1" w:rsidP="00AB0642">
      <w:pPr>
        <w:pStyle w:val="NormalHanging12a"/>
        <w:ind w:left="1134"/>
      </w:pPr>
      <w:r w:rsidRPr="00B77483">
        <w:t>(q)</w:t>
      </w:r>
      <w:r w:rsidRPr="00B77483">
        <w:tab/>
        <w:t>še naprej nadgrajujejo usklajeno podporo EU in Kanade suverenosti, ozemeljski celovitosti in odpornosti Republike Moldavije, da bi se lahko zoperstavila ciljno usmerjenim hibridnim dejavnostim Ruske federacije ter posledicam ruske vojaške agresije proti Ukrajini;</w:t>
      </w:r>
    </w:p>
    <w:p w14:paraId="4CC99133" w14:textId="77777777" w:rsidR="00BD28E1" w:rsidRPr="00B77483" w:rsidRDefault="00BD28E1" w:rsidP="00AB0642">
      <w:pPr>
        <w:pStyle w:val="NormalHanging12a"/>
        <w:ind w:left="1134"/>
      </w:pPr>
      <w:r w:rsidRPr="00B77483">
        <w:t>(r)</w:t>
      </w:r>
      <w:r w:rsidRPr="00B77483">
        <w:tab/>
        <w:t>spodbudijo kanadske oblasti, naj skupaj z EU nadaljujejo in poglobijo sodelovanje države v humanitarnih pobudah in pobudah za demokracijo, zlasti v primeru Belorusije, tudi z večjo podporo instrumentom, ki omogočajo ciljno usmerjeno, prožno in učinkovito pomoč po vsem svetu;</w:t>
      </w:r>
    </w:p>
    <w:p w14:paraId="6BD42BF7" w14:textId="77777777" w:rsidR="00BD28E1" w:rsidRPr="00B77483" w:rsidRDefault="00BD28E1" w:rsidP="00AB0642">
      <w:pPr>
        <w:pStyle w:val="NormalHanging12a"/>
        <w:ind w:left="1134"/>
      </w:pPr>
      <w:r w:rsidRPr="00B77483">
        <w:t>(s)</w:t>
      </w:r>
      <w:r w:rsidRPr="00B77483">
        <w:tab/>
        <w:t>sodelujejo s Kanado pri skupnem spodbujanju naših skupnih odnosov z Združenimi državami Amerike, saj so ključni za varnost in gospodarstvo Kanade in EU;</w:t>
      </w:r>
    </w:p>
    <w:p w14:paraId="45A785C9" w14:textId="77777777" w:rsidR="00BD28E1" w:rsidRPr="00B77483" w:rsidRDefault="00BD28E1" w:rsidP="00AB0642">
      <w:pPr>
        <w:pStyle w:val="NormalHanging12a"/>
        <w:ind w:left="1134"/>
        <w:rPr>
          <w:szCs w:val="24"/>
        </w:rPr>
      </w:pPr>
      <w:r w:rsidRPr="00B77483">
        <w:t>(t)</w:t>
      </w:r>
      <w:r w:rsidRPr="00B77483">
        <w:tab/>
        <w:t>izboljšajo usklajevanje med EU in Kanado, da bi obravnavali večplastne izzive, ki jih predstavljata rast in uveljavljanje Kitajske, tudi na Zahodnem Balkanu;</w:t>
      </w:r>
    </w:p>
    <w:p w14:paraId="46C44EF4" w14:textId="77777777" w:rsidR="00BD28E1" w:rsidRPr="00B77483" w:rsidRDefault="00BD28E1" w:rsidP="00AB0642">
      <w:pPr>
        <w:pStyle w:val="NormalHanging12a"/>
        <w:ind w:left="1134"/>
        <w:rPr>
          <w:szCs w:val="24"/>
        </w:rPr>
      </w:pPr>
      <w:r w:rsidRPr="00B77483">
        <w:t>(u)</w:t>
      </w:r>
      <w:r w:rsidRPr="00B77483">
        <w:tab/>
        <w:t>tesneje sodelujejo s Kanado pri ohranjanju stabilnosti v indijsko-pacifiški regiji, pri čemer naj se opirajo na dolgotrajno navzočnost Kanade v tej regiji in uskladijo svoje indijsko-pacifiške strategije za spodbujanje svobodne, odprte, vključujoče in na pravilih temelječe indijsko-pacifiške regije, tudi s sodelovanjem z regionalnimi partnerji (kot so Združenje držav jugovzhodne Azije, Japonska in drugi) na področju pomorske varnosti, povezljivosti ter spoštovanja mednarodnega prava v Vzhodnokitajskem in Južnokitajskem morju ter Tajvanski ožini;</w:t>
      </w:r>
    </w:p>
    <w:p w14:paraId="7415C5CC" w14:textId="77777777" w:rsidR="00BD28E1" w:rsidRPr="00B77483" w:rsidRDefault="00BD28E1" w:rsidP="00AB0642">
      <w:pPr>
        <w:pStyle w:val="NormalHanging12a"/>
        <w:ind w:left="1134"/>
      </w:pPr>
      <w:r w:rsidRPr="00B77483">
        <w:t>(v)</w:t>
      </w:r>
      <w:r w:rsidRPr="00B77483">
        <w:tab/>
        <w:t xml:space="preserve">sodelujejo s Kanado za pravičen in trajen mir na Bližnjem vzhodu v skladu z mednarodnim pravom prek dvodržavne rešitve, dosežene s pogajanji; okrepijo sodelovanje, da bi zagotovili dostavljanje humanitarne pomoči civilistom v Gazi, ter podprejo vsa diplomatska in operativna prizadevanja za izboljšanje celovite regionalne stabilnosti, obenem pa poskrbijo, da Hamas v prihodnosti ne bo imel vloge v Gazi; se zoperstavijo zlonamernim državam, kot je Iran, ki ogrožajo </w:t>
      </w:r>
      <w:r w:rsidRPr="00B77483">
        <w:lastRenderedPageBreak/>
        <w:t>varnost in mir v regiji; združijo prizadevanja za podporo mirni politični tranziciji in zaščiti vseh skupnosti v Siriji; sodelujejo s Kanado, da bi pomagali Jordaniji in Libanonu, ki ju je nestabilnost v regiji močno prizadela;</w:t>
      </w:r>
    </w:p>
    <w:p w14:paraId="0252172D" w14:textId="77777777" w:rsidR="00BD28E1" w:rsidRPr="00B77483" w:rsidRDefault="00BD28E1" w:rsidP="00AB0642">
      <w:pPr>
        <w:pStyle w:val="NormalHanging12a"/>
        <w:ind w:left="1134"/>
      </w:pPr>
      <w:r w:rsidRPr="00B77483">
        <w:t>(w)</w:t>
      </w:r>
      <w:r w:rsidRPr="00B77483">
        <w:tab/>
        <w:t>vzpostavijo polletni dialog o zunanji politiki, da se omogoči strateško sodelovanje pri najpomembnejših prednostnih vprašanjih;</w:t>
      </w:r>
    </w:p>
    <w:p w14:paraId="224FDAC3" w14:textId="77777777" w:rsidR="00BD28E1" w:rsidRPr="00B77483" w:rsidRDefault="00BD28E1" w:rsidP="00AB0642">
      <w:pPr>
        <w:pStyle w:val="NormalHanging12a"/>
        <w:ind w:left="1134"/>
      </w:pPr>
      <w:r w:rsidRPr="00B77483">
        <w:t>(x)</w:t>
      </w:r>
      <w:r w:rsidRPr="00B77483">
        <w:tab/>
        <w:t>poudarijo skupno zavezanost EU in Kanade napredku agende OZN za ženske, mir in varnost z okrepljenim dvostranskim in večstranskim sodelovanjem; spodbujajo obe strani, naj razvijeta konkretne skupne pobude, prizadevanja za krepitev zmogljivosti in diplomatske ukrepe, namenjene vključevanju vidikov spola v mirovne in varnostne politike;</w:t>
      </w:r>
    </w:p>
    <w:p w14:paraId="6C883445" w14:textId="77777777" w:rsidR="00BD28E1" w:rsidRPr="00B77483" w:rsidRDefault="00BD28E1" w:rsidP="00AB0642">
      <w:pPr>
        <w:pStyle w:val="NormalHanging12a"/>
        <w:ind w:left="1134"/>
      </w:pPr>
      <w:r w:rsidRPr="00B77483">
        <w:t>(y)</w:t>
      </w:r>
      <w:r w:rsidRPr="00B77483">
        <w:tab/>
        <w:t>še naprej podpirajo zeleno zavezništvo med EU in Kanado kot skupno zavezo ambicioznim okoljskim in podnebnim ukrepom na svetovnem prizorišču, vključno s podporo celovitemu izvajanju ciljev Kunminško-montrealskega svetovnega okvira za biotsko raznovrstnost in Pariškega sporazuma;</w:t>
      </w:r>
    </w:p>
    <w:p w14:paraId="404A2C35" w14:textId="77777777" w:rsidR="00BD28E1" w:rsidRPr="00B77483" w:rsidRDefault="00BD28E1" w:rsidP="00AB0642">
      <w:pPr>
        <w:pStyle w:val="NormalHanging12a"/>
        <w:ind w:left="1134"/>
        <w:rPr>
          <w:b/>
          <w:i/>
          <w:iCs/>
          <w:szCs w:val="24"/>
        </w:rPr>
      </w:pPr>
      <w:r w:rsidRPr="00B77483">
        <w:rPr>
          <w:b/>
          <w:i/>
        </w:rPr>
        <w:t>Krepitev multilateralizma</w:t>
      </w:r>
    </w:p>
    <w:p w14:paraId="788ED1E1" w14:textId="77777777" w:rsidR="00BD28E1" w:rsidRPr="00B77483" w:rsidRDefault="00BD28E1" w:rsidP="00AB0642">
      <w:pPr>
        <w:pStyle w:val="NormalHanging12a"/>
        <w:ind w:left="1134"/>
      </w:pPr>
      <w:r w:rsidRPr="00B77483">
        <w:t>(z)</w:t>
      </w:r>
      <w:r w:rsidRPr="00B77483">
        <w:tab/>
        <w:t>nadalje okrepijo sodelovanje s Kanado pri zagovarjanju multilateralizma, da bi skupaj obravnavali nastajajoče in nevarne geopolitične razmere, ki vplivajo na naše skupne vrednote, interese in varnost, pa tudi na socialno kohezijo naših družb;</w:t>
      </w:r>
    </w:p>
    <w:p w14:paraId="1A16A2C5" w14:textId="77777777" w:rsidR="00BD28E1" w:rsidRPr="00B77483" w:rsidRDefault="00BD28E1" w:rsidP="00AB0642">
      <w:pPr>
        <w:pStyle w:val="NormalHanging12a"/>
        <w:ind w:left="1134"/>
        <w:rPr>
          <w:szCs w:val="24"/>
        </w:rPr>
      </w:pPr>
      <w:r w:rsidRPr="00B77483">
        <w:t>(aa)</w:t>
      </w:r>
      <w:r w:rsidRPr="00B77483">
        <w:tab/>
        <w:t>okrepijo sodelovanje med EU in Kanado v večstranskih forumih in zunaj njih z usklajevanjem stališč in pobud ter sodelovanjem pri zagovarjanju skupnih vrednot;</w:t>
      </w:r>
    </w:p>
    <w:p w14:paraId="716F271F" w14:textId="77777777" w:rsidR="00BD28E1" w:rsidRPr="00B77483" w:rsidRDefault="00BD28E1" w:rsidP="00AB0642">
      <w:pPr>
        <w:pStyle w:val="NormalHanging12a"/>
        <w:ind w:left="1134"/>
        <w:rPr>
          <w:szCs w:val="24"/>
        </w:rPr>
      </w:pPr>
      <w:r w:rsidRPr="00B77483">
        <w:t>(ab)</w:t>
      </w:r>
      <w:r w:rsidRPr="00B77483">
        <w:tab/>
        <w:t>tesno in dosledno sodelujejo pri ohranjanju ključne vloge in delovanja mednarodnih institucij, kot so OZN, Mednarodno kazensko sodišče, STO in Nato, ter mednarodnih forumov, kot sta G7 in G20; v zvezi s tem pozovejo Kanado in druge podobno misleče države, naj v dvostranskih odnosih z državami, ki niso zgolj ZDA, še naprej spoštujejo pravila STO;</w:t>
      </w:r>
    </w:p>
    <w:p w14:paraId="503CBC02" w14:textId="77777777" w:rsidR="00BD28E1" w:rsidRPr="00B77483" w:rsidRDefault="00BD28E1" w:rsidP="00AB0642">
      <w:pPr>
        <w:pStyle w:val="NormalHanging12a"/>
        <w:ind w:left="1134"/>
        <w:rPr>
          <w:szCs w:val="24"/>
        </w:rPr>
      </w:pPr>
      <w:r w:rsidRPr="00B77483">
        <w:t>(ac)</w:t>
      </w:r>
      <w:r w:rsidRPr="00B77483">
        <w:tab/>
        <w:t>uskladijo prizadevanja za izvedbo dolgo potrebne reforme mednarodnih organizacij, kot sta OZN in STO;</w:t>
      </w:r>
    </w:p>
    <w:p w14:paraId="45057A5C" w14:textId="77777777" w:rsidR="00BD28E1" w:rsidRPr="00B77483" w:rsidRDefault="00BD28E1" w:rsidP="00AB0642">
      <w:pPr>
        <w:pStyle w:val="NormalHanging12a"/>
        <w:ind w:left="1134"/>
        <w:rPr>
          <w:szCs w:val="24"/>
        </w:rPr>
      </w:pPr>
      <w:r w:rsidRPr="00B77483">
        <w:t>(ad)</w:t>
      </w:r>
      <w:r w:rsidRPr="00B77483">
        <w:tab/>
        <w:t>okrepijo sodelovanje v večstranskih posojilnih institucijah ter izboljšajo sinergije med kapitalskim trgom in krepitvijo zmogljivosti, tudi za financiranje obrambe;</w:t>
      </w:r>
    </w:p>
    <w:p w14:paraId="7E33E8E5" w14:textId="77777777" w:rsidR="00BD28E1" w:rsidRPr="00B77483" w:rsidRDefault="00BD28E1" w:rsidP="00AB0642">
      <w:pPr>
        <w:pStyle w:val="NormalHanging12a"/>
        <w:ind w:left="1134"/>
        <w:rPr>
          <w:b/>
          <w:i/>
          <w:iCs/>
          <w:szCs w:val="24"/>
        </w:rPr>
      </w:pPr>
      <w:r w:rsidRPr="00B77483">
        <w:rPr>
          <w:b/>
          <w:i/>
        </w:rPr>
        <w:t>Sodelovanje v zvezi z Arktiko</w:t>
      </w:r>
    </w:p>
    <w:p w14:paraId="287A925A" w14:textId="77777777" w:rsidR="00BD28E1" w:rsidRPr="00B77483" w:rsidRDefault="00BD28E1" w:rsidP="00AB0642">
      <w:pPr>
        <w:pStyle w:val="NormalHanging12a"/>
        <w:ind w:left="1134"/>
      </w:pPr>
      <w:r w:rsidRPr="00B77483">
        <w:t>(ae)</w:t>
      </w:r>
      <w:r w:rsidRPr="00B77483">
        <w:tab/>
        <w:t>poudarijo strateški pomen arktične regije za EU in Kanado glede na njen vse večji geopolitični, okoljski in gospodarski pomen; pozovejo k tesnejšemu sodelovanju med EU in Kanado na Arktiki, tudi na področju trajnostnega gospodarskega razvoja, svobode plovbe in pomorske varnosti, vojaškega sodelovanja, znanstvenih raziskav ter spremljanja in varstva okolja;</w:t>
      </w:r>
    </w:p>
    <w:p w14:paraId="014D5599" w14:textId="3A35BC90" w:rsidR="00BD28E1" w:rsidRPr="00B77483" w:rsidRDefault="00BD28E1" w:rsidP="00AB0642">
      <w:pPr>
        <w:pStyle w:val="NormalHanging12a"/>
        <w:ind w:left="1134"/>
      </w:pPr>
      <w:r w:rsidRPr="00B77483">
        <w:t>(af)</w:t>
      </w:r>
      <w:r w:rsidRPr="00B77483">
        <w:tab/>
        <w:t>izrazijo zaskrbljenost zaradi militarizacije Arktike,</w:t>
      </w:r>
      <w:r w:rsidR="00AB0642" w:rsidRPr="00B77483">
        <w:t xml:space="preserve"> </w:t>
      </w:r>
      <w:r w:rsidRPr="00B77483">
        <w:t xml:space="preserve">vključno z rusko širitvijo vojaške infrastrukture in vse večjo strateško prisotnostjo Kitajske, in sodelujejo s Kanado in ZDA, da bi Arktiko ohranili kot območje miru in stabilnosti z uporabo </w:t>
      </w:r>
      <w:r w:rsidRPr="00B77483">
        <w:lastRenderedPageBreak/>
        <w:t>vseh ustreznih tehničnih in pravnih orodij, zlasti konvencije OZN o pomorskem mednarodnem pravu;</w:t>
      </w:r>
    </w:p>
    <w:p w14:paraId="0ED98C54" w14:textId="77777777" w:rsidR="00BD28E1" w:rsidRPr="00B77483" w:rsidRDefault="00BD28E1" w:rsidP="00AB0642">
      <w:pPr>
        <w:pStyle w:val="NormalHanging12a"/>
        <w:ind w:left="1134"/>
      </w:pPr>
      <w:r w:rsidRPr="00B77483">
        <w:t>(ag)</w:t>
      </w:r>
      <w:r w:rsidRPr="00B77483">
        <w:tab/>
        <w:t>okrepijo večstransko upravljanje Arktike s Kanado, tudi s sodelovanjem prek Arktičnega sveta in Nata ter z državami opazovalkami, da bi uveljavili mednarodno pravo ter zagotovili pomorsko svobodo in preprečevanje konfliktov; spodbujajo pobude za dialog, odzivanje na krize in skupne vaje pod vodstvom EU in Kanade;</w:t>
      </w:r>
    </w:p>
    <w:p w14:paraId="4AE91967" w14:textId="77777777" w:rsidR="00BD28E1" w:rsidRPr="00B77483" w:rsidRDefault="00BD28E1" w:rsidP="00AB0642">
      <w:pPr>
        <w:pStyle w:val="NormalHanging12a"/>
        <w:ind w:left="1134"/>
      </w:pPr>
      <w:r w:rsidRPr="00B77483">
        <w:t>(ah)</w:t>
      </w:r>
      <w:r w:rsidRPr="00B77483">
        <w:tab/>
        <w:t xml:space="preserve">spodbujajo vzpostavitev namenskega okvira za sodelovanje med EU in Kanado na Arktiki s strukturiranimi dialogi med institucijami EU in Kanade za spodbujanje skupnega situacijskega zavedanja in zaščite infrastrukture, reševanje podnebnih in okoljskih izzivov ter zaščito interesov, pravic in dediščine arktičnih skupnosti in domorodnih ljudstev; </w:t>
      </w:r>
    </w:p>
    <w:p w14:paraId="6B80742C" w14:textId="77777777" w:rsidR="00BD28E1" w:rsidRPr="00B77483" w:rsidRDefault="00BD28E1" w:rsidP="00AB0642">
      <w:pPr>
        <w:pStyle w:val="NormalHanging12a"/>
        <w:ind w:left="1134"/>
      </w:pPr>
      <w:r w:rsidRPr="00B77483">
        <w:t>(ai)</w:t>
      </w:r>
      <w:r w:rsidRPr="00B77483">
        <w:tab/>
        <w:t>podpirajo spodbudne politike, ki bi zagotavljale, da bi lahko domorodna ljudstva na Arktiki uveljavljala svojo pravico do prostovoljnega, predhodnega in informiranega soglasja o projektih, ki vplivajo na njihova zemljišča, ozemlje ali vire; vzpostavijo strukturiran dialog s Kanado o varstvu ekosistemov in biotske raznovrstnosti, izvajanju mednarodnih okoljskih standardov, odporni infrastrukturi, pomorski varnosti in vključevanju znanja domorodnih ljudstev v odločanje; spodbudijo tesnejše sodelovanje na znanstvenem in kulturnem področju, da bi opolnomočili domorodna ljudstva;</w:t>
      </w:r>
    </w:p>
    <w:p w14:paraId="39F5A5C9" w14:textId="77777777" w:rsidR="00BD28E1" w:rsidRPr="00B77483" w:rsidRDefault="00BD28E1" w:rsidP="00AB0642">
      <w:pPr>
        <w:pStyle w:val="NormalHanging12a"/>
        <w:ind w:left="1134"/>
      </w:pPr>
      <w:r w:rsidRPr="00B77483">
        <w:t>(aj)</w:t>
      </w:r>
      <w:r w:rsidRPr="00B77483">
        <w:tab/>
        <w:t xml:space="preserve">okrepijo sodelovanje med EU in Kanado na področju varnosti Arktike, tudi s skupnim spremljanjem strateških pomorskih koridorjev, vzpostavitvijo skupnih sistemov zgodnjega opozarjanja in ocen ogroženosti, obravnavanjem hibridnih in konvencionalnih groženj, kot so kibernetski napadi, motnje GPS in operacije flote v senci, ter varovanjem kritične arktične infrastrukture, vključno s podmorskimi kabli, cevovodi in komunikacijskimi sistemi; </w:t>
      </w:r>
    </w:p>
    <w:p w14:paraId="1FE5D5C8" w14:textId="77777777" w:rsidR="00BD28E1" w:rsidRPr="00B77483" w:rsidRDefault="00BD28E1" w:rsidP="00AB0642">
      <w:pPr>
        <w:pStyle w:val="NormalHanging12a"/>
        <w:ind w:left="1134"/>
      </w:pPr>
      <w:r w:rsidRPr="00B77483">
        <w:t>(ak)</w:t>
      </w:r>
      <w:r w:rsidRPr="00B77483">
        <w:tab/>
        <w:t>priporočijo, naj države članice razmislijo o vzpostavitvi novih projektov PESCO s Kanado, kot so projekti o iskanju in reševanju ali odzivu na okoljske izzive, da bi okrepili zmogljivosti SVOP na Arktiki; spodbujajo simulacijske vaje med EU in Kanado, osredotočene na široko izvajanje mehanizma civilne zaščite na Arktiki;</w:t>
      </w:r>
    </w:p>
    <w:p w14:paraId="4F471141" w14:textId="77777777" w:rsidR="00BD28E1" w:rsidRPr="00B77483" w:rsidRDefault="00BD28E1" w:rsidP="00AB0642">
      <w:pPr>
        <w:pStyle w:val="NormalHanging12a"/>
        <w:ind w:left="1134"/>
      </w:pPr>
      <w:r w:rsidRPr="00B77483">
        <w:t>(al)</w:t>
      </w:r>
      <w:r w:rsidRPr="00B77483">
        <w:tab/>
        <w:t>posodobijo strategijo EU za pomorsko varnost in vesoljsko politiko EU, da bi skupaj s strateškimi partnerji, kot je Kanada, obravnavali nove priložnosti in izzive v arktični regiji; v sodelovanju s Kanado ocenijo razširitev obstoječih satelitskih programov, da bi zadostili posebnim potrebam arktične regije, vključno z boljšo uporabo programa Copernicus za spremljanje Arktike;</w:t>
      </w:r>
    </w:p>
    <w:p w14:paraId="746DBBE8" w14:textId="77777777" w:rsidR="00BD28E1" w:rsidRPr="00B77483" w:rsidRDefault="00BD28E1" w:rsidP="00AB0642">
      <w:pPr>
        <w:pStyle w:val="NormalHanging12a"/>
        <w:ind w:left="1134"/>
      </w:pPr>
      <w:r w:rsidRPr="00B77483">
        <w:t>(am)</w:t>
      </w:r>
      <w:r w:rsidRPr="00B77483">
        <w:tab/>
        <w:t>spodbujajo tesno sodelovanje s Kanado pri razvoju infrastrukture optičnih vlaken, da bi ustvarili nove digitalne koridorje, ki bi izboljšali tudi povezljivost arktičnih skupnosti ter podprli boljše zdravstvene in socialne storitve, priložnosti za spletno izobraževanje in dostop do svetovnega gospodarstva;</w:t>
      </w:r>
    </w:p>
    <w:p w14:paraId="30CEB68F" w14:textId="77777777" w:rsidR="00BD28E1" w:rsidRPr="00B77483" w:rsidRDefault="00BD28E1" w:rsidP="00AB0642">
      <w:pPr>
        <w:pStyle w:val="NormalHanging12a"/>
        <w:ind w:left="1134"/>
      </w:pPr>
      <w:r w:rsidRPr="00B77483">
        <w:t>(an)</w:t>
      </w:r>
      <w:r w:rsidRPr="00B77483">
        <w:tab/>
        <w:t xml:space="preserve">podprejo prizadevanja za krepitev odpornosti proti morebitnemu pritisku dejavnosti vse bolj prisotne Ljudske republike Kitajske in drugih akterjev, ki ne dajejo prednosti trajnostnemu, na pravilih temelječemu pridobivanju mineralov; pozovejo k tesnejšemu sodelovanju s Kanado in k temu, da projektna skupina East </w:t>
      </w:r>
      <w:r w:rsidRPr="00B77483">
        <w:lastRenderedPageBreak/>
        <w:t>StratCom spremlja kampanje vplivanja, usmerjene v odločitve o pridobivanju arktičnih mineralov;</w:t>
      </w:r>
    </w:p>
    <w:p w14:paraId="053E486C" w14:textId="77777777" w:rsidR="00BD28E1" w:rsidRPr="00B77483" w:rsidRDefault="00BD28E1" w:rsidP="00AB0642">
      <w:pPr>
        <w:pStyle w:val="NormalHanging12a"/>
        <w:ind w:left="1134"/>
      </w:pPr>
      <w:r w:rsidRPr="00B77483">
        <w:t>(ao)</w:t>
      </w:r>
      <w:r w:rsidRPr="00B77483">
        <w:tab/>
        <w:t>poglobijo sodelovanje s Kanado pri obravnavanju vpliva podnebnih sprememb na Arktiko, okrepijo strategije prilagajanja, podprejo dejavnosti spremljanja in povečajo naložbe v raziskave, prometno, digitalno in energetsko infrastrukturo, vesoljske tehnologije, trajnostni ladijski promet, trajnostno pridobivanje in predelavo surovin, energijo iz obnovljivih virov in druge nizkoogljične dejavnosti, turizem in splošno odpornost;</w:t>
      </w:r>
    </w:p>
    <w:p w14:paraId="416CFAC0" w14:textId="77777777" w:rsidR="00BD28E1" w:rsidRPr="00B77483" w:rsidRDefault="00BD28E1" w:rsidP="00AB0642">
      <w:pPr>
        <w:pStyle w:val="NormalHanging12a"/>
        <w:ind w:left="1134"/>
      </w:pPr>
      <w:r w:rsidRPr="00B77483">
        <w:t>(ap)</w:t>
      </w:r>
      <w:r w:rsidRPr="00B77483">
        <w:tab/>
        <w:t>spodbujajo skupne arktične raziskovalne pobude s Kanado, pri čemer je treba zagotoviti, da se pri znanstvenem sodelovanju upoštevajo tudi varnostna tveganja, povezana z dvojno rabo; spodbujajo odprto izmenjavo podatkov, spremljanje podnebnega, okoljskega in strateškega razvoja ter vključevanje raziskav v načrtovanje politik in varnostno načrtovanje;</w:t>
      </w:r>
    </w:p>
    <w:p w14:paraId="0CDC7557" w14:textId="77777777" w:rsidR="00BD28E1" w:rsidRPr="00B77483" w:rsidRDefault="00BD28E1" w:rsidP="00AB0642">
      <w:pPr>
        <w:pStyle w:val="NormalHanging12a"/>
        <w:ind w:left="1134"/>
      </w:pPr>
      <w:r w:rsidRPr="00B77483">
        <w:t>(aq)</w:t>
      </w:r>
      <w:r w:rsidRPr="00B77483">
        <w:tab/>
        <w:t>tesno sodelujejo s Kanado, tudi prek kanalov, kot je koalicija voljnih, da bi enotno zaščitili avtonomijo Grenlandije in vlogo grenlandskega ljudstva v okviru povečanega geopolitičnega interesa za Arktiko, kot je razvidno iz retorike Trumpove administracije o priključitvi, gospodarske in vojaške prisile na Grenlandijo ter izjave Kitajske, da je „država blizu Arktike“; sodelujejo s Kanado, da bi zagotovili uporabo visokih okoljskih, socialnih in upravljavskih standardov pri izvajanju infrastrukturnih in rudarskih projektov na Arktiki;</w:t>
      </w:r>
    </w:p>
    <w:p w14:paraId="008E3911" w14:textId="77777777" w:rsidR="00BD28E1" w:rsidRPr="00B77483" w:rsidRDefault="00BD28E1" w:rsidP="00AB0642">
      <w:pPr>
        <w:pStyle w:val="NormalHanging12a"/>
        <w:ind w:left="1134"/>
        <w:rPr>
          <w:szCs w:val="24"/>
        </w:rPr>
      </w:pPr>
      <w:r w:rsidRPr="00B77483">
        <w:t>(ar)</w:t>
      </w:r>
      <w:r w:rsidRPr="00B77483">
        <w:tab/>
        <w:t>okrepijo sodelovanje med EU, Kanado, Dansko in Grenlandijo na podlagi zgodovinskega sporazuma, sklenjenega za mirno reševanje dolgotrajnih mejnih sporov; pozdravijo podpis novega memoranduma o soglasju za ribištvo med Grenlandijo in ozemljem Nunavut v Kanadi;</w:t>
      </w:r>
    </w:p>
    <w:p w14:paraId="6B2FE5F7" w14:textId="77777777" w:rsidR="00BD28E1" w:rsidRPr="00B77483" w:rsidRDefault="00BD28E1" w:rsidP="00AB0642">
      <w:pPr>
        <w:pStyle w:val="NormalHanging12a"/>
        <w:ind w:left="1134"/>
        <w:rPr>
          <w:b/>
          <w:i/>
          <w:iCs/>
          <w:szCs w:val="24"/>
        </w:rPr>
      </w:pPr>
      <w:r w:rsidRPr="00B77483">
        <w:rPr>
          <w:b/>
          <w:i/>
        </w:rPr>
        <w:t xml:space="preserve">Trgovina z blagom in storitvami, digitalna trgovina, naložbe in gospodarska varnost </w:t>
      </w:r>
    </w:p>
    <w:p w14:paraId="279615B1" w14:textId="77777777" w:rsidR="00BD28E1" w:rsidRPr="00B77483" w:rsidRDefault="00BD28E1" w:rsidP="00AB0642">
      <w:pPr>
        <w:pStyle w:val="NormalHanging12a"/>
        <w:ind w:left="1134"/>
        <w:rPr>
          <w:szCs w:val="24"/>
        </w:rPr>
      </w:pPr>
      <w:r w:rsidRPr="00B77483">
        <w:t>(as)</w:t>
      </w:r>
      <w:r w:rsidRPr="00B77483">
        <w:tab/>
        <w:t>v državah članicah in EU spodbujajo koristi sporazuma CETA, med katerimi so tudi boljši dostop do trga, poenostavljena trgovina in manjše upravne ovire za mala in srednja podjetja, zlasti s povečanjem sredstev, dodeljenih kampanjam za ozaveščanje podjetij EU o trgovinskih priložnostih; izkoristijo pozitivne rezultate sporazuma CETA in si prizadevajo za njegovo celovito izvajanje ter izrabijo vse priložnosti za okrepitev trgovinskega in naložbenega odnosa s Kanado;</w:t>
      </w:r>
    </w:p>
    <w:p w14:paraId="43CAE7F7" w14:textId="77777777" w:rsidR="00BD28E1" w:rsidRPr="00B77483" w:rsidRDefault="00BD28E1" w:rsidP="00AB0642">
      <w:pPr>
        <w:pStyle w:val="NormalHanging12a"/>
        <w:ind w:left="1134"/>
        <w:rPr>
          <w:szCs w:val="24"/>
        </w:rPr>
      </w:pPr>
      <w:r w:rsidRPr="00B77483">
        <w:t>(at)</w:t>
      </w:r>
      <w:r w:rsidRPr="00B77483">
        <w:tab/>
        <w:t>dodatno poglobijo regulativno sodelovanje na pregleden način ter usklajevanje s Protokolom o vzajemnem sprejetju rezultatov ugotavljanja skladnosti iz sporazuma CETA in intenzivnejšim delom v Forumu za regulativno sodelovanje sporazuma CETA;</w:t>
      </w:r>
    </w:p>
    <w:p w14:paraId="5A31BF34" w14:textId="77777777" w:rsidR="00BD28E1" w:rsidRPr="00B77483" w:rsidRDefault="00BD28E1" w:rsidP="00AB0642">
      <w:pPr>
        <w:pStyle w:val="NormalHanging12a"/>
        <w:ind w:left="1134"/>
        <w:rPr>
          <w:szCs w:val="24"/>
        </w:rPr>
      </w:pPr>
      <w:r w:rsidRPr="00B77483">
        <w:t>(au)</w:t>
      </w:r>
      <w:r w:rsidRPr="00B77483">
        <w:tab/>
        <w:t xml:space="preserve">nemudoma začnejo pogajanja o ambicioznem samostojnem sporazumu o digitalni trgovini, ki bo dopolnjeval sporazum CETA in ki ne bi smel ovirati izvajanja digitalnega pravnega reda EU ali zmanjševati prihodnjega političnega prostora katere koli pogodbenice pri urejanju digitalnega področja, obenem pa mora v celoti spoštovati horizontalne določbe o čezmejnem pretoku podatkov in varstvu osebnih podatkov v trgovinskih in naložbenih sporazumih EU, zagotoviti visoko raven varstva potrošnikov na spletu in predvidljiva pravila za poslovne subjekte ter okrepiti dvostransko sodelovanje v digitalnem gospodarstvu z uskladitvijo </w:t>
      </w:r>
      <w:r w:rsidRPr="00B77483">
        <w:lastRenderedPageBreak/>
        <w:t>standardov in infrastrukture, povečanjem konkurenčnosti, zagotavljanjem sodelovanja na področjih kibernetske varnosti, umetne inteligence in kvantnih raziskav ter ustvarjanjem novih priložnosti na področjih e-trgovanja in digitalnih storitev, zlasti za mala in srednja podjetja;</w:t>
      </w:r>
    </w:p>
    <w:p w14:paraId="41810AE0" w14:textId="77777777" w:rsidR="00BD28E1" w:rsidRPr="00B77483" w:rsidRDefault="00BD28E1" w:rsidP="00AB0642">
      <w:pPr>
        <w:pStyle w:val="NormalHanging12a"/>
        <w:ind w:left="1134"/>
        <w:rPr>
          <w:szCs w:val="24"/>
        </w:rPr>
      </w:pPr>
      <w:r w:rsidRPr="00B77483">
        <w:t>(av)</w:t>
      </w:r>
      <w:r w:rsidRPr="00B77483">
        <w:tab/>
        <w:t>tesno sodelujejo s Kanado, da bi zagotovili strožje izvrševanje, jasnejše merjenje učinka in okrepljeno regulativno usklajevanje v zvezi z izvajanjem poglavja sporazuma CETA o trgovini in trajnostnem razvoju, tudi z bojem proti prisilnemu delu in delu otrok ter razmislekom o predlogih kanadske vlade za povečanje izvršljivosti določb o trgovini in trajnostnem razvoju;</w:t>
      </w:r>
    </w:p>
    <w:p w14:paraId="0E8B1D2D" w14:textId="77777777" w:rsidR="00BD28E1" w:rsidRPr="00B77483" w:rsidRDefault="00BD28E1" w:rsidP="00AB0642">
      <w:pPr>
        <w:pStyle w:val="NormalHanging12a"/>
        <w:ind w:left="1134"/>
        <w:rPr>
          <w:szCs w:val="24"/>
        </w:rPr>
      </w:pPr>
      <w:r w:rsidRPr="00B77483">
        <w:t>(aw)</w:t>
      </w:r>
      <w:r w:rsidRPr="00B77483">
        <w:tab/>
        <w:t>tesno sodelujejo s Kanado, da bi povečali dostop civilne družbe do informacij in neposredno sodelovanje v odborih v okviru sporazuma CETA, tako pred vsako od ustreznih sej specializiranih odborov kot po njih;</w:t>
      </w:r>
    </w:p>
    <w:p w14:paraId="09EB0D1C" w14:textId="77777777" w:rsidR="00BD28E1" w:rsidRPr="00B77483" w:rsidRDefault="00BD28E1" w:rsidP="00AB0642">
      <w:pPr>
        <w:pStyle w:val="NormalHanging12a"/>
        <w:ind w:left="1134"/>
        <w:rPr>
          <w:szCs w:val="24"/>
        </w:rPr>
      </w:pPr>
      <w:r w:rsidRPr="00B77483">
        <w:t>(ax)</w:t>
      </w:r>
      <w:r w:rsidRPr="00B77483">
        <w:tab/>
        <w:t>tesno sodelujejo s Kanado, da bi v okviru sporazuma CETA vzpostavili sistem podatkov, razčlenjenih po spolu, o sektorjih poslovanja podjetij v lasti žensk in o trgovinski dejavnosti žensk;</w:t>
      </w:r>
    </w:p>
    <w:p w14:paraId="1962A2C5" w14:textId="77777777" w:rsidR="00BD28E1" w:rsidRPr="00B77483" w:rsidRDefault="00BD28E1" w:rsidP="00AB0642">
      <w:pPr>
        <w:pStyle w:val="NormalHanging12a"/>
        <w:ind w:left="1134"/>
        <w:rPr>
          <w:szCs w:val="24"/>
        </w:rPr>
      </w:pPr>
      <w:r w:rsidRPr="00B77483">
        <w:t>(ay)</w:t>
      </w:r>
      <w:r w:rsidRPr="00B77483">
        <w:tab/>
        <w:t>še naprej sodelujejo s Kanado, da bi opredelili ustrezen instrument in konkretne skupne dejavnosti, s katerimi bi domorodnim ljudstvom olajšali dostop do sporazuma CETA in zagotovili, da bodo imela od njega koristi, obenem pa zagotovili, da se jih vključi in se z njimi smiselno posvetuje, tudi z zagotavljanjem njihovega svobodnega, predhodnega in informiranega soglasja pri izvajanju sporazuma CETA in strateškega partnerstva za surovine;</w:t>
      </w:r>
    </w:p>
    <w:p w14:paraId="780B30DC" w14:textId="77777777" w:rsidR="00BD28E1" w:rsidRPr="00B77483" w:rsidRDefault="00BD28E1" w:rsidP="00AB0642">
      <w:pPr>
        <w:pStyle w:val="NormalHanging12a"/>
        <w:ind w:left="1134"/>
        <w:rPr>
          <w:szCs w:val="24"/>
        </w:rPr>
      </w:pPr>
      <w:r w:rsidRPr="00B77483">
        <w:t>(az)</w:t>
      </w:r>
      <w:r w:rsidRPr="00B77483">
        <w:tab/>
        <w:t xml:space="preserve">priznajo, da je sporazum CETA znatno prispeval k diverzifikaciji in odpornosti dobavnih verig EU in Kanade ter k povečanju uvoza kritičnih surovin s poreklom iz Kanade v EU; pozdravijo zavezništvo za proizvodnjo kritičnih mineralov, pobudo skupine G7, ki jo vodi Kanada, za diverzifikacijo in zagotovitev svetovne proizvodnje in oskrbe s kritičnimi minerali; poudarijo, da strateško partnerstvo EU-Kanada na področju surovin spodbuja usklajevanje in skupno ukrepanje v odziv na izvozne omejitve, ki so jih tretje države uvedle za kritične minerale in druge strateško pomembne vire, ter krepi varnost dobavne verige in gospodarsko odpornost; zagotovijo nadaljnji razvoj skupnih projektov v okviru strateškega partnerstva EU-Kanada na področju surovin, tudi z okrepljenim tehničnim in znanstvenim sodelovanjem ter večjimi naložbami v infrastrukturo, ter dodatno okrepijo dialog o industrijski politiki s Kanado; </w:t>
      </w:r>
    </w:p>
    <w:p w14:paraId="605E6B32" w14:textId="77777777" w:rsidR="00BD28E1" w:rsidRPr="00B77483" w:rsidRDefault="00BD28E1" w:rsidP="00AB0642">
      <w:pPr>
        <w:pStyle w:val="NormalHanging12a"/>
        <w:ind w:left="1134"/>
        <w:rPr>
          <w:szCs w:val="24"/>
        </w:rPr>
      </w:pPr>
      <w:r w:rsidRPr="00B77483">
        <w:t>(ba)</w:t>
      </w:r>
      <w:r w:rsidRPr="00B77483">
        <w:tab/>
        <w:t>spodbujajo sodelovanje s Kanado kot ključno partnerico za energetsko varnost in pozivajo k razširitvi energetskega dialoga na visoki ravni med EU in Kanado, da bi razvili skupne ukrepe na področju vodika, drugih trajnostnih nizkoogljičnih tehnologij, zaščite kritične energetske infrastrukture in trajnostne trgovine z energijo; nadaljujejo obstoječe sodelovanje na področju jedrskih tehnologij, vključno z gorivi in storitvami gorivnega cikla, s pogajanji o posodobljenem in celovitem sporazumu o jedrskem sodelovanju med Kanado in Euratomom;</w:t>
      </w:r>
    </w:p>
    <w:p w14:paraId="21433FFF" w14:textId="77777777" w:rsidR="00BD28E1" w:rsidRPr="00B77483" w:rsidRDefault="00BD28E1" w:rsidP="00AB0642">
      <w:pPr>
        <w:pStyle w:val="NormalHanging12a"/>
        <w:ind w:left="1134"/>
        <w:rPr>
          <w:szCs w:val="24"/>
        </w:rPr>
      </w:pPr>
      <w:r w:rsidRPr="00B77483">
        <w:t>(bb)</w:t>
      </w:r>
      <w:r w:rsidRPr="00B77483">
        <w:tab/>
        <w:t xml:space="preserve">preučijo morebitno sodelovanje med EU, Kanado in drugimi podobno mislečimi geopolitičnimi subjekti in regijami, kot sta Latinska Amerika in indijsko-pacifiška regija, ali v okviru Celostnega in naprednega sporazuma za čezpacifiško partnerstvo, da bi spodbudili trgovino, zmanjšali strateške odvisnosti, zlasti od </w:t>
      </w:r>
      <w:r w:rsidRPr="00B77483">
        <w:lastRenderedPageBreak/>
        <w:t>Kitajske, povečali odpornost, se spoprijeli s svetovnimi trgovinskimi izzivi, tudi s krepitvijo trga jekla za boj proti svetovni presežni zmogljivosti, in omogočili trgovino med partnericami, ki temelji na pravilih; v zvezi s tem pozdravijo začetek pogajanj o celovitem sporazumu o gospodarskem partnerstvu med Kanado in Indijo ter sklenitev prostotrgovinskega sporazuma med EU in Indijo;</w:t>
      </w:r>
    </w:p>
    <w:p w14:paraId="2BFAE384" w14:textId="77777777" w:rsidR="00BD28E1" w:rsidRPr="00B77483" w:rsidRDefault="00BD28E1" w:rsidP="00AB0642">
      <w:pPr>
        <w:pStyle w:val="NormalHanging12a"/>
        <w:ind w:left="1134"/>
        <w:rPr>
          <w:szCs w:val="24"/>
        </w:rPr>
      </w:pPr>
      <w:r w:rsidRPr="00B77483">
        <w:t>(bc)</w:t>
      </w:r>
      <w:r w:rsidRPr="00B77483">
        <w:tab/>
        <w:t>pozovejo deset držav članic, ki še niso ratificirale sporazuma CETA, naj to čim prej storijo; ponovno izpostavijo, kako pomembno je v celoti uporabljati sporazum CETA, saj gre za pomembno politično sporočilo pred deseto obletnico njegove začasne uporabe leta 2027, zlasti v sedanjih geopolitičnih razmerah, in predpogoj za uresničitev celotnega gospodarskega potenciala sporazuma; dvostransko sodelujejo s temi državami članicami, da se seznanijo z njihovimi pomisleki;</w:t>
      </w:r>
    </w:p>
    <w:p w14:paraId="52F71C8A" w14:textId="77777777" w:rsidR="00BD28E1" w:rsidRPr="00B77483" w:rsidRDefault="00BD28E1" w:rsidP="00AB0642">
      <w:pPr>
        <w:pStyle w:val="NormalHanging12a"/>
        <w:ind w:left="1134"/>
        <w:rPr>
          <w:b/>
          <w:i/>
          <w:iCs/>
          <w:szCs w:val="24"/>
        </w:rPr>
      </w:pPr>
      <w:r w:rsidRPr="00B77483">
        <w:rPr>
          <w:b/>
          <w:i/>
        </w:rPr>
        <w:t>Globalni razvoj</w:t>
      </w:r>
    </w:p>
    <w:p w14:paraId="6D0EAEF3" w14:textId="77777777" w:rsidR="00BD28E1" w:rsidRPr="00B77483" w:rsidRDefault="00BD28E1" w:rsidP="00AB0642">
      <w:pPr>
        <w:pStyle w:val="NormalHanging12a"/>
        <w:ind w:left="1134"/>
      </w:pPr>
      <w:r w:rsidRPr="00B77483">
        <w:t>(bd)</w:t>
      </w:r>
      <w:r w:rsidRPr="00B77483">
        <w:tab/>
        <w:t>poskrbijo za tesno usklajevanje s Kanado, da bi pomagali zapolniti kritične vrzeli, okrepiti večstranske razvojne okvire, delovati kot močnejša protiutež avtoritarnim režimom in se zoperstaviti njihovemu vse večjemu svetovnemu vplivu, spodbujati trajnostni razvoj, uresničevanje agende OZN za trajnostni razvoj do leta 2030 in cilje trajnostnega razvoja ter doseči vključujoča mednarodna partnerstva ter še naprej podpirati civilno družbo in demokratično odpornost, tudi v sosedstvu EU in zlasti v državah kandidatkah;</w:t>
      </w:r>
    </w:p>
    <w:p w14:paraId="675A91CB" w14:textId="77777777" w:rsidR="00BD28E1" w:rsidRPr="00B77483" w:rsidRDefault="00BD28E1" w:rsidP="00AB0642">
      <w:pPr>
        <w:pStyle w:val="NormalHanging12a"/>
        <w:ind w:left="1134"/>
      </w:pPr>
      <w:r w:rsidRPr="00B77483">
        <w:t>(be)</w:t>
      </w:r>
      <w:r w:rsidRPr="00B77483">
        <w:tab/>
        <w:t>skupaj obravnavajo nove izzive, ki ogrožajo svetovni razvoj, vključno z razpustitvijo Agencije ZDA za mednarodni razvoj (USAID) in prekinitvijo zagotavljanja zunanje pomoči s strani ZDA;</w:t>
      </w:r>
    </w:p>
    <w:p w14:paraId="1897F9C8" w14:textId="77777777" w:rsidR="00BD28E1" w:rsidRPr="00B77483" w:rsidRDefault="00BD28E1" w:rsidP="00AB0642">
      <w:pPr>
        <w:pStyle w:val="NormalHanging12a"/>
        <w:ind w:left="1134"/>
        <w:rPr>
          <w:b/>
          <w:i/>
          <w:iCs/>
          <w:szCs w:val="24"/>
        </w:rPr>
      </w:pPr>
      <w:r w:rsidRPr="00B77483">
        <w:rPr>
          <w:b/>
          <w:i/>
        </w:rPr>
        <w:t>Izobraževanje, raziskave in medosebne vezi</w:t>
      </w:r>
    </w:p>
    <w:p w14:paraId="195629C0" w14:textId="77777777" w:rsidR="00BD28E1" w:rsidRPr="00B77483" w:rsidRDefault="00BD28E1" w:rsidP="00AB0642">
      <w:pPr>
        <w:pStyle w:val="NormalHanging12a"/>
        <w:ind w:left="1134"/>
        <w:rPr>
          <w:szCs w:val="24"/>
        </w:rPr>
      </w:pPr>
      <w:r w:rsidRPr="00B77483">
        <w:t>(bf)</w:t>
      </w:r>
      <w:r w:rsidRPr="00B77483">
        <w:tab/>
        <w:t>hitro ukrepajo v zvezi z zavezo za poglobitev sodelovanja na področjih, kot so medosebne vezi, kultura, mladi, podpora vključujočim politikam in okvir digitalnega partnerstva med EU in Kanado;</w:t>
      </w:r>
    </w:p>
    <w:p w14:paraId="198C7827" w14:textId="77777777" w:rsidR="00BD28E1" w:rsidRPr="00B77483" w:rsidRDefault="00BD28E1" w:rsidP="00AB0642">
      <w:pPr>
        <w:pStyle w:val="NormalHanging12a"/>
        <w:ind w:left="1134"/>
      </w:pPr>
      <w:r w:rsidRPr="00B77483">
        <w:t>(bg)</w:t>
      </w:r>
      <w:r w:rsidRPr="00B77483">
        <w:tab/>
        <w:t>povečajo družbeno odpornost tako, da se zavzemajo za pridružitev Kanade programu Obzorje Evropa, izboljšajo sodelovanje na področjih izobraževanja, raziskav, kulture in znanstvenega sodelovanja na strateških področjih, poenostavijo in spodbujajo čezatlantsko mobilnost študentov, mladih podjetnikov, raziskovalcev in vlagateljev ter mladih na splošno za delo, študij in prostovoljstvo ter nadalje preučijo priložnosti za medosebne stike in študijske izmenjave na podlagi programa Erasmus+ in ozaveščanjem o instrumentu EU za mobilnost delovne sile modre karte;</w:t>
      </w:r>
    </w:p>
    <w:p w14:paraId="3CEA3BFF" w14:textId="77777777" w:rsidR="00BD28E1" w:rsidRPr="00B77483" w:rsidRDefault="00BD28E1" w:rsidP="00AB0642">
      <w:pPr>
        <w:pStyle w:val="NormalHanging12a"/>
        <w:ind w:left="1134"/>
      </w:pPr>
      <w:r w:rsidRPr="00B77483">
        <w:t>(bh)</w:t>
      </w:r>
      <w:r w:rsidRPr="00B77483">
        <w:tab/>
        <w:t xml:space="preserve">tesno sodelujejo s Kanado pri razširitvi vzajemnega priznavanja reguliranih poklicev na druge sektorje, kot sta inženirstvo in računovodstvo, po sprejetju sporazuma o vzajemnem priznavanju poklicnih kvalifikacij za arhitekte v okviru </w:t>
      </w:r>
      <w:r w:rsidRPr="00B77483">
        <w:lastRenderedPageBreak/>
        <w:t>sporazuma CETA</w:t>
      </w:r>
      <w:r w:rsidRPr="00B77483">
        <w:rPr>
          <w:rStyle w:val="FootnoteReference"/>
          <w:bCs/>
          <w:iCs/>
        </w:rPr>
        <w:footnoteReference w:id="4"/>
      </w:r>
      <w:r w:rsidRPr="00B77483">
        <w:t>;</w:t>
      </w:r>
    </w:p>
    <w:p w14:paraId="010C7896" w14:textId="77777777" w:rsidR="00BD28E1" w:rsidRPr="00B77483" w:rsidRDefault="00BD28E1" w:rsidP="00AB0642">
      <w:pPr>
        <w:pStyle w:val="NormalHanging12a"/>
        <w:ind w:left="1134"/>
        <w:rPr>
          <w:b/>
          <w:i/>
          <w:iCs/>
          <w:szCs w:val="24"/>
        </w:rPr>
      </w:pPr>
      <w:r w:rsidRPr="00B77483">
        <w:rPr>
          <w:b/>
          <w:i/>
        </w:rPr>
        <w:t>Spodbujanje demokratične odpornosti in enakosti</w:t>
      </w:r>
    </w:p>
    <w:p w14:paraId="567AC8E4" w14:textId="77777777" w:rsidR="00BD28E1" w:rsidRPr="00B77483" w:rsidRDefault="00BD28E1" w:rsidP="00AB0642">
      <w:pPr>
        <w:pStyle w:val="NormalHanging12a"/>
        <w:ind w:left="1134"/>
        <w:rPr>
          <w:bCs/>
          <w:szCs w:val="24"/>
        </w:rPr>
      </w:pPr>
      <w:r w:rsidRPr="00B77483">
        <w:t>(bi)</w:t>
      </w:r>
      <w:r w:rsidRPr="00B77483">
        <w:tab/>
        <w:t>sodelujejo s Kanado pri spodbujanju demokratične odpornosti na svetovni ravni, in sicer s spodbujanjem celostnega varnostnega pristopa ter podpiranjem svobodnih medijev, volilne integritete, socialne kohezije in civilne družbe v ranljivih demokracijah;</w:t>
      </w:r>
    </w:p>
    <w:p w14:paraId="3F79A7B9" w14:textId="77777777" w:rsidR="00BD28E1" w:rsidRPr="00B77483" w:rsidRDefault="00BD28E1" w:rsidP="00AB0642">
      <w:pPr>
        <w:pStyle w:val="NormalHanging12a"/>
        <w:ind w:left="1134"/>
        <w:rPr>
          <w:bCs/>
          <w:szCs w:val="24"/>
        </w:rPr>
      </w:pPr>
      <w:r w:rsidRPr="00B77483">
        <w:t>(bj)</w:t>
      </w:r>
      <w:r w:rsidRPr="00B77483">
        <w:tab/>
        <w:t>razširijo sodelovanje na področju urejanja družbenih medijev in velikih tehnoloških podjetjih, hkrati pa okrepijo akta EU o digitalnih storitvah</w:t>
      </w:r>
      <w:r w:rsidRPr="00B77483">
        <w:rPr>
          <w:rStyle w:val="FootnoteReference"/>
          <w:bCs/>
          <w:szCs w:val="24"/>
        </w:rPr>
        <w:footnoteReference w:id="5"/>
      </w:r>
      <w:r w:rsidRPr="00B77483">
        <w:t xml:space="preserve"> in o digitalnih trgih</w:t>
      </w:r>
      <w:r w:rsidRPr="00B77483">
        <w:rPr>
          <w:rStyle w:val="FootnoteReference"/>
          <w:bCs/>
          <w:szCs w:val="24"/>
        </w:rPr>
        <w:footnoteReference w:id="6"/>
      </w:r>
      <w:r w:rsidRPr="00B77483">
        <w:t>;</w:t>
      </w:r>
    </w:p>
    <w:p w14:paraId="392441CB" w14:textId="77777777" w:rsidR="00BD28E1" w:rsidRPr="00B77483" w:rsidRDefault="00BD28E1" w:rsidP="00AB0642">
      <w:pPr>
        <w:pStyle w:val="NormalHanging12a"/>
        <w:ind w:left="1134"/>
        <w:rPr>
          <w:bCs/>
          <w:szCs w:val="24"/>
        </w:rPr>
      </w:pPr>
      <w:r w:rsidRPr="00B77483">
        <w:t>(bk)</w:t>
      </w:r>
      <w:r w:rsidRPr="00B77483">
        <w:tab/>
        <w:t>tesno sodelujejo s Kanado pri razvoju odgovornega upravljanja umetne inteligence v skladu z Okvirno konvencijo o umetni inteligenci, človekovih pravicah, demokraciji in pravni državi, katere podpisnici sta tako EU kot Kanada;</w:t>
      </w:r>
    </w:p>
    <w:p w14:paraId="3EFCDD91" w14:textId="77777777" w:rsidR="00BD28E1" w:rsidRPr="00B77483" w:rsidRDefault="00BD28E1" w:rsidP="00AB0642">
      <w:pPr>
        <w:pStyle w:val="NormalHanging12a"/>
        <w:ind w:left="1134"/>
        <w:rPr>
          <w:bCs/>
          <w:szCs w:val="24"/>
        </w:rPr>
      </w:pPr>
      <w:r w:rsidRPr="00B77483">
        <w:t>(bl)</w:t>
      </w:r>
      <w:r w:rsidRPr="00B77483">
        <w:tab/>
        <w:t>spodbujajo sodelovanje in izmenjavo dobre prakse za skupno spodbujanje enakosti in vključevanja marginaliziranih skupin v EU, Kanadi in po svetu na podlagi pobud, kot sta pobuda EU glede Unije enakosti in kanadska strategija na področju pravosodja za domorodna ljudstva;</w:t>
      </w:r>
    </w:p>
    <w:p w14:paraId="05CCCED5" w14:textId="77777777" w:rsidR="00BD28E1" w:rsidRPr="00B77483" w:rsidRDefault="00BD28E1" w:rsidP="00AB0642">
      <w:pPr>
        <w:pStyle w:val="NormalHanging12a"/>
        <w:ind w:left="1134"/>
        <w:rPr>
          <w:b/>
          <w:i/>
          <w:iCs/>
          <w:szCs w:val="24"/>
        </w:rPr>
      </w:pPr>
      <w:r w:rsidRPr="00B77483">
        <w:rPr>
          <w:b/>
          <w:i/>
        </w:rPr>
        <w:t>Sklepne ugotovitve</w:t>
      </w:r>
    </w:p>
    <w:p w14:paraId="1D277BFA" w14:textId="77777777" w:rsidR="00BD28E1" w:rsidRPr="00B77483" w:rsidRDefault="00BD28E1" w:rsidP="00AB0642">
      <w:pPr>
        <w:pStyle w:val="NormalHanging12a"/>
        <w:ind w:left="1134"/>
      </w:pPr>
      <w:r w:rsidRPr="00B77483">
        <w:t>(bm)</w:t>
      </w:r>
      <w:r w:rsidRPr="00B77483">
        <w:tab/>
        <w:t>še naprej vzpostavljajo pristno strateško partnerstvo s Kanado, ki bo temeljilo na zaupanju, skupnih načelih in vrednotah, zakoreninjenih v mednarodnem pravu in demokraciji;</w:t>
      </w:r>
    </w:p>
    <w:p w14:paraId="0ECBDAF3" w14:textId="77777777" w:rsidR="00BD28E1" w:rsidRPr="00B77483" w:rsidRDefault="00BD28E1" w:rsidP="00AB0642">
      <w:pPr>
        <w:pStyle w:val="NormalHanging12a"/>
        <w:ind w:left="1134"/>
        <w:rPr>
          <w:szCs w:val="24"/>
        </w:rPr>
      </w:pPr>
      <w:r w:rsidRPr="00B77483">
        <w:t>(bn)</w:t>
      </w:r>
      <w:r w:rsidRPr="00B77483">
        <w:tab/>
        <w:t>spodbujajo udeležbo v pobudah za sodelovanje ne le s kanadsko centralno vlado, pač pa tudi s provincialnimi in občinskimi ter drugimi ustreznimi organi;</w:t>
      </w:r>
    </w:p>
    <w:p w14:paraId="3D9B4770" w14:textId="77777777" w:rsidR="00BD28E1" w:rsidRPr="00B77483" w:rsidRDefault="00BD28E1" w:rsidP="00BD28E1">
      <w:pPr>
        <w:pStyle w:val="NormalHanging12a"/>
        <w:jc w:val="center"/>
      </w:pPr>
      <w:r w:rsidRPr="00B77483">
        <w:t>°</w:t>
      </w:r>
    </w:p>
    <w:p w14:paraId="09105F25" w14:textId="77777777" w:rsidR="00BD28E1" w:rsidRPr="00B77483" w:rsidRDefault="00BD28E1" w:rsidP="00BD28E1">
      <w:pPr>
        <w:pStyle w:val="NormalHanging12a"/>
        <w:jc w:val="center"/>
      </w:pPr>
      <w:r w:rsidRPr="00B77483">
        <w:t>°</w:t>
      </w:r>
      <w:r w:rsidRPr="00B77483">
        <w:tab/>
        <w:t>°</w:t>
      </w:r>
    </w:p>
    <w:p w14:paraId="1EB5F720" w14:textId="4A35D3B5" w:rsidR="00E365E1" w:rsidRPr="00B77483" w:rsidRDefault="00BD28E1" w:rsidP="00C30B57">
      <w:pPr>
        <w:pStyle w:val="NormalHanging12a"/>
      </w:pPr>
      <w:r w:rsidRPr="00B77483">
        <w:t>2.</w:t>
      </w:r>
      <w:r w:rsidRPr="00B77483">
        <w:tab/>
        <w:t>naroči svoji predsednici naj to priporočilo posreduje Svetu, Komisiji in podpredsednici Komisije/visoki predstavnici Unije za zunanje zadeve in varnostno politiko.</w:t>
      </w:r>
    </w:p>
    <w:sectPr w:rsidR="00E365E1" w:rsidRPr="00B77483" w:rsidSect="000A6C8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D3EDD9" w14:textId="77777777" w:rsidR="006C7049" w:rsidRPr="000A6C8B" w:rsidRDefault="006C7049">
      <w:r w:rsidRPr="000A6C8B">
        <w:separator/>
      </w:r>
    </w:p>
  </w:endnote>
  <w:endnote w:type="continuationSeparator" w:id="0">
    <w:p w14:paraId="2F33E9DD" w14:textId="77777777" w:rsidR="006C7049" w:rsidRPr="000A6C8B" w:rsidRDefault="006C7049">
      <w:r w:rsidRPr="000A6C8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5A840" w14:textId="77777777" w:rsidR="00064002" w:rsidRPr="000A6C8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00935" w14:textId="77777777" w:rsidR="00064002" w:rsidRPr="000A6C8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4E94E" w14:textId="77777777" w:rsidR="00064002" w:rsidRPr="000A6C8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6E0FA9" w14:textId="77777777" w:rsidR="006C7049" w:rsidRPr="000A6C8B" w:rsidRDefault="006C7049">
      <w:r w:rsidRPr="000A6C8B">
        <w:separator/>
      </w:r>
    </w:p>
  </w:footnote>
  <w:footnote w:type="continuationSeparator" w:id="0">
    <w:p w14:paraId="4E2C49E9" w14:textId="77777777" w:rsidR="006C7049" w:rsidRPr="000A6C8B" w:rsidRDefault="006C7049">
      <w:r w:rsidRPr="000A6C8B">
        <w:continuationSeparator/>
      </w:r>
    </w:p>
  </w:footnote>
  <w:footnote w:id="1">
    <w:p w14:paraId="7A19B04D" w14:textId="6620340E" w:rsidR="00BD28E1" w:rsidRPr="009446A1" w:rsidRDefault="00BD28E1" w:rsidP="000A6C8B">
      <w:pPr>
        <w:pStyle w:val="FootnoteText"/>
        <w:ind w:left="567" w:hanging="567"/>
        <w:rPr>
          <w:sz w:val="24"/>
          <w:szCs w:val="24"/>
          <w:lang w:val="sl-SI"/>
        </w:rPr>
      </w:pPr>
      <w:r w:rsidRPr="009446A1">
        <w:rPr>
          <w:rStyle w:val="FootnoteReference"/>
          <w:sz w:val="24"/>
          <w:szCs w:val="24"/>
          <w:lang w:val="sl-SI"/>
        </w:rPr>
        <w:footnoteRef/>
      </w:r>
      <w:r w:rsidR="000A6C8B" w:rsidRPr="009446A1">
        <w:rPr>
          <w:sz w:val="24"/>
          <w:szCs w:val="24"/>
          <w:lang w:val="sl-SI"/>
        </w:rPr>
        <w:t xml:space="preserve"> </w:t>
      </w:r>
      <w:r w:rsidR="000A6C8B" w:rsidRPr="009446A1">
        <w:rPr>
          <w:sz w:val="24"/>
          <w:szCs w:val="24"/>
          <w:lang w:val="sl-SI"/>
        </w:rPr>
        <w:tab/>
      </w:r>
      <w:r w:rsidRPr="009446A1">
        <w:rPr>
          <w:sz w:val="24"/>
          <w:szCs w:val="24"/>
          <w:lang w:val="sl-SI"/>
        </w:rPr>
        <w:t xml:space="preserve">UL L 329, 3.12.2016, str. 45, ELI: </w:t>
      </w:r>
      <w:hyperlink r:id="rId1" w:history="1">
        <w:r w:rsidRPr="009446A1">
          <w:rPr>
            <w:rStyle w:val="Hyperlink"/>
            <w:sz w:val="24"/>
            <w:szCs w:val="24"/>
            <w:lang w:val="sl-SI"/>
          </w:rPr>
          <w:t>http://data.europa.eu/eli/agree_internation/2016/2118/oj</w:t>
        </w:r>
      </w:hyperlink>
      <w:r w:rsidRPr="009446A1">
        <w:rPr>
          <w:sz w:val="24"/>
          <w:szCs w:val="24"/>
          <w:lang w:val="sl-SI"/>
        </w:rPr>
        <w:t>.</w:t>
      </w:r>
    </w:p>
  </w:footnote>
  <w:footnote w:id="2">
    <w:p w14:paraId="468D8411" w14:textId="6D9B0133" w:rsidR="00BD28E1" w:rsidRPr="009446A1" w:rsidRDefault="00BD28E1" w:rsidP="000A6C8B">
      <w:pPr>
        <w:pStyle w:val="FootnoteText"/>
        <w:ind w:left="567" w:hanging="567"/>
        <w:rPr>
          <w:sz w:val="24"/>
          <w:szCs w:val="24"/>
          <w:lang w:val="sl-SI"/>
        </w:rPr>
      </w:pPr>
      <w:r w:rsidRPr="009446A1">
        <w:rPr>
          <w:rStyle w:val="FootnoteReference"/>
          <w:sz w:val="24"/>
          <w:szCs w:val="24"/>
          <w:lang w:val="sl-SI"/>
        </w:rPr>
        <w:footnoteRef/>
      </w:r>
      <w:r w:rsidR="000A6C8B" w:rsidRPr="009446A1">
        <w:rPr>
          <w:sz w:val="24"/>
          <w:szCs w:val="24"/>
          <w:lang w:val="sl-SI"/>
        </w:rPr>
        <w:t xml:space="preserve"> </w:t>
      </w:r>
      <w:r w:rsidR="000A6C8B" w:rsidRPr="009446A1">
        <w:rPr>
          <w:sz w:val="24"/>
          <w:szCs w:val="24"/>
          <w:lang w:val="sl-SI"/>
        </w:rPr>
        <w:tab/>
      </w:r>
      <w:r w:rsidRPr="009446A1">
        <w:rPr>
          <w:sz w:val="24"/>
          <w:szCs w:val="24"/>
          <w:lang w:val="sl-SI"/>
        </w:rPr>
        <w:t xml:space="preserve">UL L 11, 14.1.2017, str. 23, ELI: </w:t>
      </w:r>
      <w:hyperlink r:id="rId2" w:history="1">
        <w:r w:rsidRPr="009446A1">
          <w:rPr>
            <w:rStyle w:val="Hyperlink"/>
            <w:sz w:val="24"/>
            <w:szCs w:val="24"/>
            <w:lang w:val="sl-SI"/>
          </w:rPr>
          <w:t>http://data.europa.eu/eli/agree_internation/2017/37/oj</w:t>
        </w:r>
      </w:hyperlink>
      <w:r w:rsidRPr="009446A1">
        <w:rPr>
          <w:sz w:val="24"/>
          <w:szCs w:val="24"/>
          <w:lang w:val="sl-SI"/>
        </w:rPr>
        <w:t>.</w:t>
      </w:r>
    </w:p>
  </w:footnote>
  <w:footnote w:id="3">
    <w:p w14:paraId="3E105106" w14:textId="3F5FF575" w:rsidR="00BD28E1" w:rsidRPr="009446A1" w:rsidRDefault="00BD28E1" w:rsidP="000A6C8B">
      <w:pPr>
        <w:pStyle w:val="FootnoteText"/>
        <w:ind w:left="567" w:hanging="567"/>
        <w:rPr>
          <w:sz w:val="24"/>
          <w:szCs w:val="24"/>
          <w:lang w:val="sl-SI"/>
        </w:rPr>
      </w:pPr>
      <w:r w:rsidRPr="009446A1">
        <w:rPr>
          <w:rStyle w:val="FootnoteReference"/>
          <w:sz w:val="24"/>
          <w:szCs w:val="24"/>
          <w:lang w:val="sl-SI"/>
        </w:rPr>
        <w:footnoteRef/>
      </w:r>
      <w:r w:rsidR="000A6C8B" w:rsidRPr="009446A1">
        <w:rPr>
          <w:sz w:val="24"/>
          <w:szCs w:val="24"/>
          <w:lang w:val="sl-SI"/>
        </w:rPr>
        <w:t xml:space="preserve"> </w:t>
      </w:r>
      <w:r w:rsidR="000A6C8B" w:rsidRPr="009446A1">
        <w:rPr>
          <w:sz w:val="24"/>
          <w:szCs w:val="24"/>
          <w:lang w:val="sl-SI"/>
        </w:rPr>
        <w:tab/>
      </w:r>
      <w:r w:rsidRPr="009446A1">
        <w:rPr>
          <w:sz w:val="24"/>
          <w:szCs w:val="24"/>
          <w:lang w:val="sl-SI"/>
        </w:rPr>
        <w:t xml:space="preserve">Evropska komisija: Generalni direktorat za trgovino in gospodarsko varnost idr., </w:t>
      </w:r>
      <w:r w:rsidRPr="009446A1">
        <w:rPr>
          <w:i/>
          <w:iCs/>
          <w:sz w:val="24"/>
          <w:szCs w:val="24"/>
          <w:lang w:val="sl-SI"/>
        </w:rPr>
        <w:t>Study in support of an ex-post evaluation of the Comprehensive Economic and Trade Agreement (CETA) between the EU and its Member States and Canada</w:t>
      </w:r>
      <w:r w:rsidRPr="009446A1">
        <w:rPr>
          <w:sz w:val="24"/>
          <w:szCs w:val="24"/>
          <w:lang w:val="sl-SI"/>
        </w:rPr>
        <w:t xml:space="preserve"> (Študija v podporo naknadni oceni celovitega gospodarskega in trgovinskega sporazuma (CETA) med EU in njenimi državami članicami ter Kanado) – končno poročilo – priloge, Urad za publikacije Evropske unije, 2025, </w:t>
      </w:r>
      <w:hyperlink r:id="rId3" w:history="1">
        <w:r w:rsidRPr="009446A1">
          <w:rPr>
            <w:rStyle w:val="Hyperlink"/>
            <w:sz w:val="24"/>
            <w:szCs w:val="24"/>
            <w:lang w:val="sl-SI"/>
          </w:rPr>
          <w:t>https://data.europa.eu/doi/10.2781/9705637</w:t>
        </w:r>
      </w:hyperlink>
      <w:r w:rsidRPr="009446A1">
        <w:rPr>
          <w:rStyle w:val="Hyperlink"/>
          <w:sz w:val="24"/>
          <w:szCs w:val="24"/>
          <w:lang w:val="sl-SI"/>
        </w:rPr>
        <w:t>.</w:t>
      </w:r>
    </w:p>
  </w:footnote>
  <w:footnote w:id="4">
    <w:p w14:paraId="13012CA6" w14:textId="6802F66F" w:rsidR="00BD28E1" w:rsidRPr="00B77483" w:rsidRDefault="00BD28E1" w:rsidP="000A6C8B">
      <w:pPr>
        <w:pStyle w:val="FootnoteText"/>
        <w:ind w:left="567" w:hanging="567"/>
        <w:rPr>
          <w:color w:val="000000" w:themeColor="text1"/>
          <w:sz w:val="24"/>
          <w:szCs w:val="24"/>
          <w:lang w:val="sl-SI"/>
        </w:rPr>
      </w:pPr>
      <w:r w:rsidRPr="009446A1">
        <w:rPr>
          <w:rStyle w:val="FootnoteReference"/>
          <w:sz w:val="24"/>
          <w:szCs w:val="24"/>
          <w:lang w:val="sl-SI"/>
        </w:rPr>
        <w:footnoteRef/>
      </w:r>
      <w:r w:rsidR="000A6C8B" w:rsidRPr="009446A1">
        <w:rPr>
          <w:sz w:val="24"/>
          <w:szCs w:val="24"/>
          <w:lang w:val="sl-SI"/>
        </w:rPr>
        <w:t xml:space="preserve"> </w:t>
      </w:r>
      <w:r w:rsidR="000A6C8B" w:rsidRPr="009446A1">
        <w:rPr>
          <w:sz w:val="24"/>
          <w:szCs w:val="24"/>
          <w:lang w:val="sl-SI"/>
        </w:rPr>
        <w:tab/>
      </w:r>
      <w:r w:rsidRPr="009446A1">
        <w:rPr>
          <w:sz w:val="24"/>
          <w:szCs w:val="24"/>
          <w:lang w:val="sl-SI"/>
        </w:rPr>
        <w:t>Sklep št. 1/2024 Skupnega odbora za vzajemno priznavanje poklicnih kvalifikacij z dne 10. oktobra 2024 o sporazumu o vzajemnem priznavanju poklicnih kvalifikacij za arhitekte (UL L, 2024/2873, 14.11.2024, ELI:</w:t>
      </w:r>
      <w:r w:rsidRPr="009446A1">
        <w:rPr>
          <w:b/>
          <w:sz w:val="24"/>
          <w:szCs w:val="24"/>
          <w:lang w:val="sl-SI"/>
        </w:rPr>
        <w:t xml:space="preserve"> </w:t>
      </w:r>
      <w:hyperlink r:id="rId4" w:history="1">
        <w:r w:rsidRPr="009446A1">
          <w:rPr>
            <w:rStyle w:val="Hyperlink"/>
            <w:sz w:val="24"/>
            <w:szCs w:val="24"/>
            <w:lang w:val="sl-SI"/>
          </w:rPr>
          <w:t>http://data.europa.eu/eli/dec/2024/2873/oj</w:t>
        </w:r>
      </w:hyperlink>
      <w:r w:rsidRPr="00B77483">
        <w:rPr>
          <w:rStyle w:val="Hyperlink"/>
          <w:color w:val="000000" w:themeColor="text1"/>
          <w:sz w:val="24"/>
          <w:szCs w:val="24"/>
          <w:u w:val="none"/>
          <w:lang w:val="sl-SI"/>
        </w:rPr>
        <w:t>)</w:t>
      </w:r>
      <w:r w:rsidRPr="00B77483">
        <w:rPr>
          <w:color w:val="000000" w:themeColor="text1"/>
          <w:sz w:val="24"/>
          <w:szCs w:val="24"/>
          <w:lang w:val="sl-SI"/>
        </w:rPr>
        <w:t>.</w:t>
      </w:r>
    </w:p>
  </w:footnote>
  <w:footnote w:id="5">
    <w:p w14:paraId="2F1A8B23" w14:textId="013BAA18" w:rsidR="00BD28E1" w:rsidRPr="009446A1" w:rsidRDefault="00BD28E1" w:rsidP="000A6C8B">
      <w:pPr>
        <w:pStyle w:val="FootnoteText"/>
        <w:ind w:left="567" w:hanging="567"/>
        <w:rPr>
          <w:sz w:val="24"/>
          <w:szCs w:val="24"/>
          <w:lang w:val="sl-SI"/>
        </w:rPr>
      </w:pPr>
      <w:r w:rsidRPr="009446A1">
        <w:rPr>
          <w:rStyle w:val="FootnoteReference"/>
          <w:sz w:val="24"/>
          <w:szCs w:val="24"/>
          <w:lang w:val="sl-SI"/>
        </w:rPr>
        <w:footnoteRef/>
      </w:r>
      <w:r w:rsidR="000A6C8B" w:rsidRPr="009446A1">
        <w:rPr>
          <w:sz w:val="24"/>
          <w:szCs w:val="24"/>
          <w:lang w:val="sl-SI"/>
        </w:rPr>
        <w:t xml:space="preserve"> </w:t>
      </w:r>
      <w:r w:rsidR="000A6C8B" w:rsidRPr="009446A1">
        <w:rPr>
          <w:sz w:val="24"/>
          <w:szCs w:val="24"/>
          <w:lang w:val="sl-SI"/>
        </w:rPr>
        <w:tab/>
      </w:r>
      <w:r w:rsidRPr="009446A1">
        <w:rPr>
          <w:sz w:val="24"/>
          <w:szCs w:val="24"/>
          <w:lang w:val="sl-SI"/>
        </w:rPr>
        <w:t xml:space="preserve">Uredba (EU) 2022/2065 Evropskega parlamenta in Sveta z dne 19. oktobra 2022 o enotnem trgu digitalnih storitev in spremembi Direktive 2000/31/ES (Akt o digitalnih storitvah) (UL L 277, 27.10.2022, str. 1, ELI: </w:t>
      </w:r>
      <w:hyperlink r:id="rId5" w:history="1">
        <w:r w:rsidRPr="009446A1">
          <w:rPr>
            <w:rStyle w:val="Hyperlink"/>
            <w:sz w:val="24"/>
            <w:szCs w:val="24"/>
            <w:lang w:val="sl-SI"/>
          </w:rPr>
          <w:t>http://data.europa.eu/eli/reg/2022/2065/oj</w:t>
        </w:r>
      </w:hyperlink>
      <w:r w:rsidRPr="009446A1">
        <w:rPr>
          <w:sz w:val="24"/>
          <w:szCs w:val="24"/>
          <w:lang w:val="sl-SI"/>
        </w:rPr>
        <w:t>).</w:t>
      </w:r>
    </w:p>
  </w:footnote>
  <w:footnote w:id="6">
    <w:p w14:paraId="28588559" w14:textId="0BD69D48" w:rsidR="00BD28E1" w:rsidRPr="009446A1" w:rsidRDefault="00BD28E1" w:rsidP="000A6C8B">
      <w:pPr>
        <w:pStyle w:val="FootnoteText"/>
        <w:ind w:left="567" w:hanging="567"/>
        <w:rPr>
          <w:sz w:val="24"/>
          <w:szCs w:val="24"/>
          <w:lang w:val="sl-SI"/>
        </w:rPr>
      </w:pPr>
      <w:r w:rsidRPr="009446A1">
        <w:rPr>
          <w:rStyle w:val="FootnoteReference"/>
          <w:sz w:val="24"/>
          <w:szCs w:val="24"/>
          <w:lang w:val="sl-SI"/>
        </w:rPr>
        <w:footnoteRef/>
      </w:r>
      <w:r w:rsidR="000A6C8B" w:rsidRPr="009446A1">
        <w:rPr>
          <w:sz w:val="24"/>
          <w:szCs w:val="24"/>
          <w:lang w:val="sl-SI"/>
        </w:rPr>
        <w:t xml:space="preserve"> </w:t>
      </w:r>
      <w:r w:rsidR="000A6C8B" w:rsidRPr="009446A1">
        <w:rPr>
          <w:sz w:val="24"/>
          <w:szCs w:val="24"/>
          <w:lang w:val="sl-SI"/>
        </w:rPr>
        <w:tab/>
      </w:r>
      <w:r w:rsidRPr="009446A1">
        <w:rPr>
          <w:sz w:val="24"/>
          <w:szCs w:val="24"/>
          <w:lang w:val="sl-SI"/>
        </w:rPr>
        <w:t xml:space="preserve">Uredba (EU) 2022/1925 Evropskega parlamenta in Sveta z dne 14. septembra 2022 o tekmovalnih in pravičnih trgih v digitalnem sektorju in spremembi direktiv (EU) 2019/1937 in (EU) 2020/1828 (akt o digitalnih trgih) </w:t>
      </w:r>
      <w:r w:rsidR="009446A1" w:rsidRPr="009446A1">
        <w:rPr>
          <w:sz w:val="24"/>
          <w:szCs w:val="24"/>
          <w:lang w:val="sl-SI"/>
        </w:rPr>
        <w:t>(</w:t>
      </w:r>
      <w:r w:rsidRPr="009446A1">
        <w:rPr>
          <w:sz w:val="24"/>
          <w:szCs w:val="24"/>
          <w:lang w:val="sl-SI"/>
        </w:rPr>
        <w:t xml:space="preserve">UL L 265, 12.10.2022, str. 1, ELI: </w:t>
      </w:r>
      <w:hyperlink r:id="rId6" w:history="1">
        <w:r w:rsidRPr="009446A1">
          <w:rPr>
            <w:rStyle w:val="Hyperlink"/>
            <w:sz w:val="24"/>
            <w:szCs w:val="24"/>
            <w:lang w:val="sl-SI"/>
          </w:rPr>
          <w:t>http://data.europa.eu/eli/reg/2022/1925/oj</w:t>
        </w:r>
      </w:hyperlink>
      <w:r w:rsidRPr="009446A1">
        <w:rPr>
          <w:sz w:val="24"/>
          <w:szCs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16C31" w14:textId="77777777" w:rsidR="00064002" w:rsidRPr="000A6C8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761B0" w14:textId="77777777" w:rsidR="00064002" w:rsidRPr="000A6C8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05355" w14:textId="77777777" w:rsidR="00064002" w:rsidRPr="000A6C8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45481904">
    <w:abstractNumId w:val="9"/>
  </w:num>
  <w:num w:numId="2" w16cid:durableId="1249265041">
    <w:abstractNumId w:val="9"/>
  </w:num>
  <w:num w:numId="3" w16cid:durableId="1051344286">
    <w:abstractNumId w:val="7"/>
  </w:num>
  <w:num w:numId="4" w16cid:durableId="1776057472">
    <w:abstractNumId w:val="7"/>
  </w:num>
  <w:num w:numId="5" w16cid:durableId="317542145">
    <w:abstractNumId w:val="6"/>
  </w:num>
  <w:num w:numId="6" w16cid:durableId="1155688321">
    <w:abstractNumId w:val="6"/>
  </w:num>
  <w:num w:numId="7" w16cid:durableId="1787578363">
    <w:abstractNumId w:val="5"/>
  </w:num>
  <w:num w:numId="8" w16cid:durableId="3483703">
    <w:abstractNumId w:val="5"/>
  </w:num>
  <w:num w:numId="9" w16cid:durableId="1446659564">
    <w:abstractNumId w:val="4"/>
  </w:num>
  <w:num w:numId="10" w16cid:durableId="312804148">
    <w:abstractNumId w:val="4"/>
  </w:num>
  <w:num w:numId="11" w16cid:durableId="381639210">
    <w:abstractNumId w:val="8"/>
  </w:num>
  <w:num w:numId="12" w16cid:durableId="715855473">
    <w:abstractNumId w:val="8"/>
  </w:num>
  <w:num w:numId="13" w16cid:durableId="2083410117">
    <w:abstractNumId w:val="3"/>
  </w:num>
  <w:num w:numId="14" w16cid:durableId="1097091311">
    <w:abstractNumId w:val="3"/>
  </w:num>
  <w:num w:numId="15" w16cid:durableId="232202279">
    <w:abstractNumId w:val="2"/>
  </w:num>
  <w:num w:numId="16" w16cid:durableId="1867520760">
    <w:abstractNumId w:val="2"/>
  </w:num>
  <w:num w:numId="17" w16cid:durableId="1474298960">
    <w:abstractNumId w:val="1"/>
  </w:num>
  <w:num w:numId="18" w16cid:durableId="929046365">
    <w:abstractNumId w:val="1"/>
  </w:num>
  <w:num w:numId="19" w16cid:durableId="1729065852">
    <w:abstractNumId w:val="0"/>
  </w:num>
  <w:num w:numId="20" w16cid:durableId="614557663">
    <w:abstractNumId w:val="0"/>
  </w:num>
  <w:num w:numId="21" w16cid:durableId="249046203">
    <w:abstractNumId w:val="9"/>
  </w:num>
  <w:num w:numId="22" w16cid:durableId="248344518">
    <w:abstractNumId w:val="7"/>
  </w:num>
  <w:num w:numId="23" w16cid:durableId="1251960998">
    <w:abstractNumId w:val="6"/>
  </w:num>
  <w:num w:numId="24" w16cid:durableId="764426629">
    <w:abstractNumId w:val="5"/>
  </w:num>
  <w:num w:numId="25" w16cid:durableId="1420178105">
    <w:abstractNumId w:val="4"/>
  </w:num>
  <w:num w:numId="26" w16cid:durableId="337855807">
    <w:abstractNumId w:val="8"/>
  </w:num>
  <w:num w:numId="27" w16cid:durableId="482283089">
    <w:abstractNumId w:val="3"/>
  </w:num>
  <w:num w:numId="28" w16cid:durableId="287979718">
    <w:abstractNumId w:val="2"/>
  </w:num>
  <w:num w:numId="29" w16cid:durableId="763378431">
    <w:abstractNumId w:val="1"/>
  </w:num>
  <w:num w:numId="30" w16cid:durableId="1522545913">
    <w:abstractNumId w:val="0"/>
  </w:num>
  <w:num w:numId="31" w16cid:durableId="261954629">
    <w:abstractNumId w:val="9"/>
  </w:num>
  <w:num w:numId="32" w16cid:durableId="1076434911">
    <w:abstractNumId w:val="7"/>
  </w:num>
  <w:num w:numId="33" w16cid:durableId="1478303900">
    <w:abstractNumId w:val="6"/>
  </w:num>
  <w:num w:numId="34" w16cid:durableId="835266670">
    <w:abstractNumId w:val="5"/>
  </w:num>
  <w:num w:numId="35" w16cid:durableId="1636375945">
    <w:abstractNumId w:val="4"/>
  </w:num>
  <w:num w:numId="36" w16cid:durableId="129981245">
    <w:abstractNumId w:val="8"/>
  </w:num>
  <w:num w:numId="37" w16cid:durableId="1422947896">
    <w:abstractNumId w:val="3"/>
  </w:num>
  <w:num w:numId="38" w16cid:durableId="399602286">
    <w:abstractNumId w:val="2"/>
  </w:num>
  <w:num w:numId="39" w16cid:durableId="412052682">
    <w:abstractNumId w:val="1"/>
  </w:num>
  <w:num w:numId="40" w16cid:durableId="275404958">
    <w:abstractNumId w:val="0"/>
  </w:num>
  <w:num w:numId="41" w16cid:durableId="2021470492">
    <w:abstractNumId w:val="10"/>
  </w:num>
  <w:num w:numId="42" w16cid:durableId="1628659659">
    <w:abstractNumId w:val="10"/>
  </w:num>
  <w:num w:numId="43" w16cid:durableId="612710075">
    <w:abstractNumId w:val="10"/>
  </w:num>
  <w:num w:numId="44" w16cid:durableId="112211769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5/2026"/>
    <w:docVar w:name="dvlangue" w:val="SL"/>
    <w:docVar w:name="dvnumam" w:val="31"/>
    <w:docVar w:name="dvpe" w:val="778.092"/>
    <w:docVar w:name="dvrapporteur" w:val="Poročevalec: "/>
    <w:docVar w:name="dvtitre" w:val="Priporočilo Evropskega parlamenta Svetu , Komisiji in podpredsednici Komisije/visoki predstavnici Unije za zunanje zadeve in varnostno politiko o okrepljenem sodelovanju med EU in Kanado glede na aktualne geopolitične razmere, vključno z grožnjami kanadski ekonomski stabilnosti in suverenosti(2025/2168(INI))"/>
  </w:docVars>
  <w:rsids>
    <w:rsidRoot w:val="006C7049"/>
    <w:rsid w:val="00002272"/>
    <w:rsid w:val="00064002"/>
    <w:rsid w:val="000677B9"/>
    <w:rsid w:val="000831BA"/>
    <w:rsid w:val="000A42CC"/>
    <w:rsid w:val="000A6C8B"/>
    <w:rsid w:val="000E6084"/>
    <w:rsid w:val="000E7DD9"/>
    <w:rsid w:val="0010095E"/>
    <w:rsid w:val="00125B37"/>
    <w:rsid w:val="001746A2"/>
    <w:rsid w:val="00187494"/>
    <w:rsid w:val="001F32AE"/>
    <w:rsid w:val="0023399C"/>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1B17"/>
    <w:rsid w:val="00545827"/>
    <w:rsid w:val="00560270"/>
    <w:rsid w:val="005C2568"/>
    <w:rsid w:val="005F1B17"/>
    <w:rsid w:val="006037C0"/>
    <w:rsid w:val="006631B6"/>
    <w:rsid w:val="00680577"/>
    <w:rsid w:val="006C7049"/>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46A1"/>
    <w:rsid w:val="009509D8"/>
    <w:rsid w:val="00950B64"/>
    <w:rsid w:val="00981893"/>
    <w:rsid w:val="00A1687D"/>
    <w:rsid w:val="00A43E52"/>
    <w:rsid w:val="00A4678D"/>
    <w:rsid w:val="00A47133"/>
    <w:rsid w:val="00A627E0"/>
    <w:rsid w:val="00A778C7"/>
    <w:rsid w:val="00AB0642"/>
    <w:rsid w:val="00AB441E"/>
    <w:rsid w:val="00AB6293"/>
    <w:rsid w:val="00AE0928"/>
    <w:rsid w:val="00AF3B82"/>
    <w:rsid w:val="00B12E95"/>
    <w:rsid w:val="00B22876"/>
    <w:rsid w:val="00B558F0"/>
    <w:rsid w:val="00B77483"/>
    <w:rsid w:val="00BD28E1"/>
    <w:rsid w:val="00BD48FE"/>
    <w:rsid w:val="00BD7BD8"/>
    <w:rsid w:val="00BE6ADC"/>
    <w:rsid w:val="00C05BFE"/>
    <w:rsid w:val="00C23CD4"/>
    <w:rsid w:val="00C30B57"/>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7667"/>
    <w:rsid w:val="00F5134D"/>
    <w:rsid w:val="00F74202"/>
    <w:rsid w:val="00F87713"/>
    <w:rsid w:val="00FB4360"/>
    <w:rsid w:val="00FD0C70"/>
    <w:rsid w:val="00FE46A2"/>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C63A76"/>
  <w15:chartTrackingRefBased/>
  <w15:docId w15:val="{8545A254-13B1-49AE-9113-F24718106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D28E1"/>
    <w:pPr>
      <w:spacing w:before="480" w:after="240"/>
    </w:pPr>
  </w:style>
  <w:style w:type="paragraph" w:customStyle="1" w:styleId="NormalHanging12a">
    <w:name w:val="NormalHanging12a"/>
    <w:basedOn w:val="Normal"/>
    <w:link w:val="NormalHanging12aChar"/>
    <w:qFormat/>
    <w:rsid w:val="00BD28E1"/>
    <w:pPr>
      <w:spacing w:after="240"/>
      <w:ind w:left="567" w:hanging="567"/>
    </w:pPr>
  </w:style>
  <w:style w:type="character" w:styleId="Hyperlink">
    <w:name w:val="Hyperlink"/>
    <w:basedOn w:val="DefaultParagraphFont"/>
    <w:rsid w:val="00BD28E1"/>
    <w:rPr>
      <w:color w:val="0563C1" w:themeColor="hyperlink"/>
      <w:u w:val="single"/>
    </w:rPr>
  </w:style>
  <w:style w:type="character" w:customStyle="1" w:styleId="NormalHanging12aChar">
    <w:name w:val="NormalHanging12a Char"/>
    <w:basedOn w:val="DefaultParagraphFont"/>
    <w:link w:val="NormalHanging12a"/>
    <w:locked/>
    <w:rsid w:val="00BD28E1"/>
    <w:rPr>
      <w:sz w:val="24"/>
      <w:lang w:val="sl-SI"/>
    </w:rPr>
  </w:style>
  <w:style w:type="character" w:styleId="FollowedHyperlink">
    <w:name w:val="FollowedHyperlink"/>
    <w:basedOn w:val="DefaultParagraphFont"/>
    <w:rsid w:val="00B7748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data.europa.eu/doi/10.2781/9705637" TargetMode="External"/><Relationship Id="rId2" Type="http://schemas.openxmlformats.org/officeDocument/2006/relationships/hyperlink" Target="http://data.europa.eu/eli/agree_internation/2017/37/oj" TargetMode="External"/><Relationship Id="rId1" Type="http://schemas.openxmlformats.org/officeDocument/2006/relationships/hyperlink" Target="http://data.europa.eu/eli/agree_internation/2016/2118/oj" TargetMode="External"/><Relationship Id="rId6" Type="http://schemas.openxmlformats.org/officeDocument/2006/relationships/hyperlink" Target="http://data.europa.eu/eli/reg/2022/1925/oj" TargetMode="External"/><Relationship Id="rId5" Type="http://schemas.openxmlformats.org/officeDocument/2006/relationships/hyperlink" Target="http://data.europa.eu/eli/reg/2022/2065/oj" TargetMode="External"/><Relationship Id="rId4" Type="http://schemas.openxmlformats.org/officeDocument/2006/relationships/hyperlink" Target="http://data.europa.eu/eli/dec/2024/287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4487</Words>
  <Characters>28444</Characters>
  <Application>Microsoft Office Word</Application>
  <DocSecurity>0</DocSecurity>
  <Lines>237</Lines>
  <Paragraphs>65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GROSELJ Tadej</cp:lastModifiedBy>
  <cp:revision>2</cp:revision>
  <cp:lastPrinted>2004-11-19T15:42:00Z</cp:lastPrinted>
  <dcterms:created xsi:type="dcterms:W3CDTF">2026-04-23T10:34:00Z</dcterms:created>
  <dcterms:modified xsi:type="dcterms:W3CDTF">2026-04-23T10:34:00Z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A10-0035/2026</vt:lpwstr>
  </property>
  <property fmtid="{D5CDD505-2E9C-101B-9397-08002B2CF9AE}" pid="4" name="&lt;Type&gt;">
    <vt:lpwstr>RR</vt:lpwstr>
  </property>
</Properties>
</file>