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2EE7" w14:paraId="79DBFE7F" w14:textId="77777777" w:rsidTr="0010095E">
        <w:trPr>
          <w:trHeight w:hRule="exact" w:val="1418"/>
        </w:trPr>
        <w:tc>
          <w:tcPr>
            <w:tcW w:w="6804" w:type="dxa"/>
            <w:shd w:val="clear" w:color="auto" w:fill="auto"/>
            <w:vAlign w:val="center"/>
          </w:tcPr>
          <w:p w14:paraId="17D9148F" w14:textId="77777777" w:rsidR="00751A4A" w:rsidRPr="00962EE7" w:rsidRDefault="000F4369" w:rsidP="0010095E">
            <w:pPr>
              <w:pStyle w:val="EPName"/>
            </w:pPr>
            <w:r w:rsidRPr="00962EE7">
              <w:t>Europaparlamentet</w:t>
            </w:r>
          </w:p>
          <w:p w14:paraId="7DF679F4" w14:textId="77777777" w:rsidR="00751A4A" w:rsidRPr="00962EE7" w:rsidRDefault="005F1B17" w:rsidP="005F1B17">
            <w:pPr>
              <w:pStyle w:val="EPTerm"/>
              <w:rPr>
                <w:rStyle w:val="HideTWBExt"/>
                <w:noProof w:val="0"/>
                <w:vanish w:val="0"/>
                <w:color w:val="auto"/>
              </w:rPr>
            </w:pPr>
            <w:r w:rsidRPr="00962EE7">
              <w:t>2024</w:t>
            </w:r>
            <w:r w:rsidR="00817416" w:rsidRPr="00962EE7">
              <w:t>-202</w:t>
            </w:r>
            <w:r w:rsidRPr="00962EE7">
              <w:t>9</w:t>
            </w:r>
          </w:p>
        </w:tc>
        <w:tc>
          <w:tcPr>
            <w:tcW w:w="2268" w:type="dxa"/>
            <w:shd w:val="clear" w:color="auto" w:fill="auto"/>
          </w:tcPr>
          <w:p w14:paraId="73B174D5" w14:textId="77777777" w:rsidR="00751A4A" w:rsidRPr="00962EE7" w:rsidRDefault="00187494" w:rsidP="0010095E">
            <w:pPr>
              <w:pStyle w:val="EPLogo"/>
            </w:pPr>
            <w:r w:rsidRPr="00962EE7">
              <w:rPr>
                <w:noProof/>
                <w:lang w:eastAsia="ja-JP"/>
              </w:rPr>
              <w:drawing>
                <wp:inline distT="0" distB="0" distL="0" distR="0" wp14:anchorId="6C49EAC5" wp14:editId="6AC081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BF365E" w14:textId="77777777" w:rsidR="00D058B8" w:rsidRPr="00962EE7" w:rsidRDefault="00D058B8" w:rsidP="004C5D52">
      <w:pPr>
        <w:pStyle w:val="LineTop"/>
      </w:pPr>
    </w:p>
    <w:p w14:paraId="4D955ABC" w14:textId="77777777" w:rsidR="00680577" w:rsidRPr="00962EE7" w:rsidRDefault="000F4369" w:rsidP="00680577">
      <w:pPr>
        <w:pStyle w:val="EPBodyTA1"/>
      </w:pPr>
      <w:r w:rsidRPr="00962EE7">
        <w:t>ANTAGNA TEXTER</w:t>
      </w:r>
    </w:p>
    <w:p w14:paraId="75C6CD0A" w14:textId="77777777" w:rsidR="00D058B8" w:rsidRPr="00962EE7" w:rsidRDefault="00D058B8" w:rsidP="00D058B8">
      <w:pPr>
        <w:pStyle w:val="LineBottom"/>
      </w:pPr>
    </w:p>
    <w:p w14:paraId="66B4E44E" w14:textId="2AD8B7B6" w:rsidR="000F4369" w:rsidRPr="00962EE7" w:rsidRDefault="000F4369" w:rsidP="000F4369">
      <w:pPr>
        <w:pStyle w:val="ATHeading1"/>
      </w:pPr>
      <w:bookmarkStart w:id="0" w:name="TANumber"/>
      <w:r w:rsidRPr="00962EE7">
        <w:t>P10_TA(2026)00</w:t>
      </w:r>
      <w:bookmarkEnd w:id="0"/>
      <w:r w:rsidR="0085739F">
        <w:t>78</w:t>
      </w:r>
    </w:p>
    <w:p w14:paraId="44A75EED" w14:textId="77777777" w:rsidR="000F4369" w:rsidRPr="00962EE7" w:rsidRDefault="000F4369" w:rsidP="000F4369">
      <w:pPr>
        <w:pStyle w:val="ATHeading2"/>
      </w:pPr>
      <w:bookmarkStart w:id="1" w:name="title"/>
      <w:r w:rsidRPr="00962EE7">
        <w:t>Rekommendation om ett förstärkt samarbete mellan EU och Kanada mot bakgrund av den aktuella geopolitiska situationen, inbegripet hoten mot Kanadas ekonomiska stabilitet och suveränitet</w:t>
      </w:r>
      <w:bookmarkEnd w:id="1"/>
    </w:p>
    <w:p w14:paraId="63F174B9" w14:textId="77777777" w:rsidR="000F4369" w:rsidRPr="00962EE7" w:rsidRDefault="000F4369" w:rsidP="000F4369">
      <w:pPr>
        <w:rPr>
          <w:i/>
          <w:vanish/>
        </w:rPr>
      </w:pPr>
      <w:r w:rsidRPr="00962EE7">
        <w:rPr>
          <w:i/>
        </w:rPr>
        <w:fldChar w:fldCharType="begin"/>
      </w:r>
      <w:r w:rsidRPr="00962EE7">
        <w:rPr>
          <w:i/>
        </w:rPr>
        <w:instrText xml:space="preserve"> TC"(</w:instrText>
      </w:r>
      <w:bookmarkStart w:id="2" w:name="DocNumber"/>
      <w:r w:rsidRPr="00962EE7">
        <w:rPr>
          <w:i/>
        </w:rPr>
        <w:instrText>A10-0035/2026</w:instrText>
      </w:r>
      <w:bookmarkEnd w:id="2"/>
      <w:r w:rsidRPr="00962EE7">
        <w:rPr>
          <w:i/>
        </w:rPr>
        <w:instrText xml:space="preserve"> - Föredragande: Tobias Cremer)"\l3 \n&gt; \* MERGEFORMAT </w:instrText>
      </w:r>
      <w:r w:rsidRPr="00962EE7">
        <w:rPr>
          <w:i/>
        </w:rPr>
        <w:fldChar w:fldCharType="end"/>
      </w:r>
    </w:p>
    <w:p w14:paraId="4117DA1D" w14:textId="77777777" w:rsidR="000F4369" w:rsidRPr="00962EE7" w:rsidRDefault="000F4369" w:rsidP="000F4369">
      <w:pPr>
        <w:rPr>
          <w:vanish/>
        </w:rPr>
      </w:pPr>
      <w:bookmarkStart w:id="3" w:name="Commission"/>
      <w:r w:rsidRPr="00962EE7">
        <w:rPr>
          <w:vanish/>
        </w:rPr>
        <w:t>Utskottet för utrikesfrågor</w:t>
      </w:r>
      <w:bookmarkEnd w:id="3"/>
    </w:p>
    <w:p w14:paraId="4B175C82" w14:textId="77777777" w:rsidR="000F4369" w:rsidRPr="00962EE7" w:rsidRDefault="000F4369" w:rsidP="000F4369">
      <w:pPr>
        <w:rPr>
          <w:vanish/>
        </w:rPr>
      </w:pPr>
      <w:bookmarkStart w:id="4" w:name="PE"/>
      <w:r w:rsidRPr="00962EE7">
        <w:rPr>
          <w:vanish/>
        </w:rPr>
        <w:t>PE778.092</w:t>
      </w:r>
      <w:bookmarkEnd w:id="4"/>
    </w:p>
    <w:p w14:paraId="5A44B620" w14:textId="6B25EDA5" w:rsidR="000F4369" w:rsidRPr="00962EE7" w:rsidRDefault="000F4369" w:rsidP="000F4369">
      <w:pPr>
        <w:pStyle w:val="ATHeading3"/>
      </w:pPr>
      <w:bookmarkStart w:id="5" w:name="Sujet"/>
      <w:r w:rsidRPr="00962EE7">
        <w:t xml:space="preserve">Europaparlamentets </w:t>
      </w:r>
      <w:r w:rsidR="00422644">
        <w:t>rekommendation</w:t>
      </w:r>
      <w:r w:rsidR="00422644" w:rsidRPr="00962EE7">
        <w:t xml:space="preserve"> </w:t>
      </w:r>
      <w:r w:rsidRPr="00962EE7">
        <w:t xml:space="preserve">av den </w:t>
      </w:r>
      <w:r w:rsidR="00976FE2">
        <w:t>11</w:t>
      </w:r>
      <w:r w:rsidR="00976FE2" w:rsidRPr="00962EE7">
        <w:t xml:space="preserve"> </w:t>
      </w:r>
      <w:r w:rsidR="00976FE2">
        <w:t>mars</w:t>
      </w:r>
      <w:r w:rsidR="00976FE2" w:rsidRPr="00962EE7">
        <w:t xml:space="preserve"> </w:t>
      </w:r>
      <w:r w:rsidRPr="00962EE7">
        <w:t>2026 till rådet, till kommissionen och till vice ordföranden för kommissionen/unionens höga representant för utrikes frågor och säkerhetspolitik om ett förstärkt samarbete mellan EU och Kanada mot bakgrund av den aktuella geopolitiska situationen, inbegripet hoten mot Kanadas ekonomiska stabilitet och suveränitet</w:t>
      </w:r>
      <w:bookmarkEnd w:id="5"/>
      <w:r w:rsidRPr="00962EE7">
        <w:t xml:space="preserve"> </w:t>
      </w:r>
      <w:bookmarkStart w:id="6" w:name="References"/>
      <w:r w:rsidRPr="00962EE7">
        <w:t>(2025/2168(INI))</w:t>
      </w:r>
      <w:bookmarkEnd w:id="6"/>
    </w:p>
    <w:p w14:paraId="0EF4EE46" w14:textId="77777777" w:rsidR="00DB3CCB" w:rsidRPr="00962EE7" w:rsidRDefault="00DB3CCB" w:rsidP="00DB3CCB">
      <w:pPr>
        <w:pStyle w:val="EPComma"/>
      </w:pPr>
      <w:r w:rsidRPr="00962EE7">
        <w:rPr>
          <w:i/>
        </w:rPr>
        <w:t>Europaparlamentet utfärdar denna rekommendation</w:t>
      </w:r>
    </w:p>
    <w:p w14:paraId="6565A6C1" w14:textId="77777777" w:rsidR="00DB3CCB" w:rsidRPr="00962EE7" w:rsidRDefault="00DB3CCB" w:rsidP="00DB3CCB">
      <w:pPr>
        <w:pStyle w:val="NormalHanging12a"/>
      </w:pPr>
      <w:r w:rsidRPr="00962EE7">
        <w:t>–</w:t>
      </w:r>
      <w:r w:rsidRPr="00962EE7">
        <w:tab/>
        <w:t>med beaktande av det strategiska partnerskapsavtalet mellan Europeiska unionen och dess medlemsstater, å ena sidan, och Kanada, å andra sidan</w:t>
      </w:r>
      <w:r w:rsidRPr="00962EE7">
        <w:rPr>
          <w:rStyle w:val="FootnoteReference"/>
        </w:rPr>
        <w:footnoteReference w:id="1"/>
      </w:r>
      <w:r w:rsidRPr="00962EE7">
        <w:t>, som undertecknades den 30 oktober 2016 och tillämpats provisoriskt sedan den 1 april 2017,</w:t>
      </w:r>
    </w:p>
    <w:p w14:paraId="07BB2437" w14:textId="77777777" w:rsidR="00DB3CCB" w:rsidRPr="00962EE7" w:rsidRDefault="00DB3CCB" w:rsidP="00DB3CCB">
      <w:pPr>
        <w:pStyle w:val="NormalHanging12a"/>
      </w:pPr>
      <w:r w:rsidRPr="00962EE7">
        <w:t>–</w:t>
      </w:r>
      <w:r w:rsidRPr="00962EE7">
        <w:tab/>
        <w:t>med beaktande av det övergripande avtalet om ekonomi och handel (Ceta) mellan Kanada, å ena sidan, och Europeiska unionen, och dess medlemsstater, å andra sidan</w:t>
      </w:r>
      <w:r w:rsidRPr="00962EE7">
        <w:rPr>
          <w:rStyle w:val="FootnoteReference"/>
        </w:rPr>
        <w:footnoteReference w:id="2"/>
      </w:r>
      <w:r w:rsidRPr="00962EE7">
        <w:t>, som provisoriskt trädde i kraft den 21 september 2017,</w:t>
      </w:r>
    </w:p>
    <w:p w14:paraId="31690D40" w14:textId="77777777" w:rsidR="00DB3CCB" w:rsidRPr="00962EE7" w:rsidRDefault="00DB3CCB" w:rsidP="00DB3CCB">
      <w:pPr>
        <w:pStyle w:val="NormalHanging12a"/>
      </w:pPr>
      <w:r w:rsidRPr="00962EE7">
        <w:t>–</w:t>
      </w:r>
      <w:r w:rsidRPr="00962EE7">
        <w:tab/>
        <w:t>med beaktande av det strategiska partnerskapet mellan EU och Kanada om råvaror, som inleddes den 21 juni 2021,</w:t>
      </w:r>
    </w:p>
    <w:p w14:paraId="262E1DBA" w14:textId="77777777" w:rsidR="00DB3CCB" w:rsidRPr="00962EE7" w:rsidRDefault="00DB3CCB" w:rsidP="00DB3CCB">
      <w:pPr>
        <w:pStyle w:val="NormalHanging12a"/>
      </w:pPr>
      <w:r w:rsidRPr="00962EE7">
        <w:t>–</w:t>
      </w:r>
      <w:r w:rsidRPr="00962EE7">
        <w:tab/>
        <w:t>med beaktande av det digitala partnerskapet mellan EU och Kanada och den gröna alliansen mellan EU och Kanada, som lanserades den 23 november 2023,</w:t>
      </w:r>
    </w:p>
    <w:p w14:paraId="52373B5E" w14:textId="77777777" w:rsidR="00DB3CCB" w:rsidRPr="00962EE7" w:rsidRDefault="00DB3CCB" w:rsidP="00DB3CCB">
      <w:pPr>
        <w:pStyle w:val="NormalHanging12a"/>
      </w:pPr>
      <w:r w:rsidRPr="00962EE7">
        <w:t>–</w:t>
      </w:r>
      <w:r w:rsidRPr="00962EE7">
        <w:tab/>
        <w:t>med beaktande av det gemensamma uttalandet från Europeiska unionens och Kanadas ledare om ett varaktigt partnerskap och en ambitiös agenda (</w:t>
      </w:r>
      <w:r w:rsidRPr="00962EE7">
        <w:rPr>
          <w:i/>
          <w:iCs/>
        </w:rPr>
        <w:t>Enduring Partnership, Ambitious Agenda</w:t>
      </w:r>
      <w:r w:rsidRPr="00962EE7">
        <w:t>), som antogs vid toppmötet mellan EU och Kanada i Bryssel den 23 juni 2025,</w:t>
      </w:r>
    </w:p>
    <w:p w14:paraId="2BED53F9" w14:textId="77777777" w:rsidR="00DB3CCB" w:rsidRPr="00962EE7" w:rsidRDefault="00DB3CCB" w:rsidP="00DB3CCB">
      <w:pPr>
        <w:pStyle w:val="NormalHanging12a"/>
      </w:pPr>
      <w:r w:rsidRPr="00962EE7">
        <w:t>–</w:t>
      </w:r>
      <w:r w:rsidRPr="00962EE7">
        <w:tab/>
        <w:t>med beaktande av säkerhets- och försvarspartnerskapet mellan Europeiska unionen och Kanada, som undertecknades vid toppmötet mellan EU och Kanada den 23 juni 2025,</w:t>
      </w:r>
    </w:p>
    <w:p w14:paraId="4ABB5498" w14:textId="77777777" w:rsidR="00DB3CCB" w:rsidRPr="00962EE7" w:rsidRDefault="00DB3CCB" w:rsidP="00DB3CCB">
      <w:pPr>
        <w:pStyle w:val="NormalHanging12a"/>
      </w:pPr>
      <w:r w:rsidRPr="00962EE7">
        <w:t>–</w:t>
      </w:r>
      <w:r w:rsidRPr="00962EE7">
        <w:tab/>
        <w:t>med beaktande av förklaringen från Natos toppmöte i Haag den 25 juni 2025,</w:t>
      </w:r>
    </w:p>
    <w:p w14:paraId="0FA91C98" w14:textId="77777777" w:rsidR="00DB3CCB" w:rsidRPr="00962EE7" w:rsidRDefault="00DB3CCB" w:rsidP="00DB3CCB">
      <w:pPr>
        <w:pStyle w:val="NormalHanging12a"/>
      </w:pPr>
      <w:r w:rsidRPr="00962EE7">
        <w:lastRenderedPageBreak/>
        <w:t>–</w:t>
      </w:r>
      <w:r w:rsidRPr="00962EE7">
        <w:tab/>
        <w:t>med beaktande av Europeiska rådets slutsatser av den 26 juni 2025,</w:t>
      </w:r>
    </w:p>
    <w:p w14:paraId="65BAB0BC" w14:textId="77777777" w:rsidR="00DB3CCB" w:rsidRPr="00962EE7" w:rsidRDefault="00DB3CCB" w:rsidP="00DB3CCB">
      <w:pPr>
        <w:pStyle w:val="NormalHanging12a"/>
      </w:pPr>
      <w:r w:rsidRPr="00962EE7">
        <w:t>–</w:t>
      </w:r>
      <w:r w:rsidRPr="00962EE7">
        <w:tab/>
        <w:t>med beaktande av den Kanadaledda G7-alliansen för produktion av kritiska mineraler, som aviserades den 17 juni 2025 och sjösattes den 31 oktober 2025,</w:t>
      </w:r>
    </w:p>
    <w:p w14:paraId="461AFB02" w14:textId="77777777" w:rsidR="00DB3CCB" w:rsidRPr="00962EE7" w:rsidRDefault="00DB3CCB" w:rsidP="00DB3CCB">
      <w:pPr>
        <w:pStyle w:val="NormalHanging12a"/>
      </w:pPr>
      <w:r w:rsidRPr="00962EE7">
        <w:t>–</w:t>
      </w:r>
      <w:r w:rsidRPr="00962EE7">
        <w:tab/>
        <w:t>med beaktande av den gemensamma förklaringen av den 12 november 2025 efter det fjärde mötet i den gemensamma ministerkommittén för Kanada och EU,</w:t>
      </w:r>
    </w:p>
    <w:p w14:paraId="141C45FC" w14:textId="77777777" w:rsidR="00DB3CCB" w:rsidRPr="00962EE7" w:rsidRDefault="00DB3CCB" w:rsidP="00DB3CCB">
      <w:pPr>
        <w:pStyle w:val="NormalHanging12a"/>
      </w:pPr>
      <w:r w:rsidRPr="00962EE7">
        <w:t>–</w:t>
      </w:r>
      <w:r w:rsidRPr="00962EE7">
        <w:tab/>
        <w:t>med beaktande av FN:s deklaration om urfolks rättigheter, som antogs den 13 september 2007,</w:t>
      </w:r>
    </w:p>
    <w:p w14:paraId="1BB58840" w14:textId="77777777" w:rsidR="00DB3CCB" w:rsidRPr="00962EE7" w:rsidRDefault="00DB3CCB" w:rsidP="00DB3CCB">
      <w:pPr>
        <w:pStyle w:val="NormalHanging12a"/>
        <w:keepNext/>
        <w:keepLines/>
        <w:widowControl/>
      </w:pPr>
      <w:r w:rsidRPr="00962EE7">
        <w:t>–</w:t>
      </w:r>
      <w:r w:rsidRPr="00962EE7">
        <w:tab/>
        <w:t>med beaktande av det globala Kunming–Montreal-ramverket för biologisk mångfald inom ramen för konventionen om biologisk mångfald,</w:t>
      </w:r>
    </w:p>
    <w:p w14:paraId="1E38BF77" w14:textId="77777777" w:rsidR="00DB3CCB" w:rsidRPr="00962EE7" w:rsidRDefault="00DB3CCB" w:rsidP="00DB3CCB">
      <w:pPr>
        <w:pStyle w:val="NormalHanging12a"/>
      </w:pPr>
      <w:r w:rsidRPr="00962EE7">
        <w:t>–</w:t>
      </w:r>
      <w:r w:rsidRPr="00962EE7">
        <w:tab/>
        <w:t>med beaktande av sin rekommendation av den 26 november 2025 till rådet, kommissionen och vice ordföranden för kommissionen/unionens höga representant för utrikes frågor och säkerhetspolitik om EU:s diplomatiska strategi och geopolitiska samarbete i Arktis,</w:t>
      </w:r>
    </w:p>
    <w:p w14:paraId="02160543" w14:textId="77777777" w:rsidR="00DB3CCB" w:rsidRPr="00962EE7" w:rsidRDefault="00DB3CCB" w:rsidP="00DB3CCB">
      <w:pPr>
        <w:pStyle w:val="NormalHanging12a"/>
      </w:pPr>
      <w:r w:rsidRPr="00962EE7">
        <w:t>–</w:t>
      </w:r>
      <w:r w:rsidRPr="00962EE7">
        <w:tab/>
        <w:t>med beaktande av artikel 121 i arbetsordningen,</w:t>
      </w:r>
    </w:p>
    <w:p w14:paraId="21D48454" w14:textId="77777777" w:rsidR="00DB3CCB" w:rsidRPr="00962EE7" w:rsidRDefault="00DB3CCB" w:rsidP="00DB3CCB">
      <w:pPr>
        <w:pStyle w:val="NormalHanging12a"/>
      </w:pPr>
      <w:r w:rsidRPr="00962EE7">
        <w:t>–</w:t>
      </w:r>
      <w:r w:rsidRPr="00962EE7">
        <w:tab/>
        <w:t>med beaktande av yttrandet från utskottet för internationell handel,</w:t>
      </w:r>
    </w:p>
    <w:p w14:paraId="70E54BB4" w14:textId="77777777" w:rsidR="00DB3CCB" w:rsidRPr="00962EE7" w:rsidRDefault="00DB3CCB" w:rsidP="00DB3CCB">
      <w:pPr>
        <w:pStyle w:val="NormalHanging12a"/>
      </w:pPr>
      <w:r w:rsidRPr="00962EE7">
        <w:t>–</w:t>
      </w:r>
      <w:r w:rsidRPr="00962EE7">
        <w:tab/>
        <w:t>med beaktande av betänkandet från utskottet för utrikesfrågor (A10-0035/2026), och av följande skäl:</w:t>
      </w:r>
    </w:p>
    <w:p w14:paraId="27962A49" w14:textId="77777777" w:rsidR="00DB3CCB" w:rsidRPr="00962EE7" w:rsidRDefault="00DB3CCB" w:rsidP="00DB3CCB">
      <w:pPr>
        <w:pStyle w:val="NormalHanging12a"/>
      </w:pPr>
      <w:r w:rsidRPr="00962EE7">
        <w:t>A.</w:t>
      </w:r>
      <w:r w:rsidRPr="00962EE7">
        <w:tab/>
        <w:t>I en geopolitisk miljö med ökad rivalitet mellan stormakter, politisk volatilitet, fragmenterade globala leveranskedjor, ökande protektionism, användning av handel som ett vapen, sårbarheter i den ekonomiska säkerheten och allt snabbare klimatförändringar måste EU fördjupa samarbetet med likasinnade partner såsom Kanada. EU och Kanada har ett gemensamt och ökat intresse av att fördjupa sitt samarbete, stärka sina ekonomiska band och upprätthålla den regelbaserade världsordningen, och delar uppfattningar om praktiskt taget alla regioner i världen. EU har genomgående förblivit en pålitlig och lojal allierad till Kanada.</w:t>
      </w:r>
    </w:p>
    <w:p w14:paraId="46E0E997" w14:textId="77777777" w:rsidR="00DB3CCB" w:rsidRPr="00962EE7" w:rsidRDefault="00DB3CCB" w:rsidP="00DB3CCB">
      <w:pPr>
        <w:pStyle w:val="NormalHanging12a"/>
      </w:pPr>
      <w:r w:rsidRPr="00962EE7">
        <w:t>B.</w:t>
      </w:r>
      <w:r w:rsidRPr="00962EE7">
        <w:tab/>
        <w:t>EU och Kanada utgör strategiska partner som är enade i sin övertygelse att demokrati, rättsstatsprincipen, mänskliga rättigheter och multilateralt samarbete, särskilt på områdena säkerhet och handel, gynnar kanadensiska och europeiska samhällen och det internationella samfundet och därför bör försvaras av globala allianser av likasinnade partner.</w:t>
      </w:r>
    </w:p>
    <w:p w14:paraId="3D6E331A" w14:textId="77777777" w:rsidR="00DB3CCB" w:rsidRPr="00962EE7" w:rsidRDefault="00DB3CCB" w:rsidP="00DB3CCB">
      <w:pPr>
        <w:pStyle w:val="NormalHanging12a"/>
      </w:pPr>
      <w:r w:rsidRPr="00962EE7">
        <w:t>C.</w:t>
      </w:r>
      <w:r w:rsidRPr="00962EE7">
        <w:tab/>
        <w:t>Partnerskapet mellan EU och Kanada har blivit centralt för att försvara och upprätthålla multilateralism och demokrati världen över i en tid då dessa sedan länge fastställda principer och uppnådda resultat ständigt hotas i allt större utsträckning. Kanada och samtliga EU-medlemsstater är parter i fördraget om förhindrande av spridning av kärnvapen.</w:t>
      </w:r>
    </w:p>
    <w:p w14:paraId="47AB3FD7" w14:textId="77777777" w:rsidR="00DB3CCB" w:rsidRPr="00962EE7" w:rsidRDefault="00DB3CCB" w:rsidP="00DB3CCB">
      <w:pPr>
        <w:pStyle w:val="NormalHanging12a"/>
      </w:pPr>
      <w:r w:rsidRPr="00962EE7">
        <w:t>D.</w:t>
      </w:r>
      <w:r w:rsidRPr="00962EE7">
        <w:tab/>
        <w:t>EU och Kanada har i många år samarbetat inom Världshandelsorganisationen (WTO), och båda sidor är fast beslutna att arbeta tillsammans för att stabilisera och stärka det regelbaserade internationella handelssystemet, vars existens för närvarande hotas, modernisera WTO och blåsa nytt liv i dess tvistlösningssystem, bland annat via det tillfälliga flerpartsarrangemanget för skiljedomsförfaranden.</w:t>
      </w:r>
    </w:p>
    <w:p w14:paraId="0FBCFB51" w14:textId="77777777" w:rsidR="00DB3CCB" w:rsidRPr="00962EE7" w:rsidRDefault="00DB3CCB" w:rsidP="00DB3CCB">
      <w:pPr>
        <w:pStyle w:val="NormalHanging12a"/>
      </w:pPr>
      <w:r w:rsidRPr="00962EE7">
        <w:lastRenderedPageBreak/>
        <w:t>E.</w:t>
      </w:r>
      <w:r w:rsidRPr="00962EE7">
        <w:tab/>
        <w:t>Ett effektivt samarbete mellan EU och Kanada som bygger på gemensamt ledarskap och ansvar är avgörande när det gäller att ta itu med globala utmaningar, såsom Rysslands krig mot Ukraina, Rysslands hybridkrigföring mot demokratiska samhällen, den geopolitiska konkurrensen i Arktis, Kinas alltmer självsäkra agerande och ekonomiska tvång bortom de internationellt fastställda ramarna, den ökade volatiliteten i Förenta staternas utrikespolitik, klimatförändringarna och situationen i Mellanöstern.</w:t>
      </w:r>
    </w:p>
    <w:p w14:paraId="60020E97" w14:textId="77777777" w:rsidR="00DB3CCB" w:rsidRPr="00962EE7" w:rsidRDefault="00DB3CCB" w:rsidP="00DB3CCB">
      <w:pPr>
        <w:pStyle w:val="NormalHanging12a"/>
        <w:keepNext/>
        <w:keepLines/>
        <w:widowControl/>
      </w:pPr>
      <w:r w:rsidRPr="00962EE7">
        <w:t>F.</w:t>
      </w:r>
      <w:r w:rsidRPr="00962EE7">
        <w:tab/>
        <w:t>Samarbete mellan EU och Kanada inom de befintliga ramarna är avgörande för att bevara och öka välståndet för båda parter. Exempel på detta viktiga samarbete är handelssamarbete och ekonomiskt samarbete och gemensamma ambitioner att ta itu med utmaningar såsom den gröna och den digitala omställningen, artificiell intelligens (AI) och annan ny teknik, säkerhet, inbegripet militärt samarbete, terrorismbekämpning och bekämpning av organiserad brottslighet, samt infrastruktur, energi, hälsa och livsmedelstrygghet.</w:t>
      </w:r>
    </w:p>
    <w:p w14:paraId="49F6B196" w14:textId="77777777" w:rsidR="00DB3CCB" w:rsidRPr="00962EE7" w:rsidRDefault="00DB3CCB" w:rsidP="00DB3CCB">
      <w:pPr>
        <w:pStyle w:val="NormalHanging12a"/>
      </w:pPr>
      <w:r w:rsidRPr="00962EE7">
        <w:t>G.</w:t>
      </w:r>
      <w:r w:rsidRPr="00962EE7">
        <w:tab/>
        <w:t>Den 1 december 2025 slutförde Kanada och EU framgångsrikt förhandlingarna om ett avtal om Kanadas deltagande i programmet Säkerhetsaktion för Europa (Safe), och byggde därmed vidare på sitt säkerhets- och försvarspartnerskap som undertecknades vid toppmötet mellan EU och Kanada i juni 2025.</w:t>
      </w:r>
    </w:p>
    <w:p w14:paraId="1807B591" w14:textId="77777777" w:rsidR="00DB3CCB" w:rsidRPr="00962EE7" w:rsidRDefault="00DB3CCB" w:rsidP="00DB3CCB">
      <w:pPr>
        <w:pStyle w:val="NormalHanging12a"/>
      </w:pPr>
      <w:r w:rsidRPr="00962EE7">
        <w:t>H.</w:t>
      </w:r>
      <w:r w:rsidRPr="00962EE7">
        <w:tab/>
        <w:t>Effekterna av Ceta bedöms vara positiva och avsevärt öka handeln med varor och tjänster mellan EU och Kanada med omkring 63 procent och 75,6 miljarder euro, avskaffa 99 procent av tullpositionerna och ha en positiv direkt effekt på små och medelstora företag i både EU och Kanada, med ett ökande antal små och medelstora företag som ägnar sig åt bilateral handel. De inledande farhågorna om att kanadensiskt nötkött skulle översvämma den europeiska marknaden har inte besannats, då endast cirka 2 procent av den årliga nötköttskvot som fastställs i Ceta användes under 2023.</w:t>
      </w:r>
    </w:p>
    <w:p w14:paraId="7ACD28A1" w14:textId="77777777" w:rsidR="00DB3CCB" w:rsidRPr="00962EE7" w:rsidRDefault="00DB3CCB" w:rsidP="00DB3CCB">
      <w:pPr>
        <w:pStyle w:val="NormalHanging12a"/>
      </w:pPr>
      <w:r w:rsidRPr="00962EE7">
        <w:t>I.</w:t>
      </w:r>
      <w:r w:rsidRPr="00962EE7">
        <w:tab/>
        <w:t>Utmaningar kvarstår när det gäller efterlevnaden av Ceta på vissa områden, till exempel regleringssamarbete, kapitlet om handel och hållbar utveckling och transparent tillgång till fullständiga upphandlingsuppgifter</w:t>
      </w:r>
      <w:r w:rsidRPr="00962EE7">
        <w:rPr>
          <w:rStyle w:val="FootnoteReference"/>
          <w:bCs/>
          <w:iCs/>
        </w:rPr>
        <w:footnoteReference w:id="3"/>
      </w:r>
      <w:r w:rsidRPr="00962EE7">
        <w:t>.</w:t>
      </w:r>
    </w:p>
    <w:p w14:paraId="2B9CA818" w14:textId="77777777" w:rsidR="00DB3CCB" w:rsidRPr="00962EE7" w:rsidRDefault="00DB3CCB" w:rsidP="00DB3CCB">
      <w:pPr>
        <w:pStyle w:val="NormalHanging12a"/>
      </w:pPr>
      <w:r w:rsidRPr="00962EE7">
        <w:t>J.</w:t>
      </w:r>
      <w:r w:rsidRPr="00962EE7">
        <w:tab/>
        <w:t>Kapitlen om e-handel, handel och hållbar utveckling och bestämmelsen om investerarskyddet i Ceta är föråldrade och speglar inte kommissionens aktuella politik. Kanadas regering har lagt fram förslag för att göra Cetas bestämmelser om handel och hållbar utveckling mer verkställbara.</w:t>
      </w:r>
    </w:p>
    <w:p w14:paraId="33E96115" w14:textId="77777777" w:rsidR="00DB3CCB" w:rsidRPr="00962EE7" w:rsidRDefault="00DB3CCB" w:rsidP="00DB3CCB">
      <w:pPr>
        <w:pStyle w:val="NormalHanging12a"/>
      </w:pPr>
      <w:r w:rsidRPr="00962EE7">
        <w:t>K.</w:t>
      </w:r>
      <w:r w:rsidRPr="00962EE7">
        <w:tab/>
        <w:t>Ceta innehåller en ram för ömsesidigt erkännande av kvalifikationer inom reglerade yrken, för till exempel arkitekter, revisorer och ingenjörer.</w:t>
      </w:r>
    </w:p>
    <w:p w14:paraId="1B3E3D98" w14:textId="77777777" w:rsidR="00DB3CCB" w:rsidRPr="00962EE7" w:rsidRDefault="00DB3CCB" w:rsidP="00DB3CCB">
      <w:pPr>
        <w:pStyle w:val="NormalHanging12a"/>
      </w:pPr>
      <w:r w:rsidRPr="00962EE7">
        <w:t>L.</w:t>
      </w:r>
      <w:r w:rsidRPr="00962EE7">
        <w:tab/>
        <w:t xml:space="preserve">Urfolken i Kanada besitter oersättlig traditionell kunskap, är de främsta förvaltarna av ekosystemen och drabbas redan oproportionerligt hårt av klimatförändringar, socioekonomisk marginalisering och miljöförstöring. Både Kanada och EU har godkänt FN:s deklaration om urfolks rättigheter, inbegripet ett åtagande att i god tro rådfråga och samarbeta med urfolk för att få deras fria, på förhand inhämtade och välinformerade </w:t>
      </w:r>
      <w:r w:rsidRPr="00962EE7">
        <w:lastRenderedPageBreak/>
        <w:t>samtycke innan man godkänner projekt som påverkar deras mark, territorier eller resurser.</w:t>
      </w:r>
    </w:p>
    <w:p w14:paraId="3DCDB753" w14:textId="77777777" w:rsidR="00DB3CCB" w:rsidRPr="00962EE7" w:rsidRDefault="00DB3CCB" w:rsidP="00DB3CCB">
      <w:pPr>
        <w:pStyle w:val="NormalHanging12a"/>
      </w:pPr>
      <w:r w:rsidRPr="00962EE7">
        <w:t>M.</w:t>
      </w:r>
      <w:r w:rsidRPr="00962EE7">
        <w:tab/>
        <w:t>Kanada har genom sitt åtagande att tillhandahålla långsiktigt stöd till Ukraina och ett starkt ledarskap under sitt G7-ordförandeskap visat sig vara en strategisk partner till EU och en pålitlig Nato-allierad.</w:t>
      </w:r>
    </w:p>
    <w:p w14:paraId="17FED375" w14:textId="77777777" w:rsidR="00DB3CCB" w:rsidRPr="00962EE7" w:rsidRDefault="00DB3CCB" w:rsidP="00DB3CCB">
      <w:pPr>
        <w:pStyle w:val="NormalHanging12a"/>
      </w:pPr>
      <w:r w:rsidRPr="00962EE7">
        <w:t>N.</w:t>
      </w:r>
      <w:r w:rsidRPr="00962EE7">
        <w:tab/>
        <w:t>Den fulla potentialen i de befintliga instrumenten för samarbete mellan EU och Kanada måste utnyttjas och partnerskapet mellan EU och Kanada stärkas betydligt för att EU och Kanada ska kunna stå enade och agera kraftfullt mot Rysslands krig mot Ukraina, geopolitiska aktörers revisionism, upptrappningen av hybridkrigskampanjer mot demokratiska samhällen, klimatförändringarna och utmaningarna för den globala handeln.</w:t>
      </w:r>
    </w:p>
    <w:p w14:paraId="2602DCFD" w14:textId="77777777" w:rsidR="00DB3CCB" w:rsidRPr="00962EE7" w:rsidRDefault="00DB3CCB" w:rsidP="00DB3CCB">
      <w:pPr>
        <w:pStyle w:val="NormalHanging12a"/>
      </w:pPr>
      <w:r w:rsidRPr="00962EE7">
        <w:t>1.</w:t>
      </w:r>
      <w:r w:rsidRPr="00962EE7">
        <w:tab/>
        <w:t>Europaparlamentet rekommenderar rådet, kommissionen och vice ordföranden för kommissionen/unionens höga representant för utrikes frågor och säkerhetspolitik att</w:t>
      </w:r>
    </w:p>
    <w:p w14:paraId="56E49333" w14:textId="77777777" w:rsidR="00DB3CCB" w:rsidRPr="00962EE7" w:rsidRDefault="00DB3CCB" w:rsidP="0003734B">
      <w:pPr>
        <w:pStyle w:val="NormalHanging12a"/>
        <w:ind w:left="1134"/>
        <w:rPr>
          <w:b/>
          <w:bCs/>
          <w:i/>
          <w:iCs/>
        </w:rPr>
      </w:pPr>
      <w:r w:rsidRPr="00962EE7">
        <w:rPr>
          <w:b/>
          <w:i/>
        </w:rPr>
        <w:t>Partnerskapet mellan EU och Kanada: institutionell ram</w:t>
      </w:r>
    </w:p>
    <w:p w14:paraId="19EFFBB3" w14:textId="77777777" w:rsidR="00DB3CCB" w:rsidRPr="00962EE7" w:rsidRDefault="00DB3CCB" w:rsidP="0003734B">
      <w:pPr>
        <w:pStyle w:val="NormalHanging12a"/>
        <w:ind w:left="1134"/>
      </w:pPr>
      <w:r w:rsidRPr="00962EE7">
        <w:t>a)</w:t>
      </w:r>
      <w:r w:rsidRPr="00962EE7">
        <w:tab/>
        <w:t>ta vara på detta tillfälle med en rämnande världsordning och gemensamma utmaningar som en möjlighet att fullt ut utnyttja potentialen i det strategiska partnerskapet mellan EU och Kanada och höja förbindelserna till en ny nivå i fullföljandet av gemensamma intressen och värderingar i en snabbt föränderlig miljö globalt sett,</w:t>
      </w:r>
    </w:p>
    <w:p w14:paraId="2697B248" w14:textId="77777777" w:rsidR="00DB3CCB" w:rsidRPr="00962EE7" w:rsidRDefault="00DB3CCB" w:rsidP="0003734B">
      <w:pPr>
        <w:pStyle w:val="NormalHanging12a"/>
        <w:ind w:left="1134"/>
      </w:pPr>
      <w:r w:rsidRPr="00962EE7">
        <w:t>b)</w:t>
      </w:r>
      <w:r w:rsidRPr="00962EE7">
        <w:tab/>
        <w:t>maximera sina ansträngningar för att snabbt genomföra slutsatserna från toppmötet mellan EU och Kanada av den 23 juni 2025 genom att vidta specifika åtgärder för att uppnå konkreta framsteg på de områden som beskrivs i det gemensamma uttalandet och säkerhets- och försvarspartnerskapet, bland annat genom att bygga vidare på Kanadas deltagande, som enda icke-europeiska land, i Safe-programmet för att upprätta ett så nära försvarssamarbete som möjligt i en värld med ökande rivalitet mellan stormakterna,</w:t>
      </w:r>
    </w:p>
    <w:p w14:paraId="249F4D19" w14:textId="77777777" w:rsidR="00DB3CCB" w:rsidRPr="00962EE7" w:rsidRDefault="00DB3CCB" w:rsidP="0003734B">
      <w:pPr>
        <w:pStyle w:val="NormalHanging12a"/>
        <w:ind w:left="1134"/>
        <w:rPr>
          <w:szCs w:val="24"/>
        </w:rPr>
      </w:pPr>
      <w:r w:rsidRPr="00962EE7">
        <w:t>c)</w:t>
      </w:r>
      <w:r w:rsidRPr="00962EE7">
        <w:tab/>
        <w:t xml:space="preserve">intensifiera dialoger på flera nivåer, inbegripet toppmöten och gemensamma initiativ såsom handels- och investeringsuppdrag, samt långsiktiga samarbetsformat på arbetsnivå genom att utse särskilda projektansvariga för olika arbetsflöden, i syfte att fördjupa samarbetet och hitta vägar till strategiskt engagemang mellan Kanada och EU för att gemensamt ta itu med globala utmaningar såsom AI, energi, klimatförändringar och cybersäkerhet, särskilt vid en tidpunkt då den regelbaserade världsordningen utsätts för allt större tryck; se till att det civila samhället och berörda experter involveras i dessa dialoger när så är lämpligt, </w:t>
      </w:r>
    </w:p>
    <w:p w14:paraId="0E5D82DD" w14:textId="77777777" w:rsidR="00DB3CCB" w:rsidRPr="00962EE7" w:rsidRDefault="00DB3CCB" w:rsidP="0003734B">
      <w:pPr>
        <w:pStyle w:val="NormalHanging12a"/>
        <w:ind w:left="1134"/>
        <w:rPr>
          <w:szCs w:val="24"/>
        </w:rPr>
      </w:pPr>
      <w:r w:rsidRPr="00962EE7">
        <w:t>d)</w:t>
      </w:r>
      <w:r w:rsidRPr="00962EE7">
        <w:tab/>
        <w:t>stödja en starkare roll för den parlamentariska dialogen i det strategiska partnerskapet och säkerställa regelbundna bilaterala parlamentariska utbyten och motsvarande samarbete i nyckelfrågor,</w:t>
      </w:r>
    </w:p>
    <w:p w14:paraId="34721667" w14:textId="77777777" w:rsidR="00DB3CCB" w:rsidRPr="00962EE7" w:rsidRDefault="00DB3CCB" w:rsidP="0003734B">
      <w:pPr>
        <w:pStyle w:val="NormalHanging12a"/>
        <w:ind w:left="1134"/>
      </w:pPr>
      <w:r w:rsidRPr="00962EE7">
        <w:t>e)</w:t>
      </w:r>
      <w:r w:rsidRPr="00962EE7">
        <w:tab/>
        <w:t>notera att Kanada har status som observatör i Europarådet; efterlysa ett ökat samarbete på parlamentarisk nivå och uppmana Europarådet att regelbundet bjuda in Kanada till interparlamentariska möten som observatör,</w:t>
      </w:r>
    </w:p>
    <w:p w14:paraId="17D23726" w14:textId="77777777" w:rsidR="00DB3CCB" w:rsidRPr="00962EE7" w:rsidRDefault="00DB3CCB" w:rsidP="0003734B">
      <w:pPr>
        <w:pStyle w:val="NormalHanging12a"/>
        <w:ind w:left="1134"/>
        <w:rPr>
          <w:b/>
          <w:i/>
          <w:iCs/>
          <w:szCs w:val="24"/>
        </w:rPr>
      </w:pPr>
      <w:r w:rsidRPr="00962EE7">
        <w:rPr>
          <w:b/>
          <w:i/>
        </w:rPr>
        <w:t>Samarbete om utrikes- och säkerhetspolitik</w:t>
      </w:r>
    </w:p>
    <w:p w14:paraId="769A7C73" w14:textId="77777777" w:rsidR="00DB3CCB" w:rsidRPr="00962EE7" w:rsidRDefault="00DB3CCB" w:rsidP="0003734B">
      <w:pPr>
        <w:pStyle w:val="NormalHanging12a"/>
        <w:ind w:left="1134"/>
      </w:pPr>
      <w:r w:rsidRPr="00962EE7">
        <w:lastRenderedPageBreak/>
        <w:t>f)</w:t>
      </w:r>
      <w:r w:rsidRPr="00962EE7">
        <w:tab/>
        <w:t>öka samarbetet med Kanada för att bemöta säkerhetshot mot våra samhällen, däribland Rysslands krig mot Ukraina, hybridattacker, terrorism och inblandning i demokratiska samhällen på båda sidor av Atlanten, Kinas självsäkra agerande och ekonomiska tvång, Förenta staternas tillbakadragande från den regelbaserade världsordningen, klimatförändringarnas konsekvenser, AI, cybersäkerhet och situationen i Mellanöstern, som alla hotar den sociala sammanhållningen i våra samhällen,</w:t>
      </w:r>
    </w:p>
    <w:p w14:paraId="1FA54B34" w14:textId="77777777" w:rsidR="00DB3CCB" w:rsidRPr="00962EE7" w:rsidRDefault="00DB3CCB" w:rsidP="0003734B">
      <w:pPr>
        <w:pStyle w:val="NormalHanging12a"/>
        <w:ind w:left="1134"/>
      </w:pPr>
      <w:r w:rsidRPr="00962EE7">
        <w:t>g)</w:t>
      </w:r>
      <w:r w:rsidRPr="00962EE7">
        <w:tab/>
        <w:t>betona behovet av gemensamma insatser och ömsesidigt engagemang för att främja fred, säkerhet, stabilitet och resiliens genom ett helhetsgrepp på försvarsområdet i andra regioner av gemensamt intresse, däribland EU:s omedelbara grannskap, i synnerhet kandidatländerna och Sydkaukasien,</w:t>
      </w:r>
    </w:p>
    <w:p w14:paraId="2342D472" w14:textId="77777777" w:rsidR="00DB3CCB" w:rsidRPr="00962EE7" w:rsidRDefault="00DB3CCB" w:rsidP="0003734B">
      <w:pPr>
        <w:pStyle w:val="NormalHanging12a"/>
        <w:ind w:left="1134"/>
      </w:pPr>
      <w:r w:rsidRPr="00962EE7">
        <w:t>h)</w:t>
      </w:r>
      <w:r w:rsidRPr="00962EE7">
        <w:tab/>
        <w:t>fastställa en färdplan för att säkerställa ett fullständigt och snabbt genomförande av de åtaganden som gjorts inom ramen för säkerhets- och försvarspartnerskapet, som tillhandahåller en enhetlig och övergripande politisk ram för dialog och samarbete inom ett brett spektrum av freds-, säkerhets- och försvarsområden, inbegripet utvalda säkerhets- och försvarsinitiativ inom EU som kompletterar parternas samarbete i Nato, till exempel Safe-programmet och ReArm Europe/Beredskap 2030,</w:t>
      </w:r>
    </w:p>
    <w:p w14:paraId="55DCE8FD" w14:textId="77777777" w:rsidR="00DB3CCB" w:rsidRPr="00962EE7" w:rsidRDefault="00DB3CCB" w:rsidP="0003734B">
      <w:pPr>
        <w:pStyle w:val="NormalHanging12a"/>
        <w:ind w:left="1134"/>
        <w:rPr>
          <w:szCs w:val="24"/>
        </w:rPr>
      </w:pPr>
      <w:r w:rsidRPr="00962EE7">
        <w:t>i)</w:t>
      </w:r>
      <w:r w:rsidRPr="00962EE7">
        <w:tab/>
        <w:t>så långt det är möjligt integrera Kanada i EU:s försvarstekniska och försvarsindustriella bas med målet att öka komplementariteten och kostnadseffektiviteten för båda parter, bland annat genom att integrera militära och industriella leveranskedjor och harmonisera försvarsstrategier och försvarsforskning på områden som byggande av isbrytare och drift av hamnar; med eftertryck uppmana till samarbete mellan EU och Kanada om reglering av 5G-genomförandet med avseende på att följa strikta säkerhetsstandarder; uppmuntra medlemsstaterna att tillåta kanadensiska företag att delta i deras offentliga upphandlingsförfaranden,</w:t>
      </w:r>
    </w:p>
    <w:p w14:paraId="16E30801" w14:textId="77777777" w:rsidR="00DB3CCB" w:rsidRPr="00962EE7" w:rsidRDefault="00DB3CCB" w:rsidP="0003734B">
      <w:pPr>
        <w:pStyle w:val="NormalHanging12a"/>
        <w:ind w:left="1134"/>
        <w:rPr>
          <w:szCs w:val="24"/>
        </w:rPr>
      </w:pPr>
      <w:r w:rsidRPr="00962EE7">
        <w:t>j)</w:t>
      </w:r>
      <w:r w:rsidRPr="00962EE7">
        <w:tab/>
        <w:t xml:space="preserve">erkänna Kanadas fortlöpande engagemang för och militära bidrag till den europeiska säkerheten, i synnerhet dess ledarskap inom Natos operation </w:t>
      </w:r>
      <w:r w:rsidRPr="00962EE7">
        <w:rPr>
          <w:i/>
          <w:iCs/>
        </w:rPr>
        <w:t>Reassurance</w:t>
      </w:r>
      <w:r w:rsidRPr="00962EE7">
        <w:t xml:space="preserve"> i Lettland och dess medverkan i den globala koalitionen mot Daish, Natos initiativ för kapacitetsuppbyggnad i Mellanöstern och drönarkoalitionen, samt uppmuntra ytterligare samarbete på viktiga områden för att främja drönarrelaterad produktion i synergi med EU:s industriella och tekniska initiativ; efterlysa gemensamma europeiska utbildningscentrum för drönar- och drönarbekämpningsförmågor i samarbete med Kanada; föreslå ett bilateralt avtal med Kanada för säker samproduktion och tekniköverföring av förmågor till obemannade luftfartygssystem för motangrepp (C</w:t>
      </w:r>
      <w:r w:rsidRPr="00962EE7">
        <w:noBreakHyphen/>
        <w:t xml:space="preserve">UAS) genom gemensam utveckling och finansiering, </w:t>
      </w:r>
    </w:p>
    <w:p w14:paraId="1EB6DCE4" w14:textId="77777777" w:rsidR="00DB3CCB" w:rsidRPr="00962EE7" w:rsidRDefault="00DB3CCB" w:rsidP="0003734B">
      <w:pPr>
        <w:pStyle w:val="NormalHanging12a"/>
        <w:ind w:left="1134"/>
        <w:rPr>
          <w:szCs w:val="24"/>
        </w:rPr>
      </w:pPr>
      <w:r w:rsidRPr="00962EE7">
        <w:t>k)</w:t>
      </w:r>
      <w:r w:rsidRPr="00962EE7">
        <w:tab/>
        <w:t>bygga vidare på Kanadas värdefulla bidrag till projekt inom både militär rörlighet och NetLogHubs inom ramen för EU:s permanenta strukturerade samarbete (Pesco), och på Kanadas långvariga bidrag till civila och militära uppdrag inom ramen för den gemensamma säkerhets- och försvarspolitiken (GSFP); uppmuntra fortsatt samarbete och en utvidgning av Kanadas deltagande i ytterligare Pesco-projekt och EU:s försvarsinitiativ,</w:t>
      </w:r>
    </w:p>
    <w:p w14:paraId="6844D817" w14:textId="77777777" w:rsidR="00DB3CCB" w:rsidRPr="00962EE7" w:rsidRDefault="00DB3CCB" w:rsidP="0003734B">
      <w:pPr>
        <w:pStyle w:val="NormalHanging12a"/>
        <w:ind w:left="1134"/>
        <w:rPr>
          <w:szCs w:val="24"/>
        </w:rPr>
      </w:pPr>
      <w:r w:rsidRPr="00962EE7">
        <w:t>l)</w:t>
      </w:r>
      <w:r w:rsidRPr="00962EE7">
        <w:tab/>
        <w:t xml:space="preserve">se över och öka samarbetet med Kanada för att bekämpa cyber- och </w:t>
      </w:r>
      <w:r w:rsidRPr="00962EE7">
        <w:lastRenderedPageBreak/>
        <w:t>hybridkrigshot och motverka destabiliserande verksamhet, till exempel desinformation som sprids av fientliga stater och valinblandning, inbegripet i EU:s kandidatländer, vilket i betydande grad hotar den sociala sammanhållningen i våra samhällen,</w:t>
      </w:r>
    </w:p>
    <w:p w14:paraId="3422CC36" w14:textId="77777777" w:rsidR="00DB3CCB" w:rsidRPr="00962EE7" w:rsidRDefault="00DB3CCB" w:rsidP="0003734B">
      <w:pPr>
        <w:pStyle w:val="NormalHanging12a"/>
        <w:ind w:left="1134"/>
        <w:rPr>
          <w:szCs w:val="24"/>
        </w:rPr>
      </w:pPr>
      <w:r w:rsidRPr="00962EE7">
        <w:t>m)</w:t>
      </w:r>
      <w:r w:rsidRPr="00962EE7">
        <w:tab/>
        <w:t>ytterligare främja samordning och samarbete på viktiga områden, däribland krishantering, fredsbevarande, militär rörlighet, cybersäkerhet, terrorismbekämpning, rymdsäkerhet, energitrygghet, AI och ny teknik, inbegripet kvantdatorteknik, för att tillsammans utveckla viktiga förmågor,</w:t>
      </w:r>
    </w:p>
    <w:p w14:paraId="36011600" w14:textId="77777777" w:rsidR="00DB3CCB" w:rsidRPr="00962EE7" w:rsidRDefault="00DB3CCB" w:rsidP="0003734B">
      <w:pPr>
        <w:pStyle w:val="NormalHanging12a"/>
        <w:keepNext/>
        <w:keepLines/>
        <w:widowControl/>
        <w:ind w:left="1134"/>
      </w:pPr>
      <w:r w:rsidRPr="00962EE7">
        <w:t>n)</w:t>
      </w:r>
      <w:r w:rsidRPr="00962EE7">
        <w:tab/>
        <w:t>bygga vidare på EU:s och Kanadas orubbliga stöd för Ukrainas suveränitet, oberoende och territoriella integritet samt deras samarbete och gemensamma åtagande om att, framför allt genom formaten G7 och koalitionen av villiga, tillhandahålla långsiktigt politiskt, militärt, ekonomiskt och humanitärt bistånd, bland annat genom att gemensamt arbeta för att skapa en stark internationell allians till stöd för användning av frysta ryska statstillgångar i enlighet med internationell rätt med stöd av ett krigsskadeståndslån, och genom att samarbeta om givarsamordningsplattformen för Ukraina och om inrättande av säkerhetsgarantier för Ukraina för tiden efter kriget,</w:t>
      </w:r>
    </w:p>
    <w:p w14:paraId="62B5C46E" w14:textId="77777777" w:rsidR="00DB3CCB" w:rsidRPr="00962EE7" w:rsidRDefault="00DB3CCB" w:rsidP="0003734B">
      <w:pPr>
        <w:pStyle w:val="NormalHanging12a"/>
        <w:ind w:left="1134"/>
        <w:rPr>
          <w:szCs w:val="24"/>
        </w:rPr>
      </w:pPr>
      <w:r w:rsidRPr="00962EE7">
        <w:t>o)</w:t>
      </w:r>
      <w:r w:rsidRPr="00962EE7">
        <w:tab/>
        <w:t>samordna sanktionerna, fortsätta arbetet med en diplomatisk isolering av Ryssland tillsammans med Kanada och andra partner samt gemensamt utforska ytterligare möjligheter att öka pressen på Ryssland,</w:t>
      </w:r>
    </w:p>
    <w:p w14:paraId="723DA645" w14:textId="77777777" w:rsidR="00DB3CCB" w:rsidRPr="00962EE7" w:rsidRDefault="00DB3CCB" w:rsidP="0003734B">
      <w:pPr>
        <w:pStyle w:val="NormalHanging12a"/>
        <w:ind w:left="1134"/>
        <w:rPr>
          <w:szCs w:val="24"/>
        </w:rPr>
      </w:pPr>
      <w:r w:rsidRPr="00962EE7">
        <w:t>p)</w:t>
      </w:r>
      <w:r w:rsidRPr="00962EE7">
        <w:tab/>
        <w:t>samarbeta med Kanada för att säkerställa fullständig ansvarsskyldighet för krigsförbrytelser och andra allvarliga brott i samband med Rysslands anfallskrig mot Ukraina, bland annat genom att stödja inrättandet av en särskild tribunal för aggressionsbrottet mot Ukraina,</w:t>
      </w:r>
    </w:p>
    <w:p w14:paraId="42209E00" w14:textId="77777777" w:rsidR="00DB3CCB" w:rsidRPr="00962EE7" w:rsidRDefault="00DB3CCB" w:rsidP="0003734B">
      <w:pPr>
        <w:pStyle w:val="NormalHanging12a"/>
        <w:ind w:left="1134"/>
      </w:pPr>
      <w:r w:rsidRPr="00962EE7">
        <w:t>q)</w:t>
      </w:r>
      <w:r w:rsidRPr="00962EE7">
        <w:tab/>
        <w:t>bygga vidare på det samordnade stödet från EU och Kanada för Republiken Moldaviens suveränitet, territoriella integritet och resiliens mot bakgrund av Ryska federationens riktade hybridverksamhet samt återverkningarna av Rysslands anfallskrig mot Ukraina,</w:t>
      </w:r>
    </w:p>
    <w:p w14:paraId="785A466E" w14:textId="77777777" w:rsidR="00DB3CCB" w:rsidRPr="00962EE7" w:rsidRDefault="00DB3CCB" w:rsidP="0003734B">
      <w:pPr>
        <w:pStyle w:val="NormalHanging12a"/>
        <w:ind w:left="1134"/>
      </w:pPr>
      <w:r w:rsidRPr="00962EE7">
        <w:t>r)</w:t>
      </w:r>
      <w:r w:rsidRPr="00962EE7">
        <w:tab/>
        <w:t>uppmuntra de kanadensiska myndigheterna att fortsätta och stärka landets deltagande – jämte EU – i humanitära och demokratifrämjande initiativ, i synnerhet vad gäller Belarus, inbegripet genom ökat stöd till instrument som möjliggör riktat, flexibelt och effektivt bistånd över hela världen,</w:t>
      </w:r>
    </w:p>
    <w:p w14:paraId="3A4CE166" w14:textId="77777777" w:rsidR="00DB3CCB" w:rsidRPr="00962EE7" w:rsidRDefault="00DB3CCB" w:rsidP="0003734B">
      <w:pPr>
        <w:pStyle w:val="NormalHanging12a"/>
        <w:ind w:left="1134"/>
      </w:pPr>
      <w:r w:rsidRPr="00962EE7">
        <w:t>s)</w:t>
      </w:r>
      <w:r w:rsidRPr="00962EE7">
        <w:tab/>
        <w:t>samarbeta med Kanada för att gemensamt främja våra gemensamma förbindelser med Förenta staterna, som är avgörande för både Kanadas och EU:s säkerhet och ekonomi,</w:t>
      </w:r>
    </w:p>
    <w:p w14:paraId="326FCE36" w14:textId="77777777" w:rsidR="00DB3CCB" w:rsidRPr="00962EE7" w:rsidRDefault="00DB3CCB" w:rsidP="0003734B">
      <w:pPr>
        <w:pStyle w:val="NormalHanging12a"/>
        <w:ind w:left="1134"/>
        <w:rPr>
          <w:szCs w:val="24"/>
        </w:rPr>
      </w:pPr>
      <w:r w:rsidRPr="00962EE7">
        <w:t>t)</w:t>
      </w:r>
      <w:r w:rsidRPr="00962EE7">
        <w:tab/>
        <w:t>stärka samordningen mellan EU och Kanada för att ta itu med de mångfasetterade utmaningar som Kinas tillväxt och självsäkra agerande innebär, även på västra Balkan,</w:t>
      </w:r>
    </w:p>
    <w:p w14:paraId="0646C463" w14:textId="77777777" w:rsidR="00DB3CCB" w:rsidRPr="00962EE7" w:rsidRDefault="00DB3CCB" w:rsidP="0003734B">
      <w:pPr>
        <w:pStyle w:val="NormalHanging12a"/>
        <w:ind w:left="1134"/>
        <w:rPr>
          <w:szCs w:val="24"/>
        </w:rPr>
      </w:pPr>
      <w:r w:rsidRPr="00962EE7">
        <w:t>u)</w:t>
      </w:r>
      <w:r w:rsidRPr="00962EE7">
        <w:tab/>
        <w:t xml:space="preserve">föra ett närmare samarbete med Kanada när det gäller att upprätthålla stabiliteten i regionen Indiska oceanen/Stilla havet genom att bygga vidare på Kanadas långvariga närvaro i regionen och anpassa sina respektive strategier för regionen Indiska oceanen/Stilla havet i syfte att främja en fri, öppen, inkluderande och </w:t>
      </w:r>
      <w:r w:rsidRPr="00962EE7">
        <w:lastRenderedPageBreak/>
        <w:t>regelbaserad region, också genom att samarbeta med regionala partner (däribland Sydostasiatiska nationers förbund, Japan och andra) om sjöfartsskydd, konnektivitet och upprätthållande av internationell rätt i Öst- och Sydkinesiska havet och Taiwansundet,</w:t>
      </w:r>
    </w:p>
    <w:p w14:paraId="63E8CA7A" w14:textId="77777777" w:rsidR="00DB3CCB" w:rsidRPr="00962EE7" w:rsidRDefault="00DB3CCB" w:rsidP="0003734B">
      <w:pPr>
        <w:pStyle w:val="NormalHanging12a"/>
        <w:ind w:left="1134"/>
      </w:pPr>
      <w:r w:rsidRPr="00962EE7">
        <w:t>v)</w:t>
      </w:r>
      <w:r w:rsidRPr="00962EE7">
        <w:tab/>
        <w:t>arbeta tillsammans med Kanada för en rättvis och varaktig fred i Mellanöstern i enlighet med internationell rätt genom en framförhandlad tvåstatslösning; intensifiera samarbetet för att säkra tillhandahållande av humanitärt bistånd till civila i Gaza och stödja alla diplomatiska och operativa insatser som syftar till att öka den övergripande regionala stabiliteten, samtidigt som man säkerställer att Hamas inte har någon roll i Gaza i framtiden; motverka illasinnade stater – till exempel Iran – som hotar säkerheten och freden i regionen; förena sina ansträngningar för att stödja en fredlig politisk övergång och skydd av alla befolkningsgrupper i Syrien; samarbeta med Kanada för att bistå Jordanien och Libanon, som påverkas i mycket hög grad av instabiliteten i regionen,</w:t>
      </w:r>
    </w:p>
    <w:p w14:paraId="74AC9338" w14:textId="77777777" w:rsidR="00DB3CCB" w:rsidRPr="00962EE7" w:rsidRDefault="00DB3CCB" w:rsidP="0003734B">
      <w:pPr>
        <w:pStyle w:val="NormalHanging12a"/>
        <w:ind w:left="1134"/>
      </w:pPr>
      <w:r w:rsidRPr="00962EE7">
        <w:t>w)</w:t>
      </w:r>
      <w:r w:rsidRPr="00962EE7">
        <w:tab/>
        <w:t>få till stånd en utrikespolitisk dialog två gånger om året för att möjliggöra strategiskt samarbete i de högst prioriterade frågorna,</w:t>
      </w:r>
    </w:p>
    <w:p w14:paraId="1B98B093" w14:textId="77777777" w:rsidR="00DB3CCB" w:rsidRPr="00962EE7" w:rsidRDefault="00DB3CCB" w:rsidP="0003734B">
      <w:pPr>
        <w:pStyle w:val="NormalHanging12a"/>
        <w:ind w:left="1134"/>
      </w:pPr>
      <w:r w:rsidRPr="00962EE7">
        <w:t>x)</w:t>
      </w:r>
      <w:r w:rsidRPr="00962EE7">
        <w:tab/>
        <w:t>understryka EU:s och Kanadas gemensamma åtagande att främja FN:s agenda för kvinnor, fred och säkerhet genom ökat bilateralt och multilateralt samarbete; uppmuntra båda sidor att utveckla konkreta gemensamma initiativ, kapacitetsuppbyggnadsinsatser och diplomatiska åtgärder som syftar till att integrera jämställdhetsperspektivet i freds</w:t>
      </w:r>
      <w:r w:rsidRPr="00962EE7">
        <w:noBreakHyphen/>
        <w:t xml:space="preserve"> och säkerhetspolitiken,</w:t>
      </w:r>
    </w:p>
    <w:p w14:paraId="4BBABA2A" w14:textId="77777777" w:rsidR="00DB3CCB" w:rsidRPr="00962EE7" w:rsidRDefault="00DB3CCB" w:rsidP="0003734B">
      <w:pPr>
        <w:pStyle w:val="NormalHanging12a"/>
        <w:ind w:left="1134"/>
      </w:pPr>
      <w:r w:rsidRPr="00962EE7">
        <w:t>y)</w:t>
      </w:r>
      <w:r w:rsidRPr="00962EE7">
        <w:tab/>
        <w:t>fortsätta att stödja den gröna alliansen mellan EU och Kanada som ett gemensamt åtagande för ambitiösa miljö- och klimatåtgärder på den globala arenan, inbegripet stöd för ett fullständigt genomförande av målen i det globala Kunming–Montreal-ramverket för biologisk mångfald och Parisavtalet,</w:t>
      </w:r>
    </w:p>
    <w:p w14:paraId="5584B107" w14:textId="77777777" w:rsidR="00DB3CCB" w:rsidRPr="00962EE7" w:rsidRDefault="00DB3CCB" w:rsidP="0003734B">
      <w:pPr>
        <w:pStyle w:val="NormalHanging12a"/>
        <w:ind w:left="1134"/>
        <w:rPr>
          <w:b/>
          <w:i/>
          <w:iCs/>
          <w:szCs w:val="24"/>
        </w:rPr>
      </w:pPr>
      <w:r w:rsidRPr="00962EE7">
        <w:rPr>
          <w:b/>
          <w:i/>
        </w:rPr>
        <w:t>Stärkt multilateralism</w:t>
      </w:r>
    </w:p>
    <w:p w14:paraId="5E88363A" w14:textId="77777777" w:rsidR="00DB3CCB" w:rsidRPr="00962EE7" w:rsidRDefault="00DB3CCB" w:rsidP="0003734B">
      <w:pPr>
        <w:pStyle w:val="NormalHanging12a"/>
        <w:ind w:left="1134"/>
      </w:pPr>
      <w:r w:rsidRPr="00962EE7">
        <w:t>z)</w:t>
      </w:r>
      <w:r w:rsidRPr="00962EE7">
        <w:tab/>
        <w:t>ytterligare stärka samarbetet med Kanada för att försvara multilateralismen i syfte att gemensamt ta itu med den farliga framväxande geopolitiska miljö som påverkar våra gemensamma värderingar, intressen och säkerhetsfrågor, samt den sociala sammanhållningen i våra samhällen,</w:t>
      </w:r>
    </w:p>
    <w:p w14:paraId="2A95435C" w14:textId="77777777" w:rsidR="00DB3CCB" w:rsidRPr="00962EE7" w:rsidRDefault="00DB3CCB" w:rsidP="0003734B">
      <w:pPr>
        <w:pStyle w:val="NormalHanging12a"/>
        <w:ind w:left="1134"/>
        <w:rPr>
          <w:szCs w:val="24"/>
        </w:rPr>
      </w:pPr>
      <w:r w:rsidRPr="00962EE7">
        <w:t>aa)</w:t>
      </w:r>
      <w:r w:rsidRPr="00962EE7">
        <w:tab/>
        <w:t>stärka samarbetet mellan EU och Kanada både i och utanför multilaterala forum genom att samordna ståndpunkter, anpassa initiativ och samarbeta för att försvara gemensamma värderingar,</w:t>
      </w:r>
    </w:p>
    <w:p w14:paraId="3B45F6AA" w14:textId="77777777" w:rsidR="00DB3CCB" w:rsidRPr="00962EE7" w:rsidRDefault="00DB3CCB" w:rsidP="0003734B">
      <w:pPr>
        <w:pStyle w:val="NormalHanging12a"/>
        <w:ind w:left="1134"/>
        <w:rPr>
          <w:szCs w:val="24"/>
        </w:rPr>
      </w:pPr>
      <w:r w:rsidRPr="00962EE7">
        <w:t>ab)</w:t>
      </w:r>
      <w:r w:rsidRPr="00962EE7">
        <w:tab/>
        <w:t>samarbeta nära och konsekvent för att skydda den viktiga roll och funktion som internationella institutioner har, till exempel FN, Internationella brottmålsdomstolen, WTO och Nato, liksom internationella forum, däribland G7 och G20; i detta avseende uppmana Kanada och andra likasinnade länder att fortsätta att följa WTO:s normer i sina bilaterala förbindelser med andra länder än Förenta staterna,</w:t>
      </w:r>
    </w:p>
    <w:p w14:paraId="0614B439" w14:textId="77777777" w:rsidR="00DB3CCB" w:rsidRPr="00962EE7" w:rsidRDefault="00DB3CCB" w:rsidP="0003734B">
      <w:pPr>
        <w:pStyle w:val="NormalHanging12a"/>
        <w:ind w:left="1134"/>
        <w:rPr>
          <w:szCs w:val="24"/>
        </w:rPr>
      </w:pPr>
      <w:r w:rsidRPr="00962EE7">
        <w:t>ac)</w:t>
      </w:r>
      <w:r w:rsidRPr="00962EE7">
        <w:tab/>
        <w:t>samordna insatserna för att få till stånd den strategiska reform av internationella organisationer, exempelvis FN och WTO, som borde ha genomförts för länge sedan,</w:t>
      </w:r>
    </w:p>
    <w:p w14:paraId="6352A7BA" w14:textId="77777777" w:rsidR="00DB3CCB" w:rsidRPr="00962EE7" w:rsidRDefault="00DB3CCB" w:rsidP="0003734B">
      <w:pPr>
        <w:pStyle w:val="NormalHanging12a"/>
        <w:ind w:left="1134"/>
        <w:rPr>
          <w:szCs w:val="24"/>
        </w:rPr>
      </w:pPr>
      <w:r w:rsidRPr="00962EE7">
        <w:lastRenderedPageBreak/>
        <w:t>ad)</w:t>
      </w:r>
      <w:r w:rsidRPr="00962EE7">
        <w:tab/>
        <w:t>intensifiera samarbetet inom multilaterala låneinstitut och stärka synergierna mellan kapitalmarknaderna och kapacitetsuppbyggnaden, bland annat för försvarsfinansiering,</w:t>
      </w:r>
    </w:p>
    <w:p w14:paraId="74F96D2C" w14:textId="77777777" w:rsidR="00DB3CCB" w:rsidRPr="00962EE7" w:rsidRDefault="00DB3CCB" w:rsidP="0003734B">
      <w:pPr>
        <w:pStyle w:val="NormalHanging12a"/>
        <w:ind w:left="1134"/>
        <w:rPr>
          <w:b/>
          <w:i/>
          <w:iCs/>
          <w:szCs w:val="24"/>
        </w:rPr>
      </w:pPr>
      <w:r w:rsidRPr="00962EE7">
        <w:rPr>
          <w:b/>
          <w:i/>
        </w:rPr>
        <w:t>Samarbetet om Arktis</w:t>
      </w:r>
    </w:p>
    <w:p w14:paraId="1FDE32B0" w14:textId="77777777" w:rsidR="00DB3CCB" w:rsidRPr="00962EE7" w:rsidRDefault="00DB3CCB" w:rsidP="0003734B">
      <w:pPr>
        <w:pStyle w:val="NormalHanging12a"/>
        <w:ind w:left="1134"/>
      </w:pPr>
      <w:proofErr w:type="spellStart"/>
      <w:r w:rsidRPr="00962EE7">
        <w:t>ae</w:t>
      </w:r>
      <w:proofErr w:type="spellEnd"/>
      <w:r w:rsidRPr="00962EE7">
        <w:t>)</w:t>
      </w:r>
      <w:r w:rsidRPr="00962EE7">
        <w:tab/>
        <w:t>understryka den arktiska regionens strategiska betydelse för både EU och Kanada, med tanke på dess växande geopolitiska, miljömässiga och ekonomiska relevans; efterlysa ett fördjupat samarbete mellan EU och Kanada om Arktis, till exempel om hållbar ekonomisk utveckling, frihet till sjöfart och sjöfartsskydd, militärt samarbete, vetenskaplig forskning samt miljöövervakning och miljöskydd,</w:t>
      </w:r>
    </w:p>
    <w:p w14:paraId="2A4B4D99" w14:textId="77777777" w:rsidR="00DB3CCB" w:rsidRPr="00962EE7" w:rsidRDefault="00DB3CCB" w:rsidP="0003734B">
      <w:pPr>
        <w:pStyle w:val="NormalHanging12a"/>
        <w:ind w:left="1134"/>
      </w:pPr>
      <w:proofErr w:type="spellStart"/>
      <w:r w:rsidRPr="00962EE7">
        <w:t>af</w:t>
      </w:r>
      <w:proofErr w:type="spellEnd"/>
      <w:r w:rsidRPr="00962EE7">
        <w:t>)</w:t>
      </w:r>
      <w:r w:rsidRPr="00962EE7">
        <w:tab/>
        <w:t>uttrycka oro över militariseringen av Arktis, inbegripet Rysslands utvidgning av den militära infrastrukturen och Kinas tilltagande strategiska närvaro, och samarbeta med Kanada och Förenta staterna för att bevara Arktis som en region med fred och stabilitet med hjälp av alla lämpliga tekniska och rättsliga verktyg, i synnerhet FN:s havsrättskonvention,</w:t>
      </w:r>
    </w:p>
    <w:p w14:paraId="25ECC13F" w14:textId="77777777" w:rsidR="00DB3CCB" w:rsidRPr="00962EE7" w:rsidRDefault="00DB3CCB" w:rsidP="0003734B">
      <w:pPr>
        <w:pStyle w:val="NormalHanging12a"/>
        <w:ind w:left="1134"/>
      </w:pPr>
      <w:r w:rsidRPr="00962EE7">
        <w:t>ag)</w:t>
      </w:r>
      <w:r w:rsidRPr="00962EE7">
        <w:tab/>
        <w:t>stärka den multilaterala styrningen av Arktis med Kanada, inbegripet samarbete genom Arktiska rådet och Nato, och med observatörsstater, för att upprätthålla internationell rätt och säkerställa friheten till sjöfart samt konfliktförebyggande åtgärder; främja initiativ som leds av EU och Kanada för dialog, krishantering och gemensamma övningar,</w:t>
      </w:r>
    </w:p>
    <w:p w14:paraId="06BE5F7D" w14:textId="77777777" w:rsidR="00DB3CCB" w:rsidRPr="00962EE7" w:rsidRDefault="00DB3CCB" w:rsidP="0003734B">
      <w:pPr>
        <w:pStyle w:val="NormalHanging12a"/>
        <w:ind w:left="1134"/>
      </w:pPr>
      <w:r w:rsidRPr="00962EE7">
        <w:t>ah)</w:t>
      </w:r>
      <w:r w:rsidRPr="00962EE7">
        <w:tab/>
        <w:t xml:space="preserve">uppmuntra inrättande av en särskild ram för arktiskt samarbete mellan EU och Kanada med strukturerade dialoger mellan EU:s och Kanadas institutioner för att främja gemensam situationsmedvetenhet och infrastrukturskydd, ta itu med klimat- och miljöutmaningar och skydda de arktiska lokalsamhällenas och urfolkens intressen, rättigheter och arv, </w:t>
      </w:r>
    </w:p>
    <w:p w14:paraId="5061EA78" w14:textId="77777777" w:rsidR="00DB3CCB" w:rsidRPr="00962EE7" w:rsidRDefault="00DB3CCB" w:rsidP="0003734B">
      <w:pPr>
        <w:pStyle w:val="NormalHanging12a"/>
        <w:ind w:left="1134"/>
      </w:pPr>
      <w:proofErr w:type="spellStart"/>
      <w:r w:rsidRPr="00962EE7">
        <w:t>ai</w:t>
      </w:r>
      <w:proofErr w:type="spellEnd"/>
      <w:r w:rsidRPr="00962EE7">
        <w:t>)</w:t>
      </w:r>
      <w:r w:rsidRPr="00962EE7">
        <w:tab/>
        <w:t xml:space="preserve">främja en gynnsam politik för urfolken i Arktis så att dessa kan utöva sitt fria, på förhand inhämtade och välinformerade samtycke i fråga om projekt som påverkar deras mark, territorier eller resurser; inrätta en strukturerad dialog med Kanada om skydd av ekosystem och biologisk mångfald, genomförande av internationella miljönormer, </w:t>
      </w:r>
      <w:proofErr w:type="spellStart"/>
      <w:r w:rsidRPr="00962EE7">
        <w:t>resilient</w:t>
      </w:r>
      <w:proofErr w:type="spellEnd"/>
      <w:r w:rsidRPr="00962EE7">
        <w:t xml:space="preserve"> infrastruktur, sjöfartsskydd och integrering av urfolkens kunskaper i beslutsfattandet; uppmuntra till närmare samarbete på vetenskapliga och kulturella områden för att stärka urfolken,</w:t>
      </w:r>
    </w:p>
    <w:p w14:paraId="576CCFF0" w14:textId="77777777" w:rsidR="00DB3CCB" w:rsidRPr="00962EE7" w:rsidRDefault="00DB3CCB" w:rsidP="0003734B">
      <w:pPr>
        <w:pStyle w:val="NormalHanging12a"/>
        <w:ind w:left="1134"/>
      </w:pPr>
      <w:r w:rsidRPr="00962EE7">
        <w:t>aj)</w:t>
      </w:r>
      <w:r w:rsidRPr="00962EE7">
        <w:tab/>
        <w:t xml:space="preserve">stärka samarbetet mellan EU och Kanada om säkerheten i Arktis, bland annat genom att gemensamt övervaka strategiska sjöfartskorridorer, inrätta gemensamma system för tidig varning och hotbedömningar, ta itu med hybridhot och konventionella hot, exempelvis cyberattacker, GPS-störningar och skuggflottors verksamhet, och skydda kritisk arktisk infrastruktur, inbegripet sjökablar, rörledningar och kommunikationssystem, </w:t>
      </w:r>
    </w:p>
    <w:p w14:paraId="04721BEF" w14:textId="77777777" w:rsidR="00DB3CCB" w:rsidRPr="00962EE7" w:rsidRDefault="00DB3CCB" w:rsidP="0003734B">
      <w:pPr>
        <w:pStyle w:val="NormalHanging12a"/>
        <w:ind w:left="1134"/>
      </w:pPr>
      <w:r w:rsidRPr="00962EE7">
        <w:t>ak)</w:t>
      </w:r>
      <w:r w:rsidRPr="00962EE7">
        <w:tab/>
        <w:t xml:space="preserve">rekommendera att medlemsstaterna överväger nya </w:t>
      </w:r>
      <w:proofErr w:type="spellStart"/>
      <w:r w:rsidRPr="00962EE7">
        <w:t>Pesco</w:t>
      </w:r>
      <w:proofErr w:type="spellEnd"/>
      <w:r w:rsidRPr="00962EE7">
        <w:t xml:space="preserve">-projekt tillsammans med Kanada, till exempel sådana som inriktas på sök- och räddningsinsatser eller miljöinsatser, i syfte att förbättra </w:t>
      </w:r>
      <w:proofErr w:type="spellStart"/>
      <w:r w:rsidRPr="00962EE7">
        <w:t>GSFP:s</w:t>
      </w:r>
      <w:proofErr w:type="spellEnd"/>
      <w:r w:rsidRPr="00962EE7">
        <w:t xml:space="preserve"> förmågor i Arktis; uppmuntra gemensamma simuleringsövningar för EU och Kanada med inriktning på ett brett genomförande av civilskyddsmekanismen i Arktis,</w:t>
      </w:r>
    </w:p>
    <w:p w14:paraId="28A648F6" w14:textId="77777777" w:rsidR="00DB3CCB" w:rsidRPr="00962EE7" w:rsidRDefault="00DB3CCB" w:rsidP="0003734B">
      <w:pPr>
        <w:pStyle w:val="NormalHanging12a"/>
        <w:ind w:left="1134"/>
      </w:pPr>
      <w:r w:rsidRPr="00962EE7">
        <w:lastRenderedPageBreak/>
        <w:t>al)</w:t>
      </w:r>
      <w:r w:rsidRPr="00962EE7">
        <w:tab/>
        <w:t>uppdatera EU:s strategi för sjöfartsskydd och EU:s rymdpolitik för att tillsammans med strategiska partner såsom Kanada hantera nya möjligheter och utmaningar i den arktiska regionen; i samarbete med Kanada bedöma en utvidgning av befintliga satellitprogram så att dessa kommer att inbegripa den arktiska regionens särskilda behov, däribland en förbättrad användning av Copernicus för arktisk övervakning,</w:t>
      </w:r>
    </w:p>
    <w:p w14:paraId="0E49D47F" w14:textId="77777777" w:rsidR="00DB3CCB" w:rsidRPr="00962EE7" w:rsidRDefault="00DB3CCB" w:rsidP="0003734B">
      <w:pPr>
        <w:pStyle w:val="NormalHanging12a"/>
        <w:ind w:left="1134"/>
      </w:pPr>
      <w:proofErr w:type="spellStart"/>
      <w:r w:rsidRPr="00962EE7">
        <w:t>am</w:t>
      </w:r>
      <w:proofErr w:type="spellEnd"/>
      <w:r w:rsidRPr="00962EE7">
        <w:t>)</w:t>
      </w:r>
      <w:r w:rsidRPr="00962EE7">
        <w:tab/>
        <w:t xml:space="preserve">uppmuntra ett nära samarbete med Kanada om utveckling av fiberoptisk infrastruktur för att skapa nya digitala korridorer som också förbättrar </w:t>
      </w:r>
      <w:proofErr w:type="spellStart"/>
      <w:r w:rsidRPr="00962EE7">
        <w:t>konnektiviteten</w:t>
      </w:r>
      <w:proofErr w:type="spellEnd"/>
      <w:r w:rsidRPr="00962EE7">
        <w:t xml:space="preserve"> för de arktiska lokalsamhällena och stöder bättre hälso- och sjukvårdstjänster och sociala tjänster, utbildningsmöjligheter online och tillgång till den globala ekonomin,</w:t>
      </w:r>
    </w:p>
    <w:p w14:paraId="4169B86B" w14:textId="77777777" w:rsidR="00DB3CCB" w:rsidRPr="00962EE7" w:rsidRDefault="00DB3CCB" w:rsidP="0003734B">
      <w:pPr>
        <w:pStyle w:val="NormalHanging12a"/>
        <w:ind w:left="1134"/>
      </w:pPr>
      <w:r w:rsidRPr="00962EE7">
        <w:t>an)</w:t>
      </w:r>
      <w:r w:rsidRPr="00962EE7">
        <w:tab/>
        <w:t xml:space="preserve">stödja insatser för att stärka motståndskraften mot potentiella påtryckningar från den verksamhet som bedrivs av den alltmer närvarande Folkrepubliken Kina och andra aktörer som inte prioriterar en hållbar, regelbaserad mineralutvinning; efterlysa ett djupare samarbete med Kanada, och uppmana arbetsgruppen </w:t>
      </w:r>
      <w:proofErr w:type="spellStart"/>
      <w:r w:rsidRPr="00962EE7">
        <w:t>East</w:t>
      </w:r>
      <w:proofErr w:type="spellEnd"/>
      <w:r w:rsidRPr="00962EE7">
        <w:t xml:space="preserve"> </w:t>
      </w:r>
      <w:proofErr w:type="spellStart"/>
      <w:r w:rsidRPr="00962EE7">
        <w:t>StratCom</w:t>
      </w:r>
      <w:proofErr w:type="spellEnd"/>
      <w:r w:rsidRPr="00962EE7">
        <w:t xml:space="preserve"> att övervaka påverkanskampanjer som är inriktade på beslut om mineralutvinning i Arktis,</w:t>
      </w:r>
    </w:p>
    <w:p w14:paraId="0FD4C820" w14:textId="77777777" w:rsidR="00DB3CCB" w:rsidRPr="00962EE7" w:rsidRDefault="00DB3CCB" w:rsidP="0003734B">
      <w:pPr>
        <w:pStyle w:val="NormalHanging12a"/>
        <w:ind w:left="1134"/>
      </w:pPr>
      <w:proofErr w:type="spellStart"/>
      <w:r w:rsidRPr="00962EE7">
        <w:t>ao</w:t>
      </w:r>
      <w:proofErr w:type="spellEnd"/>
      <w:r w:rsidRPr="00962EE7">
        <w:t>)</w:t>
      </w:r>
      <w:r w:rsidRPr="00962EE7">
        <w:tab/>
        <w:t xml:space="preserve">fördjupa samarbetet med Kanada för att hantera klimatförändringarnas inverkan på Arktis, förbättra anpassningsstrategierna, stödja övervakningsverksamhet och öka investeringarna i forskning, transport, digital infrastruktur och energiinfrastruktur, rymdteknik, hållbar sjöfart, hållbar utvinning och bearbetning av råvaror, förnybar energi och annan koldioxidsnål verksamhet, turism och övergripande </w:t>
      </w:r>
      <w:proofErr w:type="spellStart"/>
      <w:r w:rsidRPr="00962EE7">
        <w:t>resiliens</w:t>
      </w:r>
      <w:proofErr w:type="spellEnd"/>
      <w:r w:rsidRPr="00962EE7">
        <w:t>,</w:t>
      </w:r>
    </w:p>
    <w:p w14:paraId="710E32A3" w14:textId="77777777" w:rsidR="00DB3CCB" w:rsidRPr="00962EE7" w:rsidRDefault="00DB3CCB" w:rsidP="0003734B">
      <w:pPr>
        <w:pStyle w:val="NormalHanging12a"/>
        <w:ind w:left="1134"/>
      </w:pPr>
      <w:proofErr w:type="spellStart"/>
      <w:r w:rsidRPr="00962EE7">
        <w:t>ap</w:t>
      </w:r>
      <w:proofErr w:type="spellEnd"/>
      <w:r w:rsidRPr="00962EE7">
        <w:t>)</w:t>
      </w:r>
      <w:r w:rsidRPr="00962EE7">
        <w:tab/>
        <w:t>främja gemensamma arktiska forskningsinitiativ med Kanada och säkerställa att vetenskapligt samarbete också tar hänsyn till säkerhetsrisker i fråga om dubbla användningsområden; uppmuntra till utbyte av öppna data, klimatövervakning, miljöutveckling och strategisk utveckling samt integrering av forskning i politik och säkerhetsplanering,</w:t>
      </w:r>
    </w:p>
    <w:p w14:paraId="48B98E33" w14:textId="77777777" w:rsidR="00DB3CCB" w:rsidRPr="00962EE7" w:rsidRDefault="00DB3CCB" w:rsidP="0003734B">
      <w:pPr>
        <w:pStyle w:val="NormalHanging12a"/>
        <w:ind w:left="1134"/>
      </w:pPr>
      <w:proofErr w:type="spellStart"/>
      <w:r w:rsidRPr="00962EE7">
        <w:t>aq</w:t>
      </w:r>
      <w:proofErr w:type="spellEnd"/>
      <w:r w:rsidRPr="00962EE7">
        <w:t>)</w:t>
      </w:r>
      <w:r w:rsidRPr="00962EE7">
        <w:tab/>
        <w:t xml:space="preserve">föra ett nära samarbete med Kanada, bland annat genom kanaler såsom koalitionen av villiga, för att stå enade när det gäller att skydda Grönlands självständighet och det grönländska folkets handlingsfrihet, mot bakgrund av det ökade geopolitiska intresset för Arktis, vilket illustreras av </w:t>
      </w:r>
      <w:proofErr w:type="spellStart"/>
      <w:r w:rsidRPr="00962EE7">
        <w:t>Trumpadministrationens</w:t>
      </w:r>
      <w:proofErr w:type="spellEnd"/>
      <w:r w:rsidRPr="00962EE7">
        <w:t xml:space="preserve"> annekteringsretorik, och det ekonomiska och militära tvånget mot Grönland samt Kinas uttalande om att landet är en ”stat nära Arktis”; samarbeta med Kanada för att säkerställa att höga standarder för miljö, samhällsansvar och bolagsstyrning tillämpas vid genomförandet av infrastruktur</w:t>
      </w:r>
      <w:r w:rsidRPr="00962EE7">
        <w:noBreakHyphen/>
        <w:t>och gruvprojekt i Arktis,</w:t>
      </w:r>
    </w:p>
    <w:p w14:paraId="11912574" w14:textId="77777777" w:rsidR="00DB3CCB" w:rsidRPr="00962EE7" w:rsidRDefault="00DB3CCB" w:rsidP="0003734B">
      <w:pPr>
        <w:pStyle w:val="NormalHanging12a"/>
        <w:ind w:left="1134"/>
        <w:rPr>
          <w:szCs w:val="24"/>
        </w:rPr>
      </w:pPr>
      <w:r w:rsidRPr="00962EE7">
        <w:t>ar)</w:t>
      </w:r>
      <w:r w:rsidRPr="00962EE7">
        <w:tab/>
        <w:t>stärka samarbetet mellan EU, Kanada, Danmark och Grönland med utgångspunkt i den historiska överenskommelse som nåtts för att under fredliga former lösa långvariga gränstvister; välkomna undertecknandet av det nya fiskerispecifika samförståndsavtalet mellan Grönland och Nunavut-territoriet i Kanada,</w:t>
      </w:r>
    </w:p>
    <w:p w14:paraId="08568E56" w14:textId="77777777" w:rsidR="00DB3CCB" w:rsidRPr="00962EE7" w:rsidRDefault="00DB3CCB" w:rsidP="0003734B">
      <w:pPr>
        <w:pStyle w:val="NormalHanging12a"/>
        <w:ind w:left="1134"/>
        <w:rPr>
          <w:b/>
          <w:i/>
          <w:iCs/>
          <w:szCs w:val="24"/>
        </w:rPr>
      </w:pPr>
      <w:r w:rsidRPr="00962EE7">
        <w:rPr>
          <w:b/>
          <w:i/>
        </w:rPr>
        <w:t xml:space="preserve">Handel med varor och tjänster, digital handel, investeringar och ekonomisk säkerhet </w:t>
      </w:r>
    </w:p>
    <w:p w14:paraId="7B9F3FBF" w14:textId="77777777" w:rsidR="00DB3CCB" w:rsidRPr="00962EE7" w:rsidRDefault="00DB3CCB" w:rsidP="0003734B">
      <w:pPr>
        <w:pStyle w:val="NormalHanging12a"/>
        <w:ind w:left="1134"/>
        <w:rPr>
          <w:szCs w:val="24"/>
        </w:rPr>
      </w:pPr>
      <w:r w:rsidRPr="00962EE7">
        <w:t>as)</w:t>
      </w:r>
      <w:r w:rsidRPr="00962EE7">
        <w:tab/>
        <w:t xml:space="preserve">främja fördelarna med Ceta inom medlemsstaterna och EU, vilka inbegriper, men </w:t>
      </w:r>
      <w:r w:rsidRPr="00962EE7">
        <w:lastRenderedPageBreak/>
        <w:t>inte är begränsade till, ökat marknadstillträde, förenklad handel och minskade administrativa hinder för små och medelstora företag, i synnerhet genom att öka resurstilldelningen till upplysningskampanjer för EU-företag om handelsmöjligheterna; bygga vidare på Cetas positiva resultat i syfte att arbeta för dess fullständiga genomförande och utnyttja alla möjligheter att stärka handels- och investeringsförbindelserna med Kanada,</w:t>
      </w:r>
    </w:p>
    <w:p w14:paraId="275D7FAB" w14:textId="77777777" w:rsidR="00DB3CCB" w:rsidRPr="00962EE7" w:rsidRDefault="00DB3CCB" w:rsidP="0003734B">
      <w:pPr>
        <w:pStyle w:val="NormalHanging12a"/>
        <w:ind w:left="1134"/>
        <w:rPr>
          <w:szCs w:val="24"/>
        </w:rPr>
      </w:pPr>
      <w:r w:rsidRPr="00962EE7">
        <w:t>at)</w:t>
      </w:r>
      <w:r w:rsidRPr="00962EE7">
        <w:tab/>
        <w:t>ytterligare fördjupa det regleringsmässiga samarbetet på ett transparent sätt och anpassningen genom Cetas protokoll om ömsesidigt godtagande av resultaten av bedömning av överensstämmelse och genom att intensifiera arbetet i Cetas forum för regleringssamarbete,</w:t>
      </w:r>
    </w:p>
    <w:p w14:paraId="48F79192" w14:textId="77777777" w:rsidR="00DB3CCB" w:rsidRPr="00962EE7" w:rsidRDefault="00DB3CCB" w:rsidP="0003734B">
      <w:pPr>
        <w:pStyle w:val="NormalHanging12a"/>
        <w:ind w:left="1134"/>
        <w:rPr>
          <w:szCs w:val="24"/>
        </w:rPr>
      </w:pPr>
      <w:r w:rsidRPr="00962EE7">
        <w:t>au)</w:t>
      </w:r>
      <w:r w:rsidRPr="00962EE7">
        <w:tab/>
        <w:t>utan dröjsmål inleda förhandlingar om ett ambitiöst fristående avtal om digital handel för att komplettera Ceta, vilket inte bör hindra genomförandet av EU:s digitala regelverk eller minska endera partens framtida politiska utrymme för att reglera den digitala sfären, och vilket fullt ut måste respektera de övergripande bestämmelserna om gränsöverskridande dataflöden och skydd av personuppgifter i EU:s handels- och investeringsavtal, säkerställa en hög nivå av konsumentskydd online och förutsägbara regler för näringsidkare och stärka det bilaterala samarbetet i den digitala ekonomin genom att anpassa standarder och infrastruktur, öka konkurrenskraften, säkerställa samarbete om cybersäkerhet, AI och kvantforskning och skapa nya möjligheter inom e</w:t>
      </w:r>
      <w:r w:rsidRPr="00962EE7">
        <w:noBreakHyphen/>
        <w:t>handel och digitala tjänster, i synnerhet för små och medelstora företag,</w:t>
      </w:r>
    </w:p>
    <w:p w14:paraId="5C986EB2" w14:textId="77777777" w:rsidR="00DB3CCB" w:rsidRPr="00962EE7" w:rsidRDefault="00DB3CCB" w:rsidP="0003734B">
      <w:pPr>
        <w:pStyle w:val="NormalHanging12a"/>
        <w:ind w:left="1134"/>
        <w:rPr>
          <w:szCs w:val="24"/>
        </w:rPr>
      </w:pPr>
      <w:r w:rsidRPr="00962EE7">
        <w:t>av)</w:t>
      </w:r>
      <w:r w:rsidRPr="00962EE7">
        <w:tab/>
        <w:t>föra ett nära samarbete med Kanada för att säkerställa kraftfullare upprätthållande, tydligare effektmätning och förbättrad regleringsmässig anpassning i samband med genomförandet av kapitlet om handel och hållbar utveckling i Ceta, bland annat genom att bekämpa tvångsarbete och barnarbete och reflektera över den kanadensiska regeringens förslag om att förbättra verkställbarheten av bestämmelserna om handel och hållbar utveckling,</w:t>
      </w:r>
    </w:p>
    <w:p w14:paraId="5EDB88A4" w14:textId="77777777" w:rsidR="00DB3CCB" w:rsidRPr="00962EE7" w:rsidRDefault="00DB3CCB" w:rsidP="0003734B">
      <w:pPr>
        <w:pStyle w:val="NormalHanging12a"/>
        <w:ind w:left="1134"/>
        <w:rPr>
          <w:szCs w:val="24"/>
        </w:rPr>
      </w:pPr>
      <w:proofErr w:type="spellStart"/>
      <w:r w:rsidRPr="00962EE7">
        <w:t>aw</w:t>
      </w:r>
      <w:proofErr w:type="spellEnd"/>
      <w:r w:rsidRPr="00962EE7">
        <w:t>)</w:t>
      </w:r>
      <w:r w:rsidRPr="00962EE7">
        <w:tab/>
        <w:t>föra ett nära samarbete med Kanada för att öka det civila samhällets tillgång till information och direkta deltagande i kommittéer inom ramen för Ceta, både före och efter vart och ett av mötena i de berörda specialiserade kommittéerna,</w:t>
      </w:r>
    </w:p>
    <w:p w14:paraId="2715DD96" w14:textId="77777777" w:rsidR="00DB3CCB" w:rsidRPr="00962EE7" w:rsidRDefault="00DB3CCB" w:rsidP="0003734B">
      <w:pPr>
        <w:pStyle w:val="NormalHanging12a"/>
        <w:ind w:left="1134"/>
        <w:rPr>
          <w:szCs w:val="24"/>
        </w:rPr>
      </w:pPr>
      <w:r w:rsidRPr="00962EE7">
        <w:t>ax)</w:t>
      </w:r>
      <w:r w:rsidRPr="00962EE7">
        <w:tab/>
        <w:t>föra ett nära samarbete med Kanada för att inom Ceta införa ett system för att samla in könsuppdelade uppgifter om sektorer där kvinnoägda företag är verksamma och om kvinnors handelsverksamheter,</w:t>
      </w:r>
    </w:p>
    <w:p w14:paraId="0CE28D73" w14:textId="77777777" w:rsidR="00DB3CCB" w:rsidRPr="00962EE7" w:rsidRDefault="00DB3CCB" w:rsidP="0003734B">
      <w:pPr>
        <w:pStyle w:val="NormalHanging12a"/>
        <w:ind w:left="1134"/>
        <w:rPr>
          <w:szCs w:val="24"/>
        </w:rPr>
      </w:pPr>
      <w:proofErr w:type="spellStart"/>
      <w:r w:rsidRPr="00962EE7">
        <w:t>ay</w:t>
      </w:r>
      <w:proofErr w:type="spellEnd"/>
      <w:r w:rsidRPr="00962EE7">
        <w:t>)</w:t>
      </w:r>
      <w:r w:rsidRPr="00962EE7">
        <w:tab/>
        <w:t>fortsätta att samarbeta med Kanada för att identifiera ett lämpligt instrument och konkret gemensam verksamhet för att underlätta tillgången till Ceta för urfolk och säkerställa att dessa kan dra nytta av avtalet och att de hörs och involveras på ett meningsfullt sätt, bland annat genom att säkerställa deras fria, på förhand inhämtade och välinformerade samtycke vid genomförandet av Ceta och det strategiska partnerskapet om råvaror,</w:t>
      </w:r>
    </w:p>
    <w:p w14:paraId="6A5932F7" w14:textId="77777777" w:rsidR="00DB3CCB" w:rsidRPr="00962EE7" w:rsidRDefault="00DB3CCB" w:rsidP="0003734B">
      <w:pPr>
        <w:pStyle w:val="NormalHanging12a"/>
        <w:ind w:left="1134"/>
        <w:rPr>
          <w:szCs w:val="24"/>
        </w:rPr>
      </w:pPr>
      <w:proofErr w:type="spellStart"/>
      <w:r w:rsidRPr="00962EE7">
        <w:t>az</w:t>
      </w:r>
      <w:proofErr w:type="spellEnd"/>
      <w:r w:rsidRPr="00962EE7">
        <w:t>)</w:t>
      </w:r>
      <w:r w:rsidRPr="00962EE7">
        <w:tab/>
        <w:t xml:space="preserve">erkänna att </w:t>
      </w:r>
      <w:proofErr w:type="spellStart"/>
      <w:r w:rsidRPr="00962EE7">
        <w:t>Ceta</w:t>
      </w:r>
      <w:proofErr w:type="spellEnd"/>
      <w:r w:rsidRPr="00962EE7">
        <w:t xml:space="preserve"> i hög grad har bidragit till diversifieringen av och </w:t>
      </w:r>
      <w:proofErr w:type="spellStart"/>
      <w:r w:rsidRPr="00962EE7">
        <w:t>resiliensen</w:t>
      </w:r>
      <w:proofErr w:type="spellEnd"/>
      <w:r w:rsidRPr="00962EE7">
        <w:t xml:space="preserve"> i EU:s och Kanadas leveranskedjor och till ökningen av EU:s import av kritiska råvaror med ursprung i Kanada; välkomna alliansen för produktion av kritiska mineraler, ett G7</w:t>
      </w:r>
      <w:r w:rsidRPr="00962EE7">
        <w:noBreakHyphen/>
        <w:t xml:space="preserve">initiativ som under ledning av Kanada syftar till att diversifiera och säkra den globala produktionen och försörjningen av kritiska mineraler; </w:t>
      </w:r>
      <w:r w:rsidRPr="00962EE7">
        <w:lastRenderedPageBreak/>
        <w:t xml:space="preserve">understryka att det strategiska partnerskapet mellan EU och Kanada om råvaror främjar samordning och gemensamma åtgärder vid hanteringen av tredjeländers exportrestriktioner när det gäller kritiska mineraler och andra strategiskt viktiga resurser, och stärker säkerheten i leveranskedjan och den ekonomiska </w:t>
      </w:r>
      <w:proofErr w:type="spellStart"/>
      <w:r w:rsidRPr="00962EE7">
        <w:t>resiliensen</w:t>
      </w:r>
      <w:proofErr w:type="spellEnd"/>
      <w:r w:rsidRPr="00962EE7">
        <w:t xml:space="preserve">; säkerställa vidareutveckling av gemensamma projekt inom ramen för det strategiska partnerskapet mellan EU och Kanada om råvaror, bland annat genom förstärkt tekniskt och vetenskapligt samarbete och ökade infrastrukturinvesteringar, samt ytterligare stärka den industripolitiska dialogen med Kanada, </w:t>
      </w:r>
    </w:p>
    <w:p w14:paraId="7B0524CA" w14:textId="77777777" w:rsidR="00DB3CCB" w:rsidRPr="00962EE7" w:rsidRDefault="00DB3CCB" w:rsidP="0003734B">
      <w:pPr>
        <w:pStyle w:val="NormalHanging12a"/>
        <w:ind w:left="1134"/>
        <w:rPr>
          <w:szCs w:val="24"/>
        </w:rPr>
      </w:pPr>
      <w:proofErr w:type="spellStart"/>
      <w:r w:rsidRPr="00962EE7">
        <w:t>ba</w:t>
      </w:r>
      <w:proofErr w:type="spellEnd"/>
      <w:r w:rsidRPr="00962EE7">
        <w:t>)</w:t>
      </w:r>
      <w:r w:rsidRPr="00962EE7">
        <w:tab/>
        <w:t>främja samarbete med Kanada som en viktig partner för energitrygghet och efterlysa en utvidgning av högnivådialogen mellan EU och Kanada om energi för att utveckla gemensamma åtgärder i fråga om vätgas, annan hållbar koldioxidsnål teknik, skydd av kritisk energiinfrastruktur och hållbar handel med energi; fortsätta det befintliga samarbetet om kärnteknik, inbegripet bränsle- och bränslecykeltjänster, genom förhandlingar om ett moderniserat och heltäckande samarbetsavtal på kärnenergiområdet mellan Kanada och Euratom,</w:t>
      </w:r>
    </w:p>
    <w:p w14:paraId="0F614B47" w14:textId="77777777" w:rsidR="00DB3CCB" w:rsidRPr="00962EE7" w:rsidRDefault="00DB3CCB" w:rsidP="0003734B">
      <w:pPr>
        <w:pStyle w:val="NormalHanging12a"/>
        <w:ind w:left="1134"/>
        <w:rPr>
          <w:szCs w:val="24"/>
        </w:rPr>
      </w:pPr>
      <w:r w:rsidRPr="00962EE7">
        <w:t>bb)</w:t>
      </w:r>
      <w:r w:rsidRPr="00962EE7">
        <w:tab/>
        <w:t xml:space="preserve">utforska potentiellt samarbete mellan EU, Kanada och andra likasinnade geopolitiska enheter och regioner, såsom Latinamerika och regionen Indiska oceanen/Stilla havet, eller inom ramen för det övergripande och progressiva avtalet för Stillahavspartnerskapet, för att främja handel, minska strategiska beroenden, i synnerhet av Kina, öka </w:t>
      </w:r>
      <w:proofErr w:type="spellStart"/>
      <w:r w:rsidRPr="00962EE7">
        <w:t>resiliensen</w:t>
      </w:r>
      <w:proofErr w:type="spellEnd"/>
      <w:r w:rsidRPr="00962EE7">
        <w:t>, hantera globala handelsutmaningar, bland annat genom att stärka stålmarknaden för att bekämpa global överkapacitet, och möjliggöra regelbaserad handel mellan partner; i detta avseende välkomna inledandet av förhandlingar om det övergripande avtalet om ekonomiskt partnerskap mellan Kanada och Indien samt ingåendet av frihandelsavtalet mellan EU och Indien,</w:t>
      </w:r>
    </w:p>
    <w:p w14:paraId="229199DE" w14:textId="77777777" w:rsidR="00DB3CCB" w:rsidRPr="00962EE7" w:rsidRDefault="00DB3CCB" w:rsidP="0003734B">
      <w:pPr>
        <w:pStyle w:val="NormalHanging12a"/>
        <w:ind w:left="1134"/>
        <w:rPr>
          <w:szCs w:val="24"/>
        </w:rPr>
      </w:pPr>
      <w:proofErr w:type="spellStart"/>
      <w:r w:rsidRPr="00962EE7">
        <w:t>bc</w:t>
      </w:r>
      <w:proofErr w:type="spellEnd"/>
      <w:r w:rsidRPr="00962EE7">
        <w:t>)</w:t>
      </w:r>
      <w:r w:rsidRPr="00962EE7">
        <w:tab/>
        <w:t>med eftertryck uppmana de tio medlemsstater som ännu inte har ratificerat Ceta att göra detta skyndsamt; upprepa vikten av en fullständig tillämpning av Ceta som en viktig politisk signal inför tioårsdagen 2027 för dess provisoriska tillämpning, särskilt i den nuvarande geopolitiska miljön, och som en förutsättning för att förverkliga avtalets fulla ekonomiska potential; ha bilaterala kontakter med dessa medlemsstater för att kartlägga deras betänkligheter,</w:t>
      </w:r>
    </w:p>
    <w:p w14:paraId="46C8A088" w14:textId="77777777" w:rsidR="00DB3CCB" w:rsidRPr="00962EE7" w:rsidRDefault="00DB3CCB" w:rsidP="0003734B">
      <w:pPr>
        <w:pStyle w:val="NormalHanging12a"/>
        <w:ind w:left="1134"/>
        <w:rPr>
          <w:b/>
          <w:i/>
          <w:iCs/>
          <w:szCs w:val="24"/>
        </w:rPr>
      </w:pPr>
      <w:r w:rsidRPr="00962EE7">
        <w:rPr>
          <w:b/>
          <w:i/>
        </w:rPr>
        <w:t>Global utveckling</w:t>
      </w:r>
    </w:p>
    <w:p w14:paraId="19C354CE" w14:textId="77777777" w:rsidR="00DB3CCB" w:rsidRPr="00962EE7" w:rsidRDefault="00DB3CCB" w:rsidP="0003734B">
      <w:pPr>
        <w:pStyle w:val="NormalHanging12a"/>
        <w:ind w:left="1134"/>
      </w:pPr>
      <w:r w:rsidRPr="00962EE7">
        <w:t>bd)</w:t>
      </w:r>
      <w:r w:rsidRPr="00962EE7">
        <w:tab/>
        <w:t xml:space="preserve">säkerställa en nära samordning med Kanada för att bidra till att åtgärda kritiska brister, stärka de multilaterala utvecklingsramarna, fungera som en starkare motvikt till auktoritära regimer och motverka de sistnämndas växande globala inflytande, främja en hållbar utveckling, uppnåendet av FN:s Agenda 2030 för hållbar utveckling och målen för hållbar utveckling, och inkluderande internationella partnerskap, samt upprätthålla stödet till det civila samhället och den demokratiska </w:t>
      </w:r>
      <w:proofErr w:type="spellStart"/>
      <w:r w:rsidRPr="00962EE7">
        <w:t>resiliensen</w:t>
      </w:r>
      <w:proofErr w:type="spellEnd"/>
      <w:r w:rsidRPr="00962EE7">
        <w:t>, även i EU:s grannskap och EU:s kandidatländer i synnerhet,</w:t>
      </w:r>
    </w:p>
    <w:p w14:paraId="75991CAD" w14:textId="77777777" w:rsidR="00DB3CCB" w:rsidRPr="00962EE7" w:rsidRDefault="00DB3CCB" w:rsidP="0003734B">
      <w:pPr>
        <w:pStyle w:val="NormalHanging12a"/>
        <w:ind w:left="1134"/>
      </w:pPr>
      <w:r w:rsidRPr="00962EE7">
        <w:t>be)</w:t>
      </w:r>
      <w:r w:rsidRPr="00962EE7">
        <w:tab/>
        <w:t xml:space="preserve">gemensamt hantera framväxande utmaningar som hotar den globala utvecklingen, inbegripet avvecklingen av </w:t>
      </w:r>
      <w:r w:rsidRPr="00962EE7">
        <w:rPr>
          <w:i/>
          <w:iCs/>
        </w:rPr>
        <w:t xml:space="preserve">United States Agency for International </w:t>
      </w:r>
      <w:proofErr w:type="spellStart"/>
      <w:r w:rsidRPr="00962EE7">
        <w:rPr>
          <w:i/>
          <w:iCs/>
        </w:rPr>
        <w:t>Development</w:t>
      </w:r>
      <w:proofErr w:type="spellEnd"/>
      <w:r w:rsidRPr="00962EE7">
        <w:t xml:space="preserve"> (</w:t>
      </w:r>
      <w:proofErr w:type="spellStart"/>
      <w:r w:rsidRPr="00962EE7">
        <w:rPr>
          <w:i/>
          <w:iCs/>
        </w:rPr>
        <w:t>Usaid</w:t>
      </w:r>
      <w:proofErr w:type="spellEnd"/>
      <w:r w:rsidRPr="00962EE7">
        <w:t xml:space="preserve">, Förenta staternas myndighet för internationell utveckling) och avbrottet i det amerikanska </w:t>
      </w:r>
      <w:proofErr w:type="spellStart"/>
      <w:r w:rsidRPr="00962EE7">
        <w:t>utlandsbiståndet</w:t>
      </w:r>
      <w:proofErr w:type="spellEnd"/>
      <w:r w:rsidRPr="00962EE7">
        <w:t>,</w:t>
      </w:r>
    </w:p>
    <w:p w14:paraId="0DEE21BF" w14:textId="77777777" w:rsidR="00DB3CCB" w:rsidRPr="00962EE7" w:rsidRDefault="00DB3CCB" w:rsidP="0003734B">
      <w:pPr>
        <w:pStyle w:val="NormalHanging12a"/>
        <w:ind w:left="1134"/>
        <w:rPr>
          <w:b/>
          <w:i/>
          <w:iCs/>
          <w:szCs w:val="24"/>
        </w:rPr>
      </w:pPr>
      <w:r w:rsidRPr="00962EE7">
        <w:rPr>
          <w:b/>
          <w:i/>
        </w:rPr>
        <w:lastRenderedPageBreak/>
        <w:t>Utbildning, forskning och mellanmänskliga kontakter</w:t>
      </w:r>
    </w:p>
    <w:p w14:paraId="03914A79" w14:textId="77777777" w:rsidR="00DB3CCB" w:rsidRPr="00962EE7" w:rsidRDefault="00DB3CCB" w:rsidP="0003734B">
      <w:pPr>
        <w:pStyle w:val="NormalHanging12a"/>
        <w:ind w:left="1134"/>
        <w:rPr>
          <w:szCs w:val="24"/>
        </w:rPr>
      </w:pPr>
      <w:proofErr w:type="spellStart"/>
      <w:r w:rsidRPr="00962EE7">
        <w:t>bf</w:t>
      </w:r>
      <w:proofErr w:type="spellEnd"/>
      <w:r w:rsidRPr="00962EE7">
        <w:t>)</w:t>
      </w:r>
      <w:r w:rsidRPr="00962EE7">
        <w:tab/>
        <w:t>utan dröjsmål följa upp åtagandet att fördjupa samarbetet på områden såsom mellanmänskliga kontakter, kultur, ungdomsfrågor, stöd till inkluderande politik och ramen för det digitala partnerskapet mellan EU och Kanada,</w:t>
      </w:r>
    </w:p>
    <w:p w14:paraId="77E2AC44" w14:textId="77777777" w:rsidR="00DB3CCB" w:rsidRPr="00962EE7" w:rsidRDefault="00DB3CCB" w:rsidP="0003734B">
      <w:pPr>
        <w:pStyle w:val="NormalHanging12a"/>
        <w:ind w:left="1134"/>
      </w:pPr>
      <w:r w:rsidRPr="00962EE7">
        <w:t>bg)</w:t>
      </w:r>
      <w:r w:rsidRPr="00962EE7">
        <w:tab/>
        <w:t xml:space="preserve">öka </w:t>
      </w:r>
      <w:proofErr w:type="spellStart"/>
      <w:r w:rsidRPr="00962EE7">
        <w:t>resiliensen</w:t>
      </w:r>
      <w:proofErr w:type="spellEnd"/>
      <w:r w:rsidRPr="00962EE7">
        <w:t xml:space="preserve"> på samhällsnivå genom att utnyttja Kanadas associering till Horisont Europa, stärka samarbetet om utbildning, forskning och vetenskaplig samverkan på strategiska områden, främja och uppmuntra transatlantisk rörlighet för studenter, unga entreprenörer, forskare och investerare och unga i allmänhet för arbete, studier och volontärarbete, och ytterligare utforska möjligheterna till mellanmänskliga kontakter och studieutbyten, med utgångspunkt i Erasmus+ och så att man ökar medvetenheten om det instrument som EU-blåkortet för arbetskraftens rörlighet utgör,</w:t>
      </w:r>
    </w:p>
    <w:p w14:paraId="4DF7A244" w14:textId="77777777" w:rsidR="00DB3CCB" w:rsidRPr="00962EE7" w:rsidRDefault="00DB3CCB" w:rsidP="0003734B">
      <w:pPr>
        <w:pStyle w:val="NormalHanging12a"/>
        <w:ind w:left="1134"/>
      </w:pPr>
      <w:r w:rsidRPr="00962EE7">
        <w:t>bh)</w:t>
      </w:r>
      <w:r w:rsidRPr="00962EE7">
        <w:tab/>
        <w:t>föra ett nära samarbete med Kanada om att utvidga det ömsesidiga erkännandet av reglerade yrken till andra sektorer, såsom ingenjörsvetenskap och redovisning, efter antagandet av ett avtal om ömsesidigt erkännande av yrkeskvalifikationer för arkitekter inom ramen för Ceta</w:t>
      </w:r>
      <w:r w:rsidRPr="00962EE7">
        <w:rPr>
          <w:rStyle w:val="FootnoteReference"/>
          <w:bCs/>
          <w:iCs/>
        </w:rPr>
        <w:footnoteReference w:id="4"/>
      </w:r>
      <w:r w:rsidRPr="00962EE7">
        <w:t>,</w:t>
      </w:r>
    </w:p>
    <w:p w14:paraId="3018E465" w14:textId="77777777" w:rsidR="00DB3CCB" w:rsidRPr="00962EE7" w:rsidRDefault="00DB3CCB" w:rsidP="0003734B">
      <w:pPr>
        <w:pStyle w:val="NormalHanging12a"/>
        <w:ind w:left="1134"/>
        <w:rPr>
          <w:b/>
          <w:i/>
          <w:iCs/>
          <w:szCs w:val="24"/>
        </w:rPr>
      </w:pPr>
      <w:r w:rsidRPr="00962EE7">
        <w:rPr>
          <w:b/>
          <w:i/>
        </w:rPr>
        <w:t xml:space="preserve">Främjande av demokratisk </w:t>
      </w:r>
      <w:proofErr w:type="spellStart"/>
      <w:r w:rsidRPr="00962EE7">
        <w:rPr>
          <w:b/>
          <w:i/>
        </w:rPr>
        <w:t>resiliens</w:t>
      </w:r>
      <w:proofErr w:type="spellEnd"/>
      <w:r w:rsidRPr="00962EE7">
        <w:rPr>
          <w:b/>
          <w:i/>
        </w:rPr>
        <w:t xml:space="preserve"> samt jämlikhet</w:t>
      </w:r>
    </w:p>
    <w:p w14:paraId="45FEBA6D" w14:textId="77777777" w:rsidR="00DB3CCB" w:rsidRPr="00962EE7" w:rsidRDefault="00DB3CCB" w:rsidP="0003734B">
      <w:pPr>
        <w:pStyle w:val="NormalHanging12a"/>
        <w:ind w:left="1134"/>
        <w:rPr>
          <w:bCs/>
          <w:szCs w:val="24"/>
        </w:rPr>
      </w:pPr>
      <w:r w:rsidRPr="00962EE7">
        <w:t>bi)</w:t>
      </w:r>
      <w:r w:rsidRPr="00962EE7">
        <w:tab/>
        <w:t xml:space="preserve">samarbeta med Kanada för att främja den demokratiska </w:t>
      </w:r>
      <w:proofErr w:type="spellStart"/>
      <w:r w:rsidRPr="00962EE7">
        <w:t>resiliensen</w:t>
      </w:r>
      <w:proofErr w:type="spellEnd"/>
      <w:r w:rsidRPr="00962EE7">
        <w:t xml:space="preserve"> globalt genom att främja ett helhetsgrepp på säkerhetsområdet och stödja fria medier, valintegritet, social sammanhållning och det civila samhället i sårbara demokratier,</w:t>
      </w:r>
    </w:p>
    <w:p w14:paraId="5842C93A" w14:textId="77777777" w:rsidR="00DB3CCB" w:rsidRPr="00962EE7" w:rsidRDefault="00DB3CCB" w:rsidP="0003734B">
      <w:pPr>
        <w:pStyle w:val="NormalHanging12a"/>
        <w:ind w:left="1134"/>
        <w:rPr>
          <w:bCs/>
          <w:szCs w:val="24"/>
        </w:rPr>
      </w:pPr>
      <w:proofErr w:type="spellStart"/>
      <w:r w:rsidRPr="00962EE7">
        <w:t>bj</w:t>
      </w:r>
      <w:proofErr w:type="spellEnd"/>
      <w:r w:rsidRPr="00962EE7">
        <w:t>)</w:t>
      </w:r>
      <w:r w:rsidRPr="00962EE7">
        <w:tab/>
        <w:t>stärka samarbetet om reglering av sociala medier och teknikjättar, samtidigt som man också stärker lagstiftningen inom ramen för både EU:s förordning om digitala tjänster</w:t>
      </w:r>
      <w:r w:rsidRPr="00962EE7">
        <w:rPr>
          <w:rStyle w:val="FootnoteReference"/>
          <w:bCs/>
          <w:szCs w:val="24"/>
        </w:rPr>
        <w:footnoteReference w:id="5"/>
      </w:r>
      <w:r w:rsidRPr="00962EE7">
        <w:t xml:space="preserve"> och dess förordning om digitala marknader</w:t>
      </w:r>
      <w:r w:rsidRPr="00962EE7">
        <w:rPr>
          <w:rStyle w:val="FootnoteReference"/>
          <w:bCs/>
          <w:szCs w:val="24"/>
        </w:rPr>
        <w:footnoteReference w:id="6"/>
      </w:r>
      <w:r w:rsidRPr="00962EE7">
        <w:t>,</w:t>
      </w:r>
    </w:p>
    <w:p w14:paraId="152EA9EA" w14:textId="77777777" w:rsidR="00DB3CCB" w:rsidRPr="00962EE7" w:rsidRDefault="00DB3CCB" w:rsidP="0003734B">
      <w:pPr>
        <w:pStyle w:val="NormalHanging12a"/>
        <w:ind w:left="1134"/>
        <w:rPr>
          <w:bCs/>
          <w:szCs w:val="24"/>
        </w:rPr>
      </w:pPr>
      <w:proofErr w:type="spellStart"/>
      <w:r w:rsidRPr="00962EE7">
        <w:t>bk</w:t>
      </w:r>
      <w:proofErr w:type="spellEnd"/>
      <w:r w:rsidRPr="00962EE7">
        <w:t>)</w:t>
      </w:r>
      <w:r w:rsidRPr="00962EE7">
        <w:tab/>
        <w:t>föra ett nära samarbete med Kanada för att utveckla ansvarsfull AI-styrning i linje med ramkonventionen om artificiell intelligens och mänskliga rättigheter, demokrati och rättsstatens principer, som både EU och Kanada har undertecknat,</w:t>
      </w:r>
    </w:p>
    <w:p w14:paraId="3A392271" w14:textId="77777777" w:rsidR="00DB3CCB" w:rsidRPr="00962EE7" w:rsidRDefault="00DB3CCB" w:rsidP="0003734B">
      <w:pPr>
        <w:pStyle w:val="NormalHanging12a"/>
        <w:ind w:left="1134"/>
        <w:rPr>
          <w:bCs/>
          <w:szCs w:val="24"/>
        </w:rPr>
      </w:pPr>
      <w:proofErr w:type="spellStart"/>
      <w:r w:rsidRPr="00962EE7">
        <w:t>bl</w:t>
      </w:r>
      <w:proofErr w:type="spellEnd"/>
      <w:r w:rsidRPr="00962EE7">
        <w:t>)</w:t>
      </w:r>
      <w:r w:rsidRPr="00962EE7">
        <w:tab/>
        <w:t xml:space="preserve">främja samarbete och utbyte av god praxis för att gemensamt främja jämlikhet och inkludering av marginaliserade grupper i EU, Kanada och globalt, genom att bygga vidare på initiativ såsom EU:s jämlikhetsunion och Kanadas strategi för </w:t>
      </w:r>
      <w:r w:rsidRPr="00962EE7">
        <w:lastRenderedPageBreak/>
        <w:t>rättvisa för urfolk,</w:t>
      </w:r>
    </w:p>
    <w:p w14:paraId="3CEB17E0" w14:textId="77777777" w:rsidR="00DB3CCB" w:rsidRPr="00962EE7" w:rsidRDefault="00DB3CCB" w:rsidP="0003734B">
      <w:pPr>
        <w:pStyle w:val="NormalHanging12a"/>
        <w:ind w:left="1134"/>
        <w:rPr>
          <w:b/>
          <w:i/>
          <w:iCs/>
          <w:szCs w:val="24"/>
        </w:rPr>
      </w:pPr>
      <w:r w:rsidRPr="00962EE7">
        <w:rPr>
          <w:b/>
          <w:i/>
        </w:rPr>
        <w:t>Avslutande kommentarer</w:t>
      </w:r>
    </w:p>
    <w:p w14:paraId="21FFC983" w14:textId="77777777" w:rsidR="00DB3CCB" w:rsidRPr="00962EE7" w:rsidRDefault="00DB3CCB" w:rsidP="0003734B">
      <w:pPr>
        <w:pStyle w:val="NormalHanging12a"/>
        <w:ind w:left="1134"/>
      </w:pPr>
      <w:proofErr w:type="spellStart"/>
      <w:r w:rsidRPr="00962EE7">
        <w:t>bm</w:t>
      </w:r>
      <w:proofErr w:type="spellEnd"/>
      <w:r w:rsidRPr="00962EE7">
        <w:t>)</w:t>
      </w:r>
      <w:r w:rsidRPr="00962EE7">
        <w:tab/>
        <w:t>fortsätta att tillsammans med Kanada bygga upp ett genuint strategiskt partnerskap baserat på förtroende och gemensamma principer och värderingar förankrade i internationell rätt och demokrati,</w:t>
      </w:r>
    </w:p>
    <w:p w14:paraId="6CE277F6" w14:textId="77777777" w:rsidR="00DB3CCB" w:rsidRPr="00962EE7" w:rsidRDefault="00DB3CCB" w:rsidP="0003734B">
      <w:pPr>
        <w:pStyle w:val="NormalHanging12a"/>
        <w:ind w:left="1134"/>
        <w:rPr>
          <w:szCs w:val="24"/>
        </w:rPr>
      </w:pPr>
      <w:proofErr w:type="spellStart"/>
      <w:r w:rsidRPr="00962EE7">
        <w:t>bn</w:t>
      </w:r>
      <w:proofErr w:type="spellEnd"/>
      <w:r w:rsidRPr="00962EE7">
        <w:t>)</w:t>
      </w:r>
      <w:r w:rsidRPr="00962EE7">
        <w:tab/>
        <w:t>främja engagemang i samarbetsinitiativ inte bara med Kanadas centralregering, utan även med landets regionala och kommunala myndigheter och andra relevanta organ.</w:t>
      </w:r>
    </w:p>
    <w:p w14:paraId="4720FC3F" w14:textId="77777777" w:rsidR="00DB3CCB" w:rsidRPr="00962EE7" w:rsidRDefault="00DB3CCB" w:rsidP="0003734B">
      <w:pPr>
        <w:pStyle w:val="NormalHanging12a"/>
        <w:ind w:left="1134"/>
        <w:jc w:val="center"/>
      </w:pPr>
      <w:r w:rsidRPr="00962EE7">
        <w:t>°</w:t>
      </w:r>
    </w:p>
    <w:p w14:paraId="5779DBAB" w14:textId="77777777" w:rsidR="00DB3CCB" w:rsidRPr="00962EE7" w:rsidRDefault="00DB3CCB" w:rsidP="0003734B">
      <w:pPr>
        <w:pStyle w:val="NormalHanging12a"/>
        <w:ind w:left="1134"/>
        <w:jc w:val="center"/>
      </w:pPr>
      <w:r w:rsidRPr="00962EE7">
        <w:t>°</w:t>
      </w:r>
      <w:r w:rsidRPr="00962EE7">
        <w:tab/>
        <w:t>°</w:t>
      </w:r>
    </w:p>
    <w:p w14:paraId="78ED26B4" w14:textId="78F7ED9C" w:rsidR="00962EE7" w:rsidRPr="00962EE7" w:rsidRDefault="00DB3CCB" w:rsidP="0010677B">
      <w:pPr>
        <w:pStyle w:val="NormalHanging12a"/>
      </w:pPr>
      <w:r w:rsidRPr="00962EE7">
        <w:t>2.</w:t>
      </w:r>
      <w:r w:rsidRPr="00962EE7">
        <w:tab/>
        <w:t>Europaparlamentet uppdrar åt talmannen att översända denna rekommendation till rådet, kommissionen och vice ordföranden för kommissionen/unionens höga representant för utrikes frågor och säkerhetspolitik.</w:t>
      </w:r>
    </w:p>
    <w:p w14:paraId="5BD78B54" w14:textId="720B9926" w:rsidR="00E365E1" w:rsidRPr="00962EE7" w:rsidRDefault="00E365E1" w:rsidP="0003734B">
      <w:pPr>
        <w:ind w:left="1134" w:hanging="567"/>
      </w:pPr>
    </w:p>
    <w:sectPr w:rsidR="00E365E1" w:rsidRPr="00962EE7" w:rsidSect="00962EE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930D1" w14:textId="77777777" w:rsidR="000F4369" w:rsidRPr="00962EE7" w:rsidRDefault="000F4369">
      <w:r w:rsidRPr="00962EE7">
        <w:separator/>
      </w:r>
    </w:p>
  </w:endnote>
  <w:endnote w:type="continuationSeparator" w:id="0">
    <w:p w14:paraId="6F8C2B1C" w14:textId="77777777" w:rsidR="000F4369" w:rsidRPr="00962EE7" w:rsidRDefault="000F4369">
      <w:r w:rsidRPr="00962E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C0CE1" w14:textId="77777777" w:rsidR="00064002" w:rsidRPr="00962EE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E04AB" w14:textId="77777777" w:rsidR="00064002" w:rsidRPr="00962EE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EF4C3" w14:textId="77777777" w:rsidR="00064002" w:rsidRPr="00962E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EB89B" w14:textId="77777777" w:rsidR="000F4369" w:rsidRPr="00962EE7" w:rsidRDefault="000F4369">
      <w:r w:rsidRPr="00962EE7">
        <w:separator/>
      </w:r>
    </w:p>
  </w:footnote>
  <w:footnote w:type="continuationSeparator" w:id="0">
    <w:p w14:paraId="67CECE7A" w14:textId="77777777" w:rsidR="000F4369" w:rsidRPr="00962EE7" w:rsidRDefault="000F4369">
      <w:r w:rsidRPr="00962EE7">
        <w:continuationSeparator/>
      </w:r>
    </w:p>
  </w:footnote>
  <w:footnote w:id="1">
    <w:p w14:paraId="484A6AB1" w14:textId="79F3D8B1" w:rsidR="00DB3CCB" w:rsidRPr="0003734B" w:rsidRDefault="00DB3CCB" w:rsidP="00962EE7">
      <w:pPr>
        <w:pStyle w:val="FootnoteText"/>
        <w:ind w:left="567" w:hanging="567"/>
        <w:rPr>
          <w:sz w:val="24"/>
          <w:lang w:val="fi-FI"/>
        </w:rPr>
      </w:pPr>
      <w:r w:rsidRPr="00962EE7">
        <w:rPr>
          <w:rStyle w:val="FootnoteReference"/>
          <w:sz w:val="24"/>
          <w:lang w:val="sv-SE"/>
        </w:rPr>
        <w:footnoteRef/>
      </w:r>
      <w:r w:rsidR="00962EE7" w:rsidRPr="0003734B">
        <w:rPr>
          <w:sz w:val="24"/>
          <w:lang w:val="fi-FI"/>
        </w:rPr>
        <w:t xml:space="preserve"> </w:t>
      </w:r>
      <w:r w:rsidR="00962EE7" w:rsidRPr="0003734B">
        <w:rPr>
          <w:sz w:val="24"/>
          <w:lang w:val="fi-FI"/>
        </w:rPr>
        <w:tab/>
      </w:r>
      <w:r w:rsidRPr="0003734B">
        <w:rPr>
          <w:sz w:val="24"/>
          <w:lang w:val="fi-FI"/>
        </w:rPr>
        <w:t xml:space="preserve">EUT L 329, 3.12.2016, s. 45, ELI: </w:t>
      </w:r>
      <w:hyperlink r:id="rId1" w:history="1">
        <w:r w:rsidRPr="0003734B">
          <w:rPr>
            <w:rStyle w:val="Hyperlink"/>
            <w:sz w:val="24"/>
            <w:lang w:val="fi-FI"/>
          </w:rPr>
          <w:t>http://data.europa.eu/eli/agree_internation/2016/2118/oj</w:t>
        </w:r>
      </w:hyperlink>
      <w:r w:rsidRPr="0003734B">
        <w:rPr>
          <w:sz w:val="24"/>
          <w:lang w:val="fi-FI"/>
        </w:rPr>
        <w:t>.</w:t>
      </w:r>
    </w:p>
  </w:footnote>
  <w:footnote w:id="2">
    <w:p w14:paraId="69EBD8C6" w14:textId="45E7A5A0" w:rsidR="00DB3CCB" w:rsidRPr="0003734B" w:rsidRDefault="00DB3CCB" w:rsidP="00962EE7">
      <w:pPr>
        <w:pStyle w:val="FootnoteText"/>
        <w:ind w:left="567" w:hanging="567"/>
        <w:rPr>
          <w:sz w:val="24"/>
          <w:lang w:val="fi-FI"/>
        </w:rPr>
      </w:pPr>
      <w:r w:rsidRPr="00962EE7">
        <w:rPr>
          <w:rStyle w:val="FootnoteReference"/>
          <w:sz w:val="24"/>
          <w:lang w:val="sv-SE"/>
        </w:rPr>
        <w:footnoteRef/>
      </w:r>
      <w:r w:rsidR="00962EE7" w:rsidRPr="0003734B">
        <w:rPr>
          <w:sz w:val="24"/>
          <w:lang w:val="fi-FI"/>
        </w:rPr>
        <w:t xml:space="preserve"> </w:t>
      </w:r>
      <w:r w:rsidR="00962EE7" w:rsidRPr="0003734B">
        <w:rPr>
          <w:sz w:val="24"/>
          <w:lang w:val="fi-FI"/>
        </w:rPr>
        <w:tab/>
      </w:r>
      <w:r w:rsidRPr="0003734B">
        <w:rPr>
          <w:sz w:val="24"/>
          <w:lang w:val="fi-FI"/>
        </w:rPr>
        <w:t xml:space="preserve">EUT L 11, 14.1.2017, s. 23, ELI: </w:t>
      </w:r>
      <w:hyperlink r:id="rId2" w:history="1">
        <w:r w:rsidRPr="0003734B">
          <w:rPr>
            <w:rStyle w:val="Hyperlink"/>
            <w:sz w:val="24"/>
            <w:lang w:val="fi-FI"/>
          </w:rPr>
          <w:t>http://data.europa.eu/eli/agree_internation/2017/37/oj</w:t>
        </w:r>
      </w:hyperlink>
      <w:r w:rsidRPr="0003734B">
        <w:rPr>
          <w:sz w:val="24"/>
          <w:lang w:val="fi-FI"/>
        </w:rPr>
        <w:t>.</w:t>
      </w:r>
    </w:p>
  </w:footnote>
  <w:footnote w:id="3">
    <w:p w14:paraId="17E800EB" w14:textId="73B550F5" w:rsidR="00DB3CCB" w:rsidRPr="0003734B" w:rsidRDefault="00DB3CCB" w:rsidP="00962EE7">
      <w:pPr>
        <w:pStyle w:val="FootnoteText"/>
        <w:ind w:left="567" w:hanging="567"/>
        <w:rPr>
          <w:sz w:val="24"/>
          <w:lang w:val="fi-FI"/>
        </w:rPr>
      </w:pPr>
      <w:r w:rsidRPr="00962EE7">
        <w:rPr>
          <w:rStyle w:val="FootnoteReference"/>
          <w:sz w:val="24"/>
          <w:lang w:val="sv-SE"/>
        </w:rPr>
        <w:footnoteRef/>
      </w:r>
      <w:r w:rsidR="00962EE7" w:rsidRPr="0003734B">
        <w:rPr>
          <w:sz w:val="24"/>
          <w:lang w:val="fi-FI"/>
        </w:rPr>
        <w:t xml:space="preserve"> </w:t>
      </w:r>
      <w:r w:rsidR="00962EE7" w:rsidRPr="0003734B">
        <w:rPr>
          <w:sz w:val="24"/>
          <w:lang w:val="fi-FI"/>
        </w:rPr>
        <w:tab/>
      </w:r>
      <w:proofErr w:type="spellStart"/>
      <w:r w:rsidRPr="0003734B">
        <w:rPr>
          <w:sz w:val="24"/>
          <w:lang w:val="fi-FI"/>
        </w:rPr>
        <w:t>Europeiska</w:t>
      </w:r>
      <w:proofErr w:type="spellEnd"/>
      <w:r w:rsidRPr="0003734B">
        <w:rPr>
          <w:sz w:val="24"/>
          <w:lang w:val="fi-FI"/>
        </w:rPr>
        <w:t xml:space="preserve"> </w:t>
      </w:r>
      <w:proofErr w:type="spellStart"/>
      <w:r w:rsidRPr="0003734B">
        <w:rPr>
          <w:sz w:val="24"/>
          <w:lang w:val="fi-FI"/>
        </w:rPr>
        <w:t>kommissionen</w:t>
      </w:r>
      <w:proofErr w:type="spellEnd"/>
      <w:r w:rsidRPr="0003734B">
        <w:rPr>
          <w:sz w:val="24"/>
          <w:lang w:val="fi-FI"/>
        </w:rPr>
        <w:t xml:space="preserve">: </w:t>
      </w:r>
      <w:proofErr w:type="spellStart"/>
      <w:r w:rsidRPr="0003734B">
        <w:rPr>
          <w:sz w:val="24"/>
          <w:lang w:val="fi-FI"/>
        </w:rPr>
        <w:t>Generaldirektoratet</w:t>
      </w:r>
      <w:proofErr w:type="spellEnd"/>
      <w:r w:rsidRPr="0003734B">
        <w:rPr>
          <w:sz w:val="24"/>
          <w:lang w:val="fi-FI"/>
        </w:rPr>
        <w:t xml:space="preserve"> för </w:t>
      </w:r>
      <w:proofErr w:type="spellStart"/>
      <w:r w:rsidRPr="0003734B">
        <w:rPr>
          <w:sz w:val="24"/>
          <w:lang w:val="fi-FI"/>
        </w:rPr>
        <w:t>handel</w:t>
      </w:r>
      <w:proofErr w:type="spellEnd"/>
      <w:r w:rsidRPr="0003734B">
        <w:rPr>
          <w:sz w:val="24"/>
          <w:lang w:val="fi-FI"/>
        </w:rPr>
        <w:t xml:space="preserve"> </w:t>
      </w:r>
      <w:proofErr w:type="spellStart"/>
      <w:r w:rsidRPr="0003734B">
        <w:rPr>
          <w:sz w:val="24"/>
          <w:lang w:val="fi-FI"/>
        </w:rPr>
        <w:t>och</w:t>
      </w:r>
      <w:proofErr w:type="spellEnd"/>
      <w:r w:rsidRPr="0003734B">
        <w:rPr>
          <w:sz w:val="24"/>
          <w:lang w:val="fi-FI"/>
        </w:rPr>
        <w:t xml:space="preserve"> </w:t>
      </w:r>
      <w:proofErr w:type="spellStart"/>
      <w:r w:rsidRPr="0003734B">
        <w:rPr>
          <w:sz w:val="24"/>
          <w:lang w:val="fi-FI"/>
        </w:rPr>
        <w:t>ekonomisk</w:t>
      </w:r>
      <w:proofErr w:type="spellEnd"/>
      <w:r w:rsidRPr="0003734B">
        <w:rPr>
          <w:sz w:val="24"/>
          <w:lang w:val="fi-FI"/>
        </w:rPr>
        <w:t xml:space="preserve"> </w:t>
      </w:r>
      <w:proofErr w:type="spellStart"/>
      <w:r w:rsidRPr="0003734B">
        <w:rPr>
          <w:sz w:val="24"/>
          <w:lang w:val="fi-FI"/>
        </w:rPr>
        <w:t>säkerhet</w:t>
      </w:r>
      <w:proofErr w:type="spellEnd"/>
      <w:r w:rsidRPr="0003734B">
        <w:rPr>
          <w:sz w:val="24"/>
          <w:lang w:val="fi-FI"/>
        </w:rPr>
        <w:t xml:space="preserve"> </w:t>
      </w:r>
      <w:proofErr w:type="spellStart"/>
      <w:r w:rsidRPr="0003734B">
        <w:rPr>
          <w:sz w:val="24"/>
          <w:lang w:val="fi-FI"/>
        </w:rPr>
        <w:t>m.fl</w:t>
      </w:r>
      <w:proofErr w:type="spellEnd"/>
      <w:r w:rsidRPr="0003734B">
        <w:rPr>
          <w:sz w:val="24"/>
          <w:lang w:val="fi-FI"/>
        </w:rPr>
        <w:t xml:space="preserve">., </w:t>
      </w:r>
      <w:proofErr w:type="spellStart"/>
      <w:r w:rsidRPr="0003734B">
        <w:rPr>
          <w:i/>
          <w:iCs/>
          <w:sz w:val="24"/>
          <w:lang w:val="fi-FI"/>
        </w:rPr>
        <w:t>Study</w:t>
      </w:r>
      <w:proofErr w:type="spellEnd"/>
      <w:r w:rsidRPr="0003734B">
        <w:rPr>
          <w:i/>
          <w:iCs/>
          <w:sz w:val="24"/>
          <w:lang w:val="fi-FI"/>
        </w:rPr>
        <w:t xml:space="preserve"> in </w:t>
      </w:r>
      <w:proofErr w:type="spellStart"/>
      <w:r w:rsidRPr="0003734B">
        <w:rPr>
          <w:i/>
          <w:iCs/>
          <w:sz w:val="24"/>
          <w:lang w:val="fi-FI"/>
        </w:rPr>
        <w:t>support</w:t>
      </w:r>
      <w:proofErr w:type="spellEnd"/>
      <w:r w:rsidRPr="0003734B">
        <w:rPr>
          <w:i/>
          <w:iCs/>
          <w:sz w:val="24"/>
          <w:lang w:val="fi-FI"/>
        </w:rPr>
        <w:t xml:space="preserve"> of an ex-post </w:t>
      </w:r>
      <w:proofErr w:type="spellStart"/>
      <w:r w:rsidRPr="0003734B">
        <w:rPr>
          <w:i/>
          <w:iCs/>
          <w:sz w:val="24"/>
          <w:lang w:val="fi-FI"/>
        </w:rPr>
        <w:t>evaluation</w:t>
      </w:r>
      <w:proofErr w:type="spellEnd"/>
      <w:r w:rsidRPr="0003734B">
        <w:rPr>
          <w:i/>
          <w:iCs/>
          <w:sz w:val="24"/>
          <w:lang w:val="fi-FI"/>
        </w:rPr>
        <w:t xml:space="preserve"> of </w:t>
      </w:r>
      <w:proofErr w:type="spellStart"/>
      <w:r w:rsidRPr="0003734B">
        <w:rPr>
          <w:i/>
          <w:iCs/>
          <w:sz w:val="24"/>
          <w:lang w:val="fi-FI"/>
        </w:rPr>
        <w:t>the</w:t>
      </w:r>
      <w:proofErr w:type="spellEnd"/>
      <w:r w:rsidRPr="0003734B">
        <w:rPr>
          <w:i/>
          <w:iCs/>
          <w:sz w:val="24"/>
          <w:lang w:val="fi-FI"/>
        </w:rPr>
        <w:t xml:space="preserve"> Comprehensive </w:t>
      </w:r>
      <w:proofErr w:type="spellStart"/>
      <w:r w:rsidRPr="0003734B">
        <w:rPr>
          <w:i/>
          <w:iCs/>
          <w:sz w:val="24"/>
          <w:lang w:val="fi-FI"/>
        </w:rPr>
        <w:t>Economic</w:t>
      </w:r>
      <w:proofErr w:type="spellEnd"/>
      <w:r w:rsidRPr="0003734B">
        <w:rPr>
          <w:i/>
          <w:iCs/>
          <w:sz w:val="24"/>
          <w:lang w:val="fi-FI"/>
        </w:rPr>
        <w:t xml:space="preserve"> and Trade </w:t>
      </w:r>
      <w:proofErr w:type="spellStart"/>
      <w:r w:rsidRPr="0003734B">
        <w:rPr>
          <w:i/>
          <w:iCs/>
          <w:sz w:val="24"/>
          <w:lang w:val="fi-FI"/>
        </w:rPr>
        <w:t>Agreement</w:t>
      </w:r>
      <w:proofErr w:type="spellEnd"/>
      <w:r w:rsidRPr="0003734B">
        <w:rPr>
          <w:i/>
          <w:iCs/>
          <w:sz w:val="24"/>
          <w:lang w:val="fi-FI"/>
        </w:rPr>
        <w:t xml:space="preserve"> (CETA) </w:t>
      </w:r>
      <w:proofErr w:type="spellStart"/>
      <w:r w:rsidRPr="0003734B">
        <w:rPr>
          <w:i/>
          <w:iCs/>
          <w:sz w:val="24"/>
          <w:lang w:val="fi-FI"/>
        </w:rPr>
        <w:t>between</w:t>
      </w:r>
      <w:proofErr w:type="spellEnd"/>
      <w:r w:rsidRPr="0003734B">
        <w:rPr>
          <w:i/>
          <w:iCs/>
          <w:sz w:val="24"/>
          <w:lang w:val="fi-FI"/>
        </w:rPr>
        <w:t xml:space="preserve"> </w:t>
      </w:r>
      <w:proofErr w:type="spellStart"/>
      <w:r w:rsidRPr="0003734B">
        <w:rPr>
          <w:i/>
          <w:iCs/>
          <w:sz w:val="24"/>
          <w:lang w:val="fi-FI"/>
        </w:rPr>
        <w:t>the</w:t>
      </w:r>
      <w:proofErr w:type="spellEnd"/>
      <w:r w:rsidRPr="0003734B">
        <w:rPr>
          <w:i/>
          <w:iCs/>
          <w:sz w:val="24"/>
          <w:lang w:val="fi-FI"/>
        </w:rPr>
        <w:t xml:space="preserve"> EU and </w:t>
      </w:r>
      <w:proofErr w:type="spellStart"/>
      <w:r w:rsidRPr="0003734B">
        <w:rPr>
          <w:i/>
          <w:iCs/>
          <w:sz w:val="24"/>
          <w:lang w:val="fi-FI"/>
        </w:rPr>
        <w:t>its</w:t>
      </w:r>
      <w:proofErr w:type="spellEnd"/>
      <w:r w:rsidRPr="0003734B">
        <w:rPr>
          <w:i/>
          <w:iCs/>
          <w:sz w:val="24"/>
          <w:lang w:val="fi-FI"/>
        </w:rPr>
        <w:t xml:space="preserve"> </w:t>
      </w:r>
      <w:proofErr w:type="spellStart"/>
      <w:r w:rsidRPr="0003734B">
        <w:rPr>
          <w:i/>
          <w:iCs/>
          <w:sz w:val="24"/>
          <w:lang w:val="fi-FI"/>
        </w:rPr>
        <w:t>Member</w:t>
      </w:r>
      <w:proofErr w:type="spellEnd"/>
      <w:r w:rsidRPr="0003734B">
        <w:rPr>
          <w:i/>
          <w:iCs/>
          <w:sz w:val="24"/>
          <w:lang w:val="fi-FI"/>
        </w:rPr>
        <w:t xml:space="preserve"> </w:t>
      </w:r>
      <w:proofErr w:type="spellStart"/>
      <w:r w:rsidRPr="0003734B">
        <w:rPr>
          <w:i/>
          <w:iCs/>
          <w:sz w:val="24"/>
          <w:lang w:val="fi-FI"/>
        </w:rPr>
        <w:t>States</w:t>
      </w:r>
      <w:proofErr w:type="spellEnd"/>
      <w:r w:rsidRPr="0003734B">
        <w:rPr>
          <w:i/>
          <w:iCs/>
          <w:sz w:val="24"/>
          <w:lang w:val="fi-FI"/>
        </w:rPr>
        <w:t xml:space="preserve"> and Canada</w:t>
      </w:r>
      <w:r w:rsidRPr="0003734B">
        <w:rPr>
          <w:sz w:val="24"/>
          <w:lang w:val="fi-FI"/>
        </w:rPr>
        <w:t xml:space="preserve"> – </w:t>
      </w:r>
      <w:proofErr w:type="spellStart"/>
      <w:r w:rsidRPr="0003734B">
        <w:rPr>
          <w:sz w:val="24"/>
          <w:lang w:val="fi-FI"/>
        </w:rPr>
        <w:t>slutlig</w:t>
      </w:r>
      <w:proofErr w:type="spellEnd"/>
      <w:r w:rsidRPr="0003734B">
        <w:rPr>
          <w:sz w:val="24"/>
          <w:lang w:val="fi-FI"/>
        </w:rPr>
        <w:t xml:space="preserve"> </w:t>
      </w:r>
      <w:proofErr w:type="spellStart"/>
      <w:r w:rsidRPr="0003734B">
        <w:rPr>
          <w:sz w:val="24"/>
          <w:lang w:val="fi-FI"/>
        </w:rPr>
        <w:t>rapport</w:t>
      </w:r>
      <w:proofErr w:type="spellEnd"/>
      <w:r w:rsidRPr="0003734B">
        <w:rPr>
          <w:sz w:val="24"/>
          <w:lang w:val="fi-FI"/>
        </w:rPr>
        <w:t xml:space="preserve"> – </w:t>
      </w:r>
      <w:proofErr w:type="spellStart"/>
      <w:r w:rsidRPr="0003734B">
        <w:rPr>
          <w:sz w:val="24"/>
          <w:lang w:val="fi-FI"/>
        </w:rPr>
        <w:t>bilagor</w:t>
      </w:r>
      <w:proofErr w:type="spellEnd"/>
      <w:r w:rsidRPr="0003734B">
        <w:rPr>
          <w:sz w:val="24"/>
          <w:lang w:val="fi-FI"/>
        </w:rPr>
        <w:t xml:space="preserve">, </w:t>
      </w:r>
      <w:proofErr w:type="spellStart"/>
      <w:r w:rsidRPr="0003734B">
        <w:rPr>
          <w:sz w:val="24"/>
          <w:lang w:val="fi-FI"/>
        </w:rPr>
        <w:t>Europeiska</w:t>
      </w:r>
      <w:proofErr w:type="spellEnd"/>
      <w:r w:rsidRPr="0003734B">
        <w:rPr>
          <w:sz w:val="24"/>
          <w:lang w:val="fi-FI"/>
        </w:rPr>
        <w:t xml:space="preserve"> </w:t>
      </w:r>
      <w:proofErr w:type="spellStart"/>
      <w:r w:rsidRPr="0003734B">
        <w:rPr>
          <w:sz w:val="24"/>
          <w:lang w:val="fi-FI"/>
        </w:rPr>
        <w:t>unionens</w:t>
      </w:r>
      <w:proofErr w:type="spellEnd"/>
      <w:r w:rsidRPr="0003734B">
        <w:rPr>
          <w:sz w:val="24"/>
          <w:lang w:val="fi-FI"/>
        </w:rPr>
        <w:t xml:space="preserve"> </w:t>
      </w:r>
      <w:proofErr w:type="spellStart"/>
      <w:r w:rsidRPr="0003734B">
        <w:rPr>
          <w:sz w:val="24"/>
          <w:lang w:val="fi-FI"/>
        </w:rPr>
        <w:t>publikationsbyrå</w:t>
      </w:r>
      <w:proofErr w:type="spellEnd"/>
      <w:r w:rsidRPr="0003734B">
        <w:rPr>
          <w:sz w:val="24"/>
          <w:lang w:val="fi-FI"/>
        </w:rPr>
        <w:t xml:space="preserve">, 2025, </w:t>
      </w:r>
      <w:hyperlink r:id="rId3" w:history="1">
        <w:r w:rsidRPr="0003734B">
          <w:rPr>
            <w:rStyle w:val="Hyperlink"/>
            <w:sz w:val="24"/>
            <w:lang w:val="fi-FI"/>
          </w:rPr>
          <w:t>https://data.europa.eu/doi/10.2781/9705637</w:t>
        </w:r>
      </w:hyperlink>
      <w:r w:rsidRPr="0003734B">
        <w:rPr>
          <w:rStyle w:val="Hyperlink"/>
          <w:sz w:val="24"/>
          <w:lang w:val="fi-FI"/>
        </w:rPr>
        <w:t>.</w:t>
      </w:r>
    </w:p>
  </w:footnote>
  <w:footnote w:id="4">
    <w:p w14:paraId="3A77FACF" w14:textId="40EB42E6" w:rsidR="00DB3CCB" w:rsidRPr="00962EE7" w:rsidRDefault="00DB3CCB" w:rsidP="00962EE7">
      <w:pPr>
        <w:pStyle w:val="FootnoteText"/>
        <w:ind w:left="567" w:hanging="567"/>
        <w:rPr>
          <w:color w:val="0563C1" w:themeColor="hyperlink"/>
          <w:sz w:val="24"/>
          <w:szCs w:val="24"/>
          <w:u w:val="single"/>
          <w:lang w:val="sv-SE"/>
        </w:rPr>
      </w:pPr>
      <w:r w:rsidRPr="00962EE7">
        <w:rPr>
          <w:rStyle w:val="FootnoteReference"/>
          <w:sz w:val="24"/>
          <w:lang w:val="sv-SE"/>
        </w:rPr>
        <w:footnoteRef/>
      </w:r>
      <w:r w:rsidR="00962EE7" w:rsidRPr="00962EE7">
        <w:rPr>
          <w:sz w:val="24"/>
          <w:lang w:val="sv-SE"/>
        </w:rPr>
        <w:t xml:space="preserve"> </w:t>
      </w:r>
      <w:r w:rsidR="00962EE7" w:rsidRPr="00962EE7">
        <w:rPr>
          <w:sz w:val="24"/>
          <w:lang w:val="sv-SE"/>
        </w:rPr>
        <w:tab/>
      </w:r>
      <w:r w:rsidRPr="00962EE7">
        <w:rPr>
          <w:sz w:val="24"/>
          <w:lang w:val="sv-SE"/>
        </w:rPr>
        <w:t>Beslut nr 1/2024 av gemensamma kommittén för ömsesidigt erkännande av yrkesmässiga kvalifikationer av den 10 oktober 2024 om ett avtal om ömsesidigt erkännande av yrkeskvalifikationer för arkitekter (EUT L, 2024/2873, 14.11.2024, ELI:</w:t>
      </w:r>
      <w:r w:rsidRPr="00962EE7">
        <w:rPr>
          <w:b/>
          <w:sz w:val="24"/>
          <w:lang w:val="sv-SE"/>
        </w:rPr>
        <w:t xml:space="preserve"> </w:t>
      </w:r>
      <w:hyperlink r:id="rId4" w:history="1">
        <w:r w:rsidRPr="00962EE7">
          <w:rPr>
            <w:rStyle w:val="Hyperlink"/>
            <w:sz w:val="24"/>
            <w:lang w:val="sv-SE"/>
          </w:rPr>
          <w:t>http://data.europa.eu/eli/dec/2024/2873/oj</w:t>
        </w:r>
      </w:hyperlink>
      <w:r w:rsidRPr="00962EE7">
        <w:rPr>
          <w:rStyle w:val="Hyperlink"/>
          <w:sz w:val="24"/>
          <w:lang w:val="sv-SE"/>
        </w:rPr>
        <w:t>)</w:t>
      </w:r>
      <w:r w:rsidRPr="00962EE7">
        <w:rPr>
          <w:sz w:val="24"/>
          <w:lang w:val="sv-SE"/>
        </w:rPr>
        <w:t>.</w:t>
      </w:r>
    </w:p>
  </w:footnote>
  <w:footnote w:id="5">
    <w:p w14:paraId="27DD9CF6" w14:textId="65BAEAC5" w:rsidR="00DB3CCB" w:rsidRPr="00962EE7" w:rsidRDefault="00DB3CCB" w:rsidP="00962EE7">
      <w:pPr>
        <w:pStyle w:val="FootnoteText"/>
        <w:ind w:left="567" w:hanging="567"/>
        <w:rPr>
          <w:sz w:val="24"/>
          <w:lang w:val="sv-SE"/>
        </w:rPr>
      </w:pPr>
      <w:r w:rsidRPr="00962EE7">
        <w:rPr>
          <w:rStyle w:val="FootnoteReference"/>
          <w:sz w:val="24"/>
          <w:lang w:val="sv-SE"/>
        </w:rPr>
        <w:footnoteRef/>
      </w:r>
      <w:r w:rsidR="00962EE7" w:rsidRPr="00962EE7">
        <w:rPr>
          <w:sz w:val="24"/>
          <w:lang w:val="sv-SE"/>
        </w:rPr>
        <w:t xml:space="preserve"> </w:t>
      </w:r>
      <w:r w:rsidR="00962EE7" w:rsidRPr="00962EE7">
        <w:rPr>
          <w:sz w:val="24"/>
          <w:lang w:val="sv-SE"/>
        </w:rPr>
        <w:tab/>
      </w:r>
      <w:r w:rsidRPr="00962EE7">
        <w:rPr>
          <w:sz w:val="24"/>
          <w:lang w:val="sv-SE"/>
        </w:rPr>
        <w:t xml:space="preserve">Europaparlamentets och rådets förordning (EU) 2022/2065 av den 19 oktober 2022 om en inre marknad för digitala tjänster och om ändring av direktiv 2000/31/EG (förordningen om digitala tjänster) (EUT L 277, 27.10.2022, s. 1, ELI: </w:t>
      </w:r>
      <w:hyperlink r:id="rId5" w:history="1">
        <w:r w:rsidRPr="00962EE7">
          <w:rPr>
            <w:rStyle w:val="Hyperlink"/>
            <w:sz w:val="24"/>
            <w:lang w:val="sv-SE"/>
          </w:rPr>
          <w:t>http://data.europa.eu/eli/reg/2022/2065/oj</w:t>
        </w:r>
      </w:hyperlink>
      <w:r w:rsidRPr="00962EE7">
        <w:rPr>
          <w:sz w:val="24"/>
          <w:lang w:val="sv-SE"/>
        </w:rPr>
        <w:t xml:space="preserve">). </w:t>
      </w:r>
    </w:p>
  </w:footnote>
  <w:footnote w:id="6">
    <w:p w14:paraId="7BDB40F6" w14:textId="3A99E7DF" w:rsidR="00DB3CCB" w:rsidRPr="00962EE7" w:rsidRDefault="00DB3CCB" w:rsidP="00962EE7">
      <w:pPr>
        <w:pStyle w:val="FootnoteText"/>
        <w:ind w:left="567" w:hanging="567"/>
        <w:rPr>
          <w:sz w:val="24"/>
          <w:lang w:val="sv-SE"/>
        </w:rPr>
      </w:pPr>
      <w:r w:rsidRPr="00962EE7">
        <w:rPr>
          <w:rStyle w:val="FootnoteReference"/>
          <w:sz w:val="24"/>
          <w:lang w:val="sv-SE"/>
        </w:rPr>
        <w:footnoteRef/>
      </w:r>
      <w:r w:rsidR="00962EE7" w:rsidRPr="00962EE7">
        <w:rPr>
          <w:sz w:val="24"/>
          <w:lang w:val="sv-SE"/>
        </w:rPr>
        <w:t xml:space="preserve"> </w:t>
      </w:r>
      <w:r w:rsidR="00962EE7" w:rsidRPr="00962EE7">
        <w:rPr>
          <w:sz w:val="24"/>
          <w:lang w:val="sv-SE"/>
        </w:rPr>
        <w:tab/>
      </w:r>
      <w:r w:rsidRPr="00962EE7">
        <w:rPr>
          <w:sz w:val="24"/>
          <w:lang w:val="sv-SE"/>
        </w:rPr>
        <w:t xml:space="preserve">Europaparlamentets och rådets förordning (EU) 2022/1925 av den 14 september 2022 om öppna och rättvisa marknader inom den digitala sektorn och om ändring av direktiv (EU) 2019/1937 och (EU) 2020/1828 (Förordningen om digitala marknader) (EUT L 265, 12.10.2022, s. 1, ELI: </w:t>
      </w:r>
      <w:hyperlink r:id="rId6" w:history="1">
        <w:r w:rsidRPr="00962EE7">
          <w:rPr>
            <w:rStyle w:val="Hyperlink"/>
            <w:sz w:val="24"/>
            <w:lang w:val="sv-SE"/>
          </w:rPr>
          <w:t>http://data.europa.eu/eli/reg/2022/1925/oj</w:t>
        </w:r>
      </w:hyperlink>
      <w:r w:rsidRPr="00962EE7">
        <w:rPr>
          <w:sz w:val="24"/>
          <w:lang w:val="sv-S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B557C" w14:textId="77777777" w:rsidR="00064002" w:rsidRPr="00962EE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E171B" w14:textId="77777777" w:rsidR="00064002" w:rsidRPr="00962EE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45A25" w14:textId="77777777" w:rsidR="00064002" w:rsidRPr="00962E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5747694">
    <w:abstractNumId w:val="9"/>
  </w:num>
  <w:num w:numId="2" w16cid:durableId="706225698">
    <w:abstractNumId w:val="9"/>
  </w:num>
  <w:num w:numId="3" w16cid:durableId="1827279330">
    <w:abstractNumId w:val="7"/>
  </w:num>
  <w:num w:numId="4" w16cid:durableId="170488577">
    <w:abstractNumId w:val="7"/>
  </w:num>
  <w:num w:numId="5" w16cid:durableId="1663118828">
    <w:abstractNumId w:val="6"/>
  </w:num>
  <w:num w:numId="6" w16cid:durableId="1044868991">
    <w:abstractNumId w:val="6"/>
  </w:num>
  <w:num w:numId="7" w16cid:durableId="270017694">
    <w:abstractNumId w:val="5"/>
  </w:num>
  <w:num w:numId="8" w16cid:durableId="2058160349">
    <w:abstractNumId w:val="5"/>
  </w:num>
  <w:num w:numId="9" w16cid:durableId="1754624260">
    <w:abstractNumId w:val="4"/>
  </w:num>
  <w:num w:numId="10" w16cid:durableId="11877352">
    <w:abstractNumId w:val="4"/>
  </w:num>
  <w:num w:numId="11" w16cid:durableId="1922635655">
    <w:abstractNumId w:val="8"/>
  </w:num>
  <w:num w:numId="12" w16cid:durableId="1767460512">
    <w:abstractNumId w:val="8"/>
  </w:num>
  <w:num w:numId="13" w16cid:durableId="486359550">
    <w:abstractNumId w:val="3"/>
  </w:num>
  <w:num w:numId="14" w16cid:durableId="1849245022">
    <w:abstractNumId w:val="3"/>
  </w:num>
  <w:num w:numId="15" w16cid:durableId="2069648504">
    <w:abstractNumId w:val="2"/>
  </w:num>
  <w:num w:numId="16" w16cid:durableId="788284155">
    <w:abstractNumId w:val="2"/>
  </w:num>
  <w:num w:numId="17" w16cid:durableId="100154769">
    <w:abstractNumId w:val="1"/>
  </w:num>
  <w:num w:numId="18" w16cid:durableId="1858541269">
    <w:abstractNumId w:val="1"/>
  </w:num>
  <w:num w:numId="19" w16cid:durableId="1802186473">
    <w:abstractNumId w:val="0"/>
  </w:num>
  <w:num w:numId="20" w16cid:durableId="22482055">
    <w:abstractNumId w:val="0"/>
  </w:num>
  <w:num w:numId="21" w16cid:durableId="167990584">
    <w:abstractNumId w:val="9"/>
  </w:num>
  <w:num w:numId="22" w16cid:durableId="1408527949">
    <w:abstractNumId w:val="7"/>
  </w:num>
  <w:num w:numId="23" w16cid:durableId="564611784">
    <w:abstractNumId w:val="6"/>
  </w:num>
  <w:num w:numId="24" w16cid:durableId="1108309011">
    <w:abstractNumId w:val="5"/>
  </w:num>
  <w:num w:numId="25" w16cid:durableId="1339893702">
    <w:abstractNumId w:val="4"/>
  </w:num>
  <w:num w:numId="26" w16cid:durableId="758791425">
    <w:abstractNumId w:val="8"/>
  </w:num>
  <w:num w:numId="27" w16cid:durableId="604070325">
    <w:abstractNumId w:val="3"/>
  </w:num>
  <w:num w:numId="28" w16cid:durableId="1615673582">
    <w:abstractNumId w:val="2"/>
  </w:num>
  <w:num w:numId="29" w16cid:durableId="1411464615">
    <w:abstractNumId w:val="1"/>
  </w:num>
  <w:num w:numId="30" w16cid:durableId="1287077932">
    <w:abstractNumId w:val="0"/>
  </w:num>
  <w:num w:numId="31" w16cid:durableId="429349790">
    <w:abstractNumId w:val="9"/>
  </w:num>
  <w:num w:numId="32" w16cid:durableId="536237200">
    <w:abstractNumId w:val="7"/>
  </w:num>
  <w:num w:numId="33" w16cid:durableId="1570844105">
    <w:abstractNumId w:val="6"/>
  </w:num>
  <w:num w:numId="34" w16cid:durableId="1884753062">
    <w:abstractNumId w:val="5"/>
  </w:num>
  <w:num w:numId="35" w16cid:durableId="1197238342">
    <w:abstractNumId w:val="4"/>
  </w:num>
  <w:num w:numId="36" w16cid:durableId="854852685">
    <w:abstractNumId w:val="8"/>
  </w:num>
  <w:num w:numId="37" w16cid:durableId="149716691">
    <w:abstractNumId w:val="3"/>
  </w:num>
  <w:num w:numId="38" w16cid:durableId="660691958">
    <w:abstractNumId w:val="2"/>
  </w:num>
  <w:num w:numId="39" w16cid:durableId="606543604">
    <w:abstractNumId w:val="1"/>
  </w:num>
  <w:num w:numId="40" w16cid:durableId="1992442069">
    <w:abstractNumId w:val="0"/>
  </w:num>
  <w:num w:numId="41" w16cid:durableId="920481283">
    <w:abstractNumId w:val="10"/>
  </w:num>
  <w:num w:numId="42" w16cid:durableId="1001546990">
    <w:abstractNumId w:val="10"/>
  </w:num>
  <w:num w:numId="43" w16cid:durableId="703291610">
    <w:abstractNumId w:val="10"/>
  </w:num>
  <w:num w:numId="44" w16cid:durableId="8677922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5/2026"/>
    <w:docVar w:name="dvlangue" w:val="SV"/>
    <w:docVar w:name="dvnumam" w:val="31"/>
    <w:docVar w:name="dvpe" w:val="778.092"/>
    <w:docVar w:name="dvrapporteur" w:val="Föredragande: "/>
    <w:docVar w:name="dvtitre" w:val="Europaparlamentets resolution av den xx xx 2026 om Europaparlamentets rekommendation till rådet, till kommissionen och till vice ordföranden för kommissionen/unionens höga representant för utrikes frågor och säkerhetspolitik om ett förstärkt samarbete mellan EU och Kanada mot bakgrund av den aktuella geopolitiska situationen, inbegripet hoten mot Kanadas ekonomiska stabilitet och suveränitet(2025/2168(INI))"/>
  </w:docVars>
  <w:rsids>
    <w:rsidRoot w:val="000F4369"/>
    <w:rsid w:val="00002272"/>
    <w:rsid w:val="0003734B"/>
    <w:rsid w:val="00064002"/>
    <w:rsid w:val="000677B9"/>
    <w:rsid w:val="000831BA"/>
    <w:rsid w:val="000A42CC"/>
    <w:rsid w:val="000E7DD9"/>
    <w:rsid w:val="000F4369"/>
    <w:rsid w:val="0010095E"/>
    <w:rsid w:val="0010677B"/>
    <w:rsid w:val="00125B37"/>
    <w:rsid w:val="00154829"/>
    <w:rsid w:val="00187494"/>
    <w:rsid w:val="001F32AE"/>
    <w:rsid w:val="002767FF"/>
    <w:rsid w:val="002B18FE"/>
    <w:rsid w:val="002B5493"/>
    <w:rsid w:val="00343214"/>
    <w:rsid w:val="00361C00"/>
    <w:rsid w:val="00395FA1"/>
    <w:rsid w:val="003E15D4"/>
    <w:rsid w:val="00411CCE"/>
    <w:rsid w:val="0041666E"/>
    <w:rsid w:val="00421060"/>
    <w:rsid w:val="00422644"/>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39F0"/>
    <w:rsid w:val="006F74FA"/>
    <w:rsid w:val="00731ADD"/>
    <w:rsid w:val="00734777"/>
    <w:rsid w:val="00747932"/>
    <w:rsid w:val="00751A4A"/>
    <w:rsid w:val="00756632"/>
    <w:rsid w:val="00762C74"/>
    <w:rsid w:val="00786EC0"/>
    <w:rsid w:val="007D1690"/>
    <w:rsid w:val="007E22AD"/>
    <w:rsid w:val="00817416"/>
    <w:rsid w:val="00842779"/>
    <w:rsid w:val="0085739F"/>
    <w:rsid w:val="00865F67"/>
    <w:rsid w:val="00881A7B"/>
    <w:rsid w:val="008840E5"/>
    <w:rsid w:val="00887B3E"/>
    <w:rsid w:val="008C2AC6"/>
    <w:rsid w:val="00930C23"/>
    <w:rsid w:val="0093193B"/>
    <w:rsid w:val="009509D8"/>
    <w:rsid w:val="00950B64"/>
    <w:rsid w:val="00962EE7"/>
    <w:rsid w:val="00976FE2"/>
    <w:rsid w:val="00981893"/>
    <w:rsid w:val="00A1687D"/>
    <w:rsid w:val="00A43E52"/>
    <w:rsid w:val="00A4678D"/>
    <w:rsid w:val="00A76AE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436A"/>
    <w:rsid w:val="00C941CB"/>
    <w:rsid w:val="00CC2357"/>
    <w:rsid w:val="00CF071A"/>
    <w:rsid w:val="00D004A7"/>
    <w:rsid w:val="00D058B8"/>
    <w:rsid w:val="00D56C11"/>
    <w:rsid w:val="00D834A0"/>
    <w:rsid w:val="00D872DF"/>
    <w:rsid w:val="00D91E21"/>
    <w:rsid w:val="00DA7FCD"/>
    <w:rsid w:val="00DB3CC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81490C"/>
  <w15:chartTrackingRefBased/>
  <w15:docId w15:val="{BD0A55E2-C819-45F4-998A-72722DA88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B3CCB"/>
    <w:pPr>
      <w:spacing w:before="480" w:after="240"/>
    </w:pPr>
  </w:style>
  <w:style w:type="paragraph" w:customStyle="1" w:styleId="NormalHanging12a">
    <w:name w:val="NormalHanging12a"/>
    <w:basedOn w:val="Normal"/>
    <w:link w:val="NormalHanging12aChar"/>
    <w:qFormat/>
    <w:rsid w:val="00DB3CCB"/>
    <w:pPr>
      <w:spacing w:after="240"/>
      <w:ind w:left="567" w:hanging="567"/>
    </w:pPr>
  </w:style>
  <w:style w:type="character" w:styleId="Hyperlink">
    <w:name w:val="Hyperlink"/>
    <w:basedOn w:val="DefaultParagraphFont"/>
    <w:rsid w:val="00DB3CCB"/>
    <w:rPr>
      <w:color w:val="0563C1" w:themeColor="hyperlink"/>
      <w:u w:val="single"/>
    </w:rPr>
  </w:style>
  <w:style w:type="character" w:customStyle="1" w:styleId="NormalHanging12aChar">
    <w:name w:val="NormalHanging12a Char"/>
    <w:basedOn w:val="DefaultParagraphFont"/>
    <w:link w:val="NormalHanging12a"/>
    <w:locked/>
    <w:rsid w:val="00DB3CCB"/>
    <w:rPr>
      <w:sz w:val="24"/>
      <w:lang w:val="sv-SE"/>
    </w:rPr>
  </w:style>
  <w:style w:type="paragraph" w:styleId="Revision">
    <w:name w:val="Revision"/>
    <w:hidden/>
    <w:uiPriority w:val="99"/>
    <w:semiHidden/>
    <w:rsid w:val="00976FE2"/>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ata.europa.eu/doi/10.2781/9705637" TargetMode="External"/><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agree_internation/2016/2118/oj" TargetMode="External"/><Relationship Id="rId6" Type="http://schemas.openxmlformats.org/officeDocument/2006/relationships/hyperlink" Target="http://data.europa.eu/eli/reg/2022/1925/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ec/2024/2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4651</Words>
  <Characters>30137</Characters>
  <Application>Microsoft Office Word</Application>
  <DocSecurity>0</DocSecurity>
  <Lines>251</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2026-03-11T12:57:00Z</dcterms:created>
  <dcterms:modified xsi:type="dcterms:W3CDTF">2026-03-11T12:57:00Z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A10-0035/2026</vt:lpwstr>
  </property>
  <property fmtid="{D5CDD505-2E9C-101B-9397-08002B2CF9AE}" pid="4" name="&lt;Type&gt;">
    <vt:lpwstr>RR</vt:lpwstr>
  </property>
</Properties>
</file>