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506CA" w14:paraId="5E3F5E2E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0698AA0" w14:textId="4DB6C461" w:rsidR="00751A4A" w:rsidRPr="005506CA" w:rsidRDefault="005A2D56" w:rsidP="0010095E">
            <w:pPr>
              <w:pStyle w:val="EPName"/>
            </w:pPr>
            <w:r w:rsidRPr="005506CA">
              <w:t>Европейски</w:t>
            </w:r>
            <w:r w:rsidR="00346C41" w:rsidRPr="005506CA">
              <w:t xml:space="preserve"> парламент</w:t>
            </w:r>
          </w:p>
          <w:p w14:paraId="0BF7D6DF" w14:textId="51CCE896" w:rsidR="00751A4A" w:rsidRPr="005506C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506CA">
              <w:t>2024</w:t>
            </w:r>
            <w:r w:rsidR="005A2D56">
              <w:t> – </w:t>
            </w:r>
            <w:r w:rsidR="00817416" w:rsidRPr="005506CA">
              <w:t>202</w:t>
            </w:r>
            <w:r w:rsidRPr="005506CA">
              <w:t>9</w:t>
            </w:r>
          </w:p>
        </w:tc>
        <w:tc>
          <w:tcPr>
            <w:tcW w:w="2268" w:type="dxa"/>
            <w:shd w:val="clear" w:color="auto" w:fill="auto"/>
          </w:tcPr>
          <w:p w14:paraId="3DFAEC13" w14:textId="77777777" w:rsidR="00751A4A" w:rsidRPr="005506CA" w:rsidRDefault="00187494" w:rsidP="0010095E">
            <w:pPr>
              <w:pStyle w:val="EPLogo"/>
            </w:pPr>
            <w:r w:rsidRPr="005506CA">
              <w:rPr>
                <w:noProof/>
                <w:lang w:eastAsia="ja-JP"/>
              </w:rPr>
              <w:drawing>
                <wp:inline distT="0" distB="0" distL="0" distR="0" wp14:anchorId="0DBA2B94" wp14:editId="3A26784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00CFD47" w14:textId="77777777" w:rsidR="00D058B8" w:rsidRPr="005506CA" w:rsidRDefault="00D058B8" w:rsidP="004C5D52">
      <w:pPr>
        <w:pStyle w:val="LineTop"/>
      </w:pPr>
    </w:p>
    <w:p w14:paraId="4D5D5C37" w14:textId="77777777" w:rsidR="00680577" w:rsidRPr="005506CA" w:rsidRDefault="00346C41" w:rsidP="00680577">
      <w:pPr>
        <w:pStyle w:val="EPBodyTA1"/>
      </w:pPr>
      <w:r w:rsidRPr="005506CA">
        <w:t>ПРИЕТИ ТЕКСТОВЕ</w:t>
      </w:r>
    </w:p>
    <w:p w14:paraId="11A79881" w14:textId="77777777" w:rsidR="00D058B8" w:rsidRPr="005506CA" w:rsidRDefault="00D058B8" w:rsidP="00D058B8">
      <w:pPr>
        <w:pStyle w:val="LineBottom"/>
      </w:pPr>
    </w:p>
    <w:p w14:paraId="65923D44" w14:textId="6DFC2CB3" w:rsidR="00346C41" w:rsidRPr="005506CA" w:rsidRDefault="00346C41" w:rsidP="00346C41">
      <w:pPr>
        <w:pStyle w:val="ATHeading1"/>
      </w:pPr>
      <w:bookmarkStart w:id="0" w:name="TANumber"/>
      <w:r w:rsidRPr="005506CA">
        <w:t>P10_TA(2026)00</w:t>
      </w:r>
      <w:r w:rsidR="000C7546">
        <w:t>79</w:t>
      </w:r>
      <w:bookmarkEnd w:id="0"/>
    </w:p>
    <w:p w14:paraId="36454095" w14:textId="77777777" w:rsidR="00346C41" w:rsidRPr="005506CA" w:rsidRDefault="00346C41" w:rsidP="00346C41">
      <w:pPr>
        <w:pStyle w:val="ATHeading2"/>
      </w:pPr>
      <w:bookmarkStart w:id="1" w:name="title"/>
      <w:r w:rsidRPr="005506CA">
        <w:t>Преодоляване на пречките пред единния пазар в областта на отбраната</w:t>
      </w:r>
      <w:bookmarkEnd w:id="1"/>
    </w:p>
    <w:p w14:paraId="19CB56AB" w14:textId="77777777" w:rsidR="00346C41" w:rsidRPr="005506CA" w:rsidRDefault="00346C41" w:rsidP="00346C41">
      <w:pPr>
        <w:rPr>
          <w:i/>
          <w:vanish/>
        </w:rPr>
      </w:pPr>
      <w:r w:rsidRPr="005506CA">
        <w:rPr>
          <w:i/>
        </w:rPr>
        <w:fldChar w:fldCharType="begin"/>
      </w:r>
      <w:r w:rsidRPr="005506CA">
        <w:rPr>
          <w:i/>
        </w:rPr>
        <w:instrText xml:space="preserve"> TC"(</w:instrText>
      </w:r>
      <w:bookmarkStart w:id="2" w:name="DocNumber"/>
      <w:r w:rsidRPr="005506CA">
        <w:rPr>
          <w:i/>
        </w:rPr>
        <w:instrText>A10-0017/2026</w:instrText>
      </w:r>
      <w:bookmarkEnd w:id="2"/>
      <w:r w:rsidRPr="005506CA">
        <w:rPr>
          <w:i/>
        </w:rPr>
        <w:instrText xml:space="preserve"> - Докладчик: Тобиас Кремер)"\l3 \n&gt; \* MERGEFORMAT </w:instrText>
      </w:r>
      <w:r w:rsidRPr="005506CA">
        <w:rPr>
          <w:i/>
        </w:rPr>
        <w:fldChar w:fldCharType="end"/>
      </w:r>
    </w:p>
    <w:p w14:paraId="28C89CFD" w14:textId="77777777" w:rsidR="00346C41" w:rsidRPr="005506CA" w:rsidRDefault="00346C41" w:rsidP="00346C41">
      <w:pPr>
        <w:rPr>
          <w:vanish/>
        </w:rPr>
      </w:pPr>
      <w:bookmarkStart w:id="3" w:name="Commission"/>
      <w:r w:rsidRPr="005506CA">
        <w:rPr>
          <w:vanish/>
        </w:rPr>
        <w:t>Комисия по сигурност и отбрана</w:t>
      </w:r>
      <w:bookmarkEnd w:id="3"/>
    </w:p>
    <w:p w14:paraId="333B5899" w14:textId="77777777" w:rsidR="00346C41" w:rsidRPr="005506CA" w:rsidRDefault="00346C41" w:rsidP="00346C41">
      <w:pPr>
        <w:rPr>
          <w:vanish/>
        </w:rPr>
      </w:pPr>
      <w:bookmarkStart w:id="4" w:name="PE"/>
      <w:r w:rsidRPr="005506CA">
        <w:rPr>
          <w:vanish/>
        </w:rPr>
        <w:t>PE778.252</w:t>
      </w:r>
      <w:bookmarkEnd w:id="4"/>
    </w:p>
    <w:p w14:paraId="06C2B263" w14:textId="384CB9EE" w:rsidR="00346C41" w:rsidRPr="005506CA" w:rsidRDefault="00346C41" w:rsidP="00346C41">
      <w:pPr>
        <w:pStyle w:val="ATHeading3"/>
      </w:pPr>
      <w:bookmarkStart w:id="5" w:name="Sujet"/>
      <w:r w:rsidRPr="005506CA">
        <w:t xml:space="preserve">Резолюция на Европейския парламент от </w:t>
      </w:r>
      <w:r w:rsidR="005A2D56">
        <w:t>11 март</w:t>
      </w:r>
      <w:r w:rsidR="005A2D56" w:rsidRPr="005506CA">
        <w:t xml:space="preserve"> </w:t>
      </w:r>
      <w:r w:rsidRPr="005506CA">
        <w:t>2026 г. относно преодоляването на пречките пред единния пазар в областта на отбраната</w:t>
      </w:r>
      <w:bookmarkEnd w:id="5"/>
      <w:r w:rsidRPr="005506CA">
        <w:t xml:space="preserve"> </w:t>
      </w:r>
      <w:bookmarkStart w:id="6" w:name="References"/>
      <w:r w:rsidRPr="005506CA">
        <w:t>(2025/2143(INI))</w:t>
      </w:r>
      <w:bookmarkEnd w:id="6"/>
    </w:p>
    <w:p w14:paraId="0009F734" w14:textId="77777777" w:rsidR="00086DFA" w:rsidRPr="005506CA" w:rsidRDefault="00086DFA" w:rsidP="00086DFA">
      <w:pPr>
        <w:pStyle w:val="Normal12"/>
      </w:pPr>
      <w:r w:rsidRPr="005506CA">
        <w:rPr>
          <w:i/>
        </w:rPr>
        <w:t>Европейският парламент</w:t>
      </w:r>
      <w:r w:rsidRPr="005506CA">
        <w:t>,</w:t>
      </w:r>
    </w:p>
    <w:p w14:paraId="195D4249" w14:textId="77777777" w:rsidR="00086DFA" w:rsidRPr="005506CA" w:rsidRDefault="00086DFA" w:rsidP="00086DFA">
      <w:pPr>
        <w:pStyle w:val="NormalHanging"/>
      </w:pPr>
      <w:r w:rsidRPr="005506CA">
        <w:t>–</w:t>
      </w:r>
      <w:r w:rsidRPr="005506CA">
        <w:tab/>
        <w:t>като взе предвид Договора за функционирането на Европейския съюз (ДФЕС),</w:t>
      </w:r>
    </w:p>
    <w:p w14:paraId="29C4AD6F" w14:textId="77777777" w:rsidR="00086DFA" w:rsidRPr="005506CA" w:rsidRDefault="00086DFA" w:rsidP="00086DFA">
      <w:pPr>
        <w:pStyle w:val="NormalHanging"/>
      </w:pPr>
      <w:r w:rsidRPr="005506CA">
        <w:t>–</w:t>
      </w:r>
      <w:r w:rsidRPr="005506CA">
        <w:tab/>
        <w:t>като взе предвид Версайската декларация, приета на неформалното заседание на държавните и правителствените ръководители на 11 март 2022 г.,</w:t>
      </w:r>
    </w:p>
    <w:p w14:paraId="793E4452" w14:textId="77777777" w:rsidR="00086DFA" w:rsidRPr="005506CA" w:rsidRDefault="00086DFA" w:rsidP="00086DFA">
      <w:pPr>
        <w:pStyle w:val="NormalHanging"/>
      </w:pPr>
      <w:r w:rsidRPr="005506CA">
        <w:t>–</w:t>
      </w:r>
      <w:r w:rsidRPr="005506CA">
        <w:tab/>
        <w:t>като взе предвид „Стратегическия компас за сигурността и отбраната – за Европейски съюз, който защитава своите граждани, ценности и интереси и допринася за международния мир и сигурност“, одобрен от Съвета на 21 март 2022 г. и от Европейския съвет на 25 март 2022 г.,</w:t>
      </w:r>
    </w:p>
    <w:p w14:paraId="64CFF2FA" w14:textId="4230953F" w:rsidR="00086DFA" w:rsidRPr="005506CA" w:rsidRDefault="00086DFA" w:rsidP="00086DFA">
      <w:pPr>
        <w:pStyle w:val="NormalHanging"/>
      </w:pPr>
      <w:r w:rsidRPr="005506CA">
        <w:t>–</w:t>
      </w:r>
      <w:r w:rsidRPr="005506CA">
        <w:tab/>
        <w:t>като взе предвид Решение (ОВППС) 2017/2315 на Съвета от 11 декември 2017 г. за установяване на постоянно структурирано сътрудничество (ПСС) и определяне на списъка на участващите държави членки</w:t>
      </w:r>
      <w:r w:rsidR="005A2D56">
        <w:rPr>
          <w:rStyle w:val="FootnoteReference"/>
        </w:rPr>
        <w:footnoteReference w:id="1"/>
      </w:r>
      <w:r w:rsidRPr="005506CA">
        <w:t>,</w:t>
      </w:r>
    </w:p>
    <w:p w14:paraId="18A93DF5" w14:textId="46E8B25A" w:rsidR="00086DFA" w:rsidRPr="005506CA" w:rsidRDefault="00086DFA" w:rsidP="00086DFA">
      <w:pPr>
        <w:pStyle w:val="NormalHanging"/>
      </w:pPr>
      <w:r w:rsidRPr="005506CA">
        <w:t>–</w:t>
      </w:r>
      <w:r w:rsidRPr="005506CA">
        <w:tab/>
        <w:t>като взе предвид Директива 2009/43/ЕО на Европейския парламент и на Съвета от 6 май 2009 г. за опростяване на реда и условията за трансфер на продукти, свързани с отбраната, вътре в Общността</w:t>
      </w:r>
      <w:r w:rsidR="005A2D56">
        <w:rPr>
          <w:rStyle w:val="FootnoteReference"/>
        </w:rPr>
        <w:footnoteReference w:id="2"/>
      </w:r>
      <w:r w:rsidRPr="005506CA">
        <w:t>,</w:t>
      </w:r>
    </w:p>
    <w:p w14:paraId="2FBAB161" w14:textId="431D335F" w:rsidR="00086DFA" w:rsidRPr="005506CA" w:rsidRDefault="00086DFA" w:rsidP="00086DFA">
      <w:pPr>
        <w:pStyle w:val="NormalHanging"/>
      </w:pPr>
      <w:r w:rsidRPr="005506CA">
        <w:t>–</w:t>
      </w:r>
      <w:r w:rsidRPr="005506CA">
        <w:tab/>
        <w:t>като взе предвид Директива 2009/81/ЕО на Европейския парламент и на Съвета от 13 юли 2009 г. относно координирането на процедурите за възлагане на някои поръчки за строителство, доставки и услуги от възлагащи органи или възложители в областта на отбраната и сигурността и за изменение на Директиви 2004/17/ЕО и 2004/18/ЕО</w:t>
      </w:r>
      <w:r w:rsidR="005A2D56">
        <w:rPr>
          <w:rStyle w:val="FootnoteReference"/>
        </w:rPr>
        <w:footnoteReference w:id="3"/>
      </w:r>
      <w:r w:rsidRPr="005506CA">
        <w:t>,</w:t>
      </w:r>
    </w:p>
    <w:p w14:paraId="283393C2" w14:textId="0F0206F7" w:rsidR="00086DFA" w:rsidRPr="005506CA" w:rsidRDefault="00086DFA" w:rsidP="00086DFA">
      <w:pPr>
        <w:pStyle w:val="NormalHanging"/>
      </w:pPr>
      <w:r w:rsidRPr="005506CA">
        <w:t>–</w:t>
      </w:r>
      <w:r w:rsidRPr="005506CA">
        <w:tab/>
        <w:t>като взе предвид Регламент (ЕС) 2021/697 на Европейския парламент и на Съвета от 29 април 2021 г. за създаване на Европейски фонд за отбрана и за отмяна на Регламент (ЕС) 2018/1092</w:t>
      </w:r>
      <w:r w:rsidR="005A2D56">
        <w:rPr>
          <w:rStyle w:val="FootnoteReference"/>
        </w:rPr>
        <w:footnoteReference w:id="4"/>
      </w:r>
      <w:r w:rsidRPr="005506CA">
        <w:t>,</w:t>
      </w:r>
    </w:p>
    <w:p w14:paraId="5DB831D2" w14:textId="6F8BC2EA" w:rsidR="00086DFA" w:rsidRPr="005506CA" w:rsidRDefault="00086DFA" w:rsidP="00086DFA">
      <w:pPr>
        <w:pStyle w:val="NormalHanging"/>
      </w:pPr>
      <w:r w:rsidRPr="005506CA">
        <w:lastRenderedPageBreak/>
        <w:t>–</w:t>
      </w:r>
      <w:r w:rsidRPr="005506CA">
        <w:tab/>
        <w:t>като взе предвид Регламент (ЕС) 2023/1525 на Европейския парламент и на Съвета от 20 юли 2023 г. относно подкрепата за производството на боеприпаси (ASAP)</w:t>
      </w:r>
      <w:r w:rsidR="005A2D56">
        <w:rPr>
          <w:rStyle w:val="FootnoteReference"/>
        </w:rPr>
        <w:footnoteReference w:id="5"/>
      </w:r>
      <w:r w:rsidRPr="005506CA">
        <w:t>,</w:t>
      </w:r>
    </w:p>
    <w:p w14:paraId="7E5C35E7" w14:textId="2E66A527" w:rsidR="00086DFA" w:rsidRPr="005506CA" w:rsidRDefault="00086DFA" w:rsidP="00086DFA">
      <w:pPr>
        <w:pStyle w:val="NormalHanging"/>
      </w:pPr>
      <w:r w:rsidRPr="005506CA">
        <w:t>–</w:t>
      </w:r>
      <w:r w:rsidRPr="005506CA">
        <w:tab/>
        <w:t>като взе предвид Регламент (ЕС) 2023/2418 на Европейския парламент и на Съвета от 18 октомври 2023 г. за създаване на Инструмент за укрепване на европейската отбранителна промишленост чрез съвместни поръчки (АУЕОПСП)</w:t>
      </w:r>
      <w:r w:rsidR="005A2D56">
        <w:rPr>
          <w:rStyle w:val="FootnoteReference"/>
        </w:rPr>
        <w:footnoteReference w:id="6"/>
      </w:r>
      <w:r w:rsidRPr="005506CA">
        <w:t>,</w:t>
      </w:r>
    </w:p>
    <w:p w14:paraId="328CDF59" w14:textId="544F093F" w:rsidR="00086DFA" w:rsidRPr="005506CA" w:rsidRDefault="00086DFA" w:rsidP="00086DFA">
      <w:pPr>
        <w:pStyle w:val="NormalHanging"/>
      </w:pPr>
      <w:r w:rsidRPr="005506CA">
        <w:t>–</w:t>
      </w:r>
      <w:r w:rsidRPr="005506CA">
        <w:tab/>
        <w:t>като взе предвид Регламент (ЕС) 2025/2643 на Европейския парламент и на Съвета от 16 декември 2025 г. за създаване на Програма за европейската отбранителна промишленост и на рамка от мерки за гарантиране на своевременната наличност и доставки на отбранителни продукти („Регламент за ПЕОП“)</w:t>
      </w:r>
      <w:r w:rsidR="005A2D56">
        <w:rPr>
          <w:rStyle w:val="FootnoteReference"/>
        </w:rPr>
        <w:footnoteReference w:id="7"/>
      </w:r>
      <w:r w:rsidRPr="005506CA">
        <w:t>,</w:t>
      </w:r>
    </w:p>
    <w:p w14:paraId="616119B2" w14:textId="14C9043E" w:rsidR="00086DFA" w:rsidRPr="005506CA" w:rsidRDefault="00086DFA" w:rsidP="00086DFA">
      <w:pPr>
        <w:pStyle w:val="NormalHanging"/>
      </w:pPr>
      <w:r w:rsidRPr="005506CA">
        <w:t>–</w:t>
      </w:r>
      <w:r w:rsidRPr="005506CA">
        <w:tab/>
        <w:t>като взе предвид Регламент (ЕС) 2025/2653 на Европейския парламент и на Съвета от 19 декември 2025 г. за изменение на регламенти (ЕС) 2021/694, (ЕС) 2021/695, (ЕС) 2021/697, (ЕС) 2021/1153</w:t>
      </w:r>
      <w:r w:rsidR="004E357D">
        <w:t xml:space="preserve"> </w:t>
      </w:r>
      <w:r w:rsidRPr="005506CA">
        <w:t>и </w:t>
      </w:r>
      <w:r w:rsidR="004E357D">
        <w:t xml:space="preserve">(ЕС) </w:t>
      </w:r>
      <w:r w:rsidRPr="005506CA">
        <w:t xml:space="preserve">2024/795 по отношение на стимулирането на свързаните с отбраната инвестиции в бюджета на ЕС с цел изпълнение на плана </w:t>
      </w:r>
      <w:proofErr w:type="spellStart"/>
      <w:r w:rsidRPr="005506CA">
        <w:t>ReArm</w:t>
      </w:r>
      <w:proofErr w:type="spellEnd"/>
      <w:r w:rsidRPr="005506CA">
        <w:t> Europe</w:t>
      </w:r>
      <w:r w:rsidR="005A2D56">
        <w:rPr>
          <w:rStyle w:val="FootnoteReference"/>
        </w:rPr>
        <w:footnoteReference w:id="8"/>
      </w:r>
      <w:r w:rsidRPr="005506CA">
        <w:t>,</w:t>
      </w:r>
    </w:p>
    <w:p w14:paraId="65239CA0" w14:textId="1ADFAF43" w:rsidR="00086DFA" w:rsidRPr="005506CA" w:rsidRDefault="00086DFA" w:rsidP="00086DFA">
      <w:pPr>
        <w:pStyle w:val="NormalHanging"/>
      </w:pPr>
      <w:r w:rsidRPr="005506CA">
        <w:t>–</w:t>
      </w:r>
      <w:r w:rsidRPr="005506CA">
        <w:tab/>
        <w:t>като взе предвид Регламент (ЕС) 2025/1106 на Съвета от 27 май 2025 г. за създаване на инструмента „Мерки за сигурността на Европа (SAFE) чрез укрепване на европейската отбранителна промишленост“</w:t>
      </w:r>
      <w:r w:rsidR="005A2D56">
        <w:rPr>
          <w:rStyle w:val="FootnoteReference"/>
        </w:rPr>
        <w:footnoteReference w:id="9"/>
      </w:r>
      <w:r w:rsidRPr="005506CA">
        <w:t>,</w:t>
      </w:r>
    </w:p>
    <w:p w14:paraId="223C9399" w14:textId="77777777" w:rsidR="00086DFA" w:rsidRPr="005506CA" w:rsidRDefault="00086DFA" w:rsidP="00086DFA">
      <w:pPr>
        <w:pStyle w:val="NormalHanging"/>
      </w:pPr>
      <w:r w:rsidRPr="005506CA">
        <w:t>–</w:t>
      </w:r>
      <w:r w:rsidRPr="005506CA">
        <w:tab/>
        <w:t>като взе предвид предложението на Комисията от 17 юни 2025 г. за регламент на Европейския парламент и на Съвета относно ускоряването на издаването на разрешения за проекти за отбранителна готовност (COM(2025)0821), предложението на Комисията от 17 юни 2025 г. за регламент на Европейския парламент и на Съвета за изменение на регламенти (ЕО) № 1907/2006, (ЕО) № 1272/2008, (ЕС) № 528/2012, (ЕС) 2019/1021 и (ЕС) 2021/697 по отношение на отбранителната готовност и улесняването на инвестициите в отбраната и на условията за отбранителната промишленост (COM(2025)0822) и предложението на Комисията от 17 юни 2025 г. за директива на Европейския парламент и на Съвета за изменение на директиви 2009/43/ЕО и 2009/81/ЕО по отношение на опростяването на трансферите на свързани с отбраната продукти в рамките на ЕС и по отношение на опростяването на възлагането на обществени поръчки в областта на сигурността и отбраната (COM(2025)0823), като част от сборния пакет от мерки за отбранителната готовност от 17 юни 2025 г.,</w:t>
      </w:r>
    </w:p>
    <w:p w14:paraId="08F71686" w14:textId="77777777" w:rsidR="00086DFA" w:rsidRPr="005506CA" w:rsidRDefault="00086DFA" w:rsidP="00086DFA">
      <w:pPr>
        <w:pStyle w:val="NormalHanging"/>
      </w:pPr>
      <w:r w:rsidRPr="005506CA">
        <w:t>–</w:t>
      </w:r>
      <w:r w:rsidRPr="005506CA">
        <w:tab/>
        <w:t>като взе предвид заключенията на Европейския съвет относно европейската отбрана, и по-специално тези от 6 март 2025 г., 20 март 2025 г., 26 юни 2025 г. и 23 октомври 2025 г.,</w:t>
      </w:r>
    </w:p>
    <w:p w14:paraId="0A27C02A" w14:textId="52A37B93" w:rsidR="00086DFA" w:rsidRPr="005506CA" w:rsidRDefault="00086DFA" w:rsidP="00086DFA">
      <w:pPr>
        <w:pStyle w:val="NormalHanging"/>
      </w:pPr>
      <w:r w:rsidRPr="005506CA">
        <w:t>–</w:t>
      </w:r>
      <w:r w:rsidRPr="005506CA">
        <w:tab/>
        <w:t xml:space="preserve">като взе предвид своята резолюция от 25 март 2021 г. относно изпълнението на Директива 2009/81/ЕО относно възлагането на обществени поръчки в областта на </w:t>
      </w:r>
      <w:r w:rsidRPr="005506CA">
        <w:lastRenderedPageBreak/>
        <w:t>отбраната и сигурността и на Директива 2009/43/ЕО относно трансфера на продукти, свързани с отбраната</w:t>
      </w:r>
      <w:r w:rsidR="005A2D56">
        <w:rPr>
          <w:rStyle w:val="FootnoteReference"/>
        </w:rPr>
        <w:footnoteReference w:id="10"/>
      </w:r>
      <w:r w:rsidRPr="005506CA">
        <w:t>,</w:t>
      </w:r>
    </w:p>
    <w:p w14:paraId="3203C88D" w14:textId="19325460" w:rsidR="00086DFA" w:rsidRPr="005506CA" w:rsidRDefault="00086DFA" w:rsidP="00086DFA">
      <w:pPr>
        <w:pStyle w:val="NormalHanging"/>
      </w:pPr>
      <w:r w:rsidRPr="005506CA">
        <w:t>–</w:t>
      </w:r>
      <w:r w:rsidRPr="005506CA">
        <w:tab/>
        <w:t>като взе предвид своята резолюция от 2 април 2025 г. относно изпълнението на общата външна политика и политика на сигурност – годишен доклад за 2024 г.</w:t>
      </w:r>
      <w:r w:rsidR="005A2D56">
        <w:rPr>
          <w:rStyle w:val="FootnoteReference"/>
        </w:rPr>
        <w:footnoteReference w:id="11"/>
      </w:r>
      <w:r w:rsidRPr="005506CA">
        <w:t>,</w:t>
      </w:r>
    </w:p>
    <w:p w14:paraId="56319307" w14:textId="070E54FD" w:rsidR="00086DFA" w:rsidRPr="005506CA" w:rsidRDefault="00086DFA" w:rsidP="00086DFA">
      <w:pPr>
        <w:pStyle w:val="NormalHanging"/>
      </w:pPr>
      <w:r w:rsidRPr="005506CA">
        <w:t>–</w:t>
      </w:r>
      <w:r w:rsidRPr="005506CA">
        <w:tab/>
        <w:t>като взе предвид своята резолюция от 25 ноември 2025 г. относно институционалните аспекти на Доклада за бъдещето на европейската конкурентоспособност (доклад на Марио Драги)</w:t>
      </w:r>
      <w:r w:rsidR="005A2D56">
        <w:rPr>
          <w:rStyle w:val="FootnoteReference"/>
        </w:rPr>
        <w:footnoteReference w:id="12"/>
      </w:r>
      <w:r w:rsidRPr="005506CA">
        <w:t>,</w:t>
      </w:r>
    </w:p>
    <w:p w14:paraId="46E24A29" w14:textId="77777777" w:rsidR="00086DFA" w:rsidRPr="005506CA" w:rsidRDefault="00086DFA" w:rsidP="00086DFA">
      <w:pPr>
        <w:pStyle w:val="NormalHanging"/>
      </w:pPr>
      <w:r w:rsidRPr="005506CA">
        <w:t>–</w:t>
      </w:r>
      <w:r w:rsidRPr="005506CA">
        <w:tab/>
        <w:t>като взе предвид съвместното съобщение на Комисията и на върховния представител на Съюза по въпросите на външните работи и политиката на сигурност от 5 март 2024 г., озаглавено „Нова стратегия за европейската отбранителна промишленост: Постигане на готовност на ЕС чрез бързо реагираща и устойчива европейска отбранителна промишленост“ (JOIN(2024)0010),</w:t>
      </w:r>
    </w:p>
    <w:p w14:paraId="7243DFD5" w14:textId="77777777" w:rsidR="00086DFA" w:rsidRPr="005506CA" w:rsidRDefault="00086DFA" w:rsidP="00086DFA">
      <w:pPr>
        <w:pStyle w:val="NormalHanging"/>
      </w:pPr>
      <w:r w:rsidRPr="005506CA">
        <w:t>–</w:t>
      </w:r>
      <w:r w:rsidRPr="005506CA">
        <w:tab/>
        <w:t xml:space="preserve">като взе предвид документа с политически насоки за следващата Европейска комисия за периода 2024 – 2029 г., озаглавен „Изборът за Европа“, представен на 18 юли 2025 г. от кандидата за председател на Европейската комисия Урсула фон дер </w:t>
      </w:r>
      <w:proofErr w:type="spellStart"/>
      <w:r w:rsidRPr="005506CA">
        <w:t>Лайен</w:t>
      </w:r>
      <w:proofErr w:type="spellEnd"/>
      <w:r w:rsidRPr="005506CA">
        <w:t>,</w:t>
      </w:r>
    </w:p>
    <w:p w14:paraId="30EEDF86" w14:textId="77777777" w:rsidR="00086DFA" w:rsidRPr="005506CA" w:rsidRDefault="00086DFA" w:rsidP="00086DFA">
      <w:pPr>
        <w:pStyle w:val="NormalHanging"/>
      </w:pPr>
      <w:r w:rsidRPr="005506CA">
        <w:t>–</w:t>
      </w:r>
      <w:r w:rsidRPr="005506CA">
        <w:tab/>
        <w:t xml:space="preserve">като взе предвид доклада на Марио Драги от 9 септември 2024 г., озаглавен „The </w:t>
      </w:r>
      <w:proofErr w:type="spellStart"/>
      <w:r w:rsidRPr="005506CA">
        <w:t>future</w:t>
      </w:r>
      <w:proofErr w:type="spellEnd"/>
      <w:r w:rsidRPr="005506CA">
        <w:t xml:space="preserve"> of </w:t>
      </w:r>
      <w:proofErr w:type="spellStart"/>
      <w:r w:rsidRPr="005506CA">
        <w:t>European</w:t>
      </w:r>
      <w:proofErr w:type="spellEnd"/>
      <w:r w:rsidRPr="005506CA">
        <w:t xml:space="preserve"> </w:t>
      </w:r>
      <w:proofErr w:type="spellStart"/>
      <w:r w:rsidRPr="005506CA">
        <w:t>competitiveness</w:t>
      </w:r>
      <w:proofErr w:type="spellEnd"/>
      <w:r w:rsidRPr="005506CA">
        <w:t>“ („Бъдещето на европейската конкурентоспособност“), и по-специално глава 4 от него относно повишаването на сигурността и намаляването на зависимостите,</w:t>
      </w:r>
    </w:p>
    <w:p w14:paraId="5701D5F2" w14:textId="77777777" w:rsidR="00086DFA" w:rsidRPr="005506CA" w:rsidRDefault="00086DFA" w:rsidP="00086DFA">
      <w:pPr>
        <w:pStyle w:val="NormalHanging"/>
      </w:pPr>
      <w:r w:rsidRPr="005506CA">
        <w:t>–</w:t>
      </w:r>
      <w:r w:rsidRPr="005506CA">
        <w:tab/>
        <w:t xml:space="preserve">като взе предвид доклада на </w:t>
      </w:r>
      <w:proofErr w:type="spellStart"/>
      <w:r w:rsidRPr="005506CA">
        <w:t>Саули</w:t>
      </w:r>
      <w:proofErr w:type="spellEnd"/>
      <w:r w:rsidRPr="005506CA">
        <w:t xml:space="preserve"> </w:t>
      </w:r>
      <w:proofErr w:type="spellStart"/>
      <w:r w:rsidRPr="005506CA">
        <w:t>Нийнистьо</w:t>
      </w:r>
      <w:proofErr w:type="spellEnd"/>
      <w:r w:rsidRPr="005506CA">
        <w:t xml:space="preserve"> от 30 октомври 2024 г., озаглавен „</w:t>
      </w:r>
      <w:proofErr w:type="spellStart"/>
      <w:r w:rsidRPr="005506CA">
        <w:t>Safer</w:t>
      </w:r>
      <w:proofErr w:type="spellEnd"/>
      <w:r w:rsidRPr="005506CA">
        <w:t xml:space="preserve"> </w:t>
      </w:r>
      <w:proofErr w:type="spellStart"/>
      <w:r w:rsidRPr="005506CA">
        <w:t>Together</w:t>
      </w:r>
      <w:proofErr w:type="spellEnd"/>
      <w:r w:rsidRPr="005506CA">
        <w:t xml:space="preserve"> – </w:t>
      </w:r>
      <w:proofErr w:type="spellStart"/>
      <w:r w:rsidRPr="005506CA">
        <w:t>Strengthening</w:t>
      </w:r>
      <w:proofErr w:type="spellEnd"/>
      <w:r w:rsidRPr="005506CA">
        <w:t xml:space="preserve"> Europe“ („Заедно в по-голяма безопасност – Укрепване на гражданската и военната подготвеност и готовност на Европа“) (доклад на </w:t>
      </w:r>
      <w:proofErr w:type="spellStart"/>
      <w:r w:rsidRPr="005506CA">
        <w:t>Саули</w:t>
      </w:r>
      <w:proofErr w:type="spellEnd"/>
      <w:r w:rsidRPr="005506CA">
        <w:t xml:space="preserve"> </w:t>
      </w:r>
      <w:proofErr w:type="spellStart"/>
      <w:r w:rsidRPr="005506CA">
        <w:t>Нийнистьо</w:t>
      </w:r>
      <w:proofErr w:type="spellEnd"/>
      <w:r w:rsidRPr="005506CA">
        <w:t>),</w:t>
      </w:r>
    </w:p>
    <w:p w14:paraId="7C797C94" w14:textId="668B4EF6" w:rsidR="00086DFA" w:rsidRPr="005506CA" w:rsidRDefault="00086DFA" w:rsidP="00086DFA">
      <w:pPr>
        <w:pStyle w:val="NormalHanging"/>
      </w:pPr>
      <w:r w:rsidRPr="005506CA">
        <w:t>–</w:t>
      </w:r>
      <w:r w:rsidRPr="005506CA">
        <w:tab/>
        <w:t>като взе предвид доклада на Енрико Лета от</w:t>
      </w:r>
      <w:r w:rsidR="004E357D">
        <w:t xml:space="preserve"> 10</w:t>
      </w:r>
      <w:r w:rsidRPr="005506CA">
        <w:t xml:space="preserve"> април 2024 г., озаглавен „</w:t>
      </w:r>
      <w:proofErr w:type="spellStart"/>
      <w:r w:rsidRPr="005506CA">
        <w:t>Much</w:t>
      </w:r>
      <w:proofErr w:type="spellEnd"/>
      <w:r w:rsidRPr="005506CA">
        <w:t xml:space="preserve"> </w:t>
      </w:r>
      <w:proofErr w:type="spellStart"/>
      <w:r w:rsidRPr="005506CA">
        <w:t>more</w:t>
      </w:r>
      <w:proofErr w:type="spellEnd"/>
      <w:r w:rsidRPr="005506CA">
        <w:t xml:space="preserve"> </w:t>
      </w:r>
      <w:proofErr w:type="spellStart"/>
      <w:r w:rsidRPr="005506CA">
        <w:t>than</w:t>
      </w:r>
      <w:proofErr w:type="spellEnd"/>
      <w:r w:rsidRPr="005506CA">
        <w:t xml:space="preserve"> a </w:t>
      </w:r>
      <w:proofErr w:type="spellStart"/>
      <w:r w:rsidRPr="005506CA">
        <w:t>market</w:t>
      </w:r>
      <w:proofErr w:type="spellEnd"/>
      <w:r w:rsidRPr="005506CA">
        <w:t xml:space="preserve"> – </w:t>
      </w:r>
      <w:proofErr w:type="spellStart"/>
      <w:r w:rsidRPr="005506CA">
        <w:t>Speed</w:t>
      </w:r>
      <w:proofErr w:type="spellEnd"/>
      <w:r w:rsidRPr="005506CA">
        <w:t xml:space="preserve">, </w:t>
      </w:r>
      <w:proofErr w:type="spellStart"/>
      <w:r w:rsidRPr="005506CA">
        <w:t>Security</w:t>
      </w:r>
      <w:proofErr w:type="spellEnd"/>
      <w:r w:rsidRPr="005506CA">
        <w:t xml:space="preserve">, </w:t>
      </w:r>
      <w:proofErr w:type="spellStart"/>
      <w:r w:rsidRPr="005506CA">
        <w:t>Solidarity</w:t>
      </w:r>
      <w:proofErr w:type="spellEnd"/>
      <w:r w:rsidRPr="005506CA">
        <w:t xml:space="preserve">: </w:t>
      </w:r>
      <w:proofErr w:type="spellStart"/>
      <w:r w:rsidRPr="005506CA">
        <w:t>Empowering</w:t>
      </w:r>
      <w:proofErr w:type="spellEnd"/>
      <w:r w:rsidRPr="005506CA">
        <w:t xml:space="preserve"> the </w:t>
      </w:r>
      <w:proofErr w:type="spellStart"/>
      <w:r w:rsidRPr="005506CA">
        <w:t>single</w:t>
      </w:r>
      <w:proofErr w:type="spellEnd"/>
      <w:r w:rsidRPr="005506CA">
        <w:t xml:space="preserve"> </w:t>
      </w:r>
      <w:proofErr w:type="spellStart"/>
      <w:r w:rsidRPr="005506CA">
        <w:t>market</w:t>
      </w:r>
      <w:proofErr w:type="spellEnd"/>
      <w:r w:rsidRPr="005506CA">
        <w:t xml:space="preserve"> to </w:t>
      </w:r>
      <w:proofErr w:type="spellStart"/>
      <w:r w:rsidRPr="005506CA">
        <w:t>deliver</w:t>
      </w:r>
      <w:proofErr w:type="spellEnd"/>
      <w:r w:rsidRPr="005506CA">
        <w:t xml:space="preserve"> a </w:t>
      </w:r>
      <w:proofErr w:type="spellStart"/>
      <w:r w:rsidRPr="005506CA">
        <w:t>sustainable</w:t>
      </w:r>
      <w:proofErr w:type="spellEnd"/>
      <w:r w:rsidRPr="005506CA">
        <w:t xml:space="preserve"> </w:t>
      </w:r>
      <w:proofErr w:type="spellStart"/>
      <w:r w:rsidRPr="005506CA">
        <w:t>future</w:t>
      </w:r>
      <w:proofErr w:type="spellEnd"/>
      <w:r w:rsidRPr="005506CA">
        <w:t xml:space="preserve"> and </w:t>
      </w:r>
      <w:proofErr w:type="spellStart"/>
      <w:r w:rsidRPr="005506CA">
        <w:t>prosperity</w:t>
      </w:r>
      <w:proofErr w:type="spellEnd"/>
      <w:r w:rsidRPr="005506CA">
        <w:t xml:space="preserve"> for </w:t>
      </w:r>
      <w:proofErr w:type="spellStart"/>
      <w:r w:rsidRPr="005506CA">
        <w:t>all</w:t>
      </w:r>
      <w:proofErr w:type="spellEnd"/>
      <w:r w:rsidRPr="005506CA">
        <w:t xml:space="preserve"> EU </w:t>
      </w:r>
      <w:proofErr w:type="spellStart"/>
      <w:r w:rsidRPr="005506CA">
        <w:t>citizens</w:t>
      </w:r>
      <w:proofErr w:type="spellEnd"/>
      <w:r w:rsidRPr="005506CA">
        <w:t xml:space="preserve"> (Много повече от пазар – Бързина, сигурност, солидарност – Създаване на възможности на единния пазар за постигане на устойчиво бъдеще и просперитет за всички граждани на ЕС) (доклада на Енрико Лета),</w:t>
      </w:r>
    </w:p>
    <w:p w14:paraId="5BAD2789" w14:textId="77777777" w:rsidR="00086DFA" w:rsidRPr="005506CA" w:rsidRDefault="00086DFA" w:rsidP="00086DFA">
      <w:pPr>
        <w:pStyle w:val="NormalHanging"/>
      </w:pPr>
      <w:r w:rsidRPr="005506CA">
        <w:t>–</w:t>
      </w:r>
      <w:r w:rsidRPr="005506CA">
        <w:tab/>
        <w:t>като взе предвид съвместната бяла книга на Комисията и на върховния представител на Съюза по въпросите на външните работи и политиката на сигурност от 19 март 2025 г., озаглавена „Съвместна бяла книга за европейската отбранителна готовност до 2030 г.“ (JOIN(2025)0120),</w:t>
      </w:r>
    </w:p>
    <w:p w14:paraId="1CD290A8" w14:textId="77777777" w:rsidR="00086DFA" w:rsidRPr="005506CA" w:rsidRDefault="00086DFA" w:rsidP="00086DFA">
      <w:pPr>
        <w:pStyle w:val="NormalHanging"/>
      </w:pPr>
      <w:r w:rsidRPr="005506CA">
        <w:t>–</w:t>
      </w:r>
      <w:r w:rsidRPr="005506CA">
        <w:tab/>
        <w:t>като взе предвид член 55 от своя Правилник за дейността,</w:t>
      </w:r>
    </w:p>
    <w:p w14:paraId="5504475C" w14:textId="77777777" w:rsidR="00086DFA" w:rsidRPr="005506CA" w:rsidRDefault="00086DFA" w:rsidP="00086DFA">
      <w:pPr>
        <w:pStyle w:val="NormalHanging"/>
      </w:pPr>
      <w:r w:rsidRPr="005506CA">
        <w:t>–</w:t>
      </w:r>
      <w:r w:rsidRPr="005506CA">
        <w:tab/>
        <w:t>като взе предвид становищата на комисията по икономически и парични въпроси и комисията по вътрешния пазар и защита на потребителите,</w:t>
      </w:r>
    </w:p>
    <w:p w14:paraId="20327575" w14:textId="77777777" w:rsidR="00086DFA" w:rsidRPr="005506CA" w:rsidRDefault="00086DFA" w:rsidP="00086DFA">
      <w:pPr>
        <w:pStyle w:val="NormalHanging"/>
      </w:pPr>
      <w:r w:rsidRPr="005506CA">
        <w:lastRenderedPageBreak/>
        <w:t>–</w:t>
      </w:r>
      <w:r w:rsidRPr="005506CA">
        <w:tab/>
        <w:t>като взе предвид доклада на комисията по сигурност и отбрана (A10-0017/2026),</w:t>
      </w:r>
    </w:p>
    <w:p w14:paraId="4AD0C599" w14:textId="77777777" w:rsidR="00086DFA" w:rsidRPr="005506CA" w:rsidRDefault="00086DFA" w:rsidP="00086DFA">
      <w:pPr>
        <w:pStyle w:val="NormalHanging"/>
      </w:pPr>
      <w:r w:rsidRPr="005506CA">
        <w:t>А.</w:t>
      </w:r>
      <w:r w:rsidRPr="005506CA">
        <w:tab/>
        <w:t>като има предвид, че в продължение на десетилетия се наблюдаваше съсредоточаване на обществените поръчки в областта на отбраната на национално равнище, разпокъсаност на промишлеността, регулаторни пречки, недостатъчни инвестиции, различаващи се оценки на заплахите и цели на външната политика, липса на интегрирано планиране на способностите и на обединяване на търсенето, както и конкуренция по отношение на интелектуалната собственост, които попречиха на изграждането на напълно интегриран единен пазар в областта на отбраната и отслабиха оперативната съвместимост на отбранителните системи на държавите членки, като по този начин доведоха до значителни допълнителни разходи за данъкоплатците и същевременно накърниха способността на ЕС да защитава безопасността на своите граждани, отслабиха европейската отбранителна технологична и индустриална база (ЕОТИБ) и възпрепятстваха цялостното осъществяване на европейската стратегическа автономност, устойчивост и конкурентоспособност;</w:t>
      </w:r>
    </w:p>
    <w:p w14:paraId="46394BFC" w14:textId="77777777" w:rsidR="00086DFA" w:rsidRPr="005506CA" w:rsidRDefault="00086DFA" w:rsidP="00086DFA">
      <w:pPr>
        <w:pStyle w:val="NormalHanging"/>
      </w:pPr>
      <w:r w:rsidRPr="005506CA">
        <w:t>Б.</w:t>
      </w:r>
      <w:r w:rsidRPr="005506CA">
        <w:tab/>
        <w:t xml:space="preserve">като има предвид, че докладите на Енрико Лета и Марио Драги подчертават наличието на комбинация от структурни слабости, влияещи отрицателно на конкурентоспособността на ЕОТИБ, и посочват като основни предизвикателства разпокъсаността, недостатъчните публични разходи за отбрана и ограничения достъп до финансиране, и съответно отчитат необходимостта от изграждане на истински единен пазар в областта на отбраната; като има предвид, че в Бялата книга за бъдещето на европейската отбрана се подчертава, че действията трябва да се съсредоточат върху правилата и процедурите за възлагане на обществени поръчки в областта на отбраната, трансферите в рамките на ЕС на свързани с отбраната продукти и взаимното признаване на националните разрешения за сертифициране; като има предвид, че в доклада на </w:t>
      </w:r>
      <w:proofErr w:type="spellStart"/>
      <w:r w:rsidRPr="005506CA">
        <w:t>Саули</w:t>
      </w:r>
      <w:proofErr w:type="spellEnd"/>
      <w:r w:rsidRPr="005506CA">
        <w:t xml:space="preserve"> </w:t>
      </w:r>
      <w:proofErr w:type="spellStart"/>
      <w:r w:rsidRPr="005506CA">
        <w:t>Нийнистьо</w:t>
      </w:r>
      <w:proofErr w:type="spellEnd"/>
      <w:r w:rsidRPr="005506CA">
        <w:t xml:space="preserve"> също така се подчертава необходимостта от повишаване на цялостната подготвеност на Европа, включително интегрирането на гражданската и военната устойчивост, и се посочва, че тези потребности могат да бъдат задоволени по-ефективно чрез единен пазар в областта на отбраната;</w:t>
      </w:r>
    </w:p>
    <w:p w14:paraId="1F24CE60" w14:textId="77777777" w:rsidR="00086DFA" w:rsidRPr="005506CA" w:rsidRDefault="00086DFA" w:rsidP="00086DFA">
      <w:pPr>
        <w:pStyle w:val="NormalHanging"/>
      </w:pPr>
      <w:r w:rsidRPr="005506CA">
        <w:t>В.</w:t>
      </w:r>
      <w:r w:rsidRPr="005506CA">
        <w:tab/>
        <w:t>като има предвид, че устойчивата, конкурентоспособна и иновативна европейска отбранителна промишлена база е от съществено значение за изпълнението на Стратегическия компас и за гарантирането на способността на ЕС да възпира и защитава в контекста на програмата „Готовност 2030“; като има предвид, че това налага съгласувана политика в областта на промишлеността и технологиите, която подкрепя оперативно съвместимите способности, осигурява веригите за доставки от критично значение, подкрепя малките и средните предприятия (МСП) и насърчава иновациите с двойна употреба;</w:t>
      </w:r>
    </w:p>
    <w:p w14:paraId="620E0BD2" w14:textId="77777777" w:rsidR="00086DFA" w:rsidRPr="005506CA" w:rsidRDefault="00086DFA" w:rsidP="00086DFA">
      <w:pPr>
        <w:pStyle w:val="NormalHanging"/>
      </w:pPr>
      <w:r w:rsidRPr="005506CA">
        <w:t>Г.</w:t>
      </w:r>
      <w:r w:rsidRPr="005506CA">
        <w:tab/>
        <w:t xml:space="preserve">като има предвид, че предприятията в областта на отбраната от по-малките държави членки са особено силно засегнати от прекалено строгия подход към контрола върху трансфера и износа в рамките на ЕС, прилаган от други държави членки, което показва как една критична точка може да отслаби веригите на доставки в целия ЕС; като има предвид, че МСП се сблъскват с особено сериозни пречки за навлизане на пазарите в областта на отбраната; като има предвид, че в действащата уредба за защита на конкуренцията и относно държавната помощ в ЕС липсват адаптирани разпоредби за съвместни трансгранични проекти в областта на отбраната, което заплашва да възпрепятства промишленото сътрудничество и консолидация; като има предвид, че не съществува специално </w:t>
      </w:r>
      <w:r w:rsidRPr="005506CA">
        <w:lastRenderedPageBreak/>
        <w:t>групово освобождаване или подобен улесняващ механизъм за проекти в областта на отбраната, получаващи средства от инструментите за финансиране на ЕС, което създава правна несигурност за дружествата, участващи в съвместна научноизследователска и развойна дейност; като има предвид, че липсата на подходяща уредба за интелектуалната собственост и лицензирането за финансирана с публични средства научноизследователска и развойна дейност в областта на отбраната ограничава възможността повече от един производител да произвежда сертифицирани европейски модели, и ограничава ефективността на инструментите за съвместно възлагане на поръчки;</w:t>
      </w:r>
    </w:p>
    <w:p w14:paraId="4FE8540D" w14:textId="77777777" w:rsidR="00086DFA" w:rsidRPr="005506CA" w:rsidRDefault="00086DFA" w:rsidP="00086DFA">
      <w:pPr>
        <w:pStyle w:val="NormalHanging"/>
      </w:pPr>
      <w:r w:rsidRPr="005506CA">
        <w:t>Д.</w:t>
      </w:r>
      <w:r w:rsidRPr="005506CA">
        <w:tab/>
        <w:t>като има предвид, че европейската отбранителна промишленост се сблъсква със сериозен недостиг на квалифицирани работници и застаряваща работна сила, което заплашва да създаде проблемни точки в производството, затрудняващи разрастването; като има предвид, че различаващите се национални изисквания за издаване на разрешение за достъп за персонала и дружествата в отбранителната промишленост възпрепятстват засиленото трансгранично сътрудничество, като подлагат дружествата или инженерите, получили разрешение за работа с класифицирана информация в една държава членка, на продължителна, дублираща се проверка в други държави членки; като има предвид, че бързото приемане и прилагане на иновативни технологии от въоръжените сили на Европа е възпрепятствано от продължителни цикли на разработване и силно нежелание за поемане на риск;</w:t>
      </w:r>
    </w:p>
    <w:p w14:paraId="1EED4B9E" w14:textId="77777777" w:rsidR="00086DFA" w:rsidRPr="005506CA" w:rsidRDefault="00086DFA" w:rsidP="00086DFA">
      <w:pPr>
        <w:pStyle w:val="NormalHanging"/>
      </w:pPr>
      <w:r w:rsidRPr="005506CA">
        <w:t>Е.</w:t>
      </w:r>
      <w:r w:rsidRPr="005506CA">
        <w:tab/>
        <w:t>като има предвид, че за да се увеличи публичната подкрепа за тези инвестиции, икономическата възвръщаемост и ползите трябва да бъдат разпределени в целия ЕС по балансиран и пропорционален начин, като се вземат предвид особеностите на националните отбранителни промишлени бази; като има предвид, че трансграничното сътрудничество следва също така да гарантира справедливото и пълноценно участие на МСП и малките дружества със средна пазарна капитализация във веригата за създаване на стойност в областта на отбраната и да засили регионалното сближаване в целия ЕС; като има предвид, че инвестициите в отбрана имат потенциала да създават висококачествени работни места в широк кръг от региони, като по този начин допринасят за целите на сближаването;</w:t>
      </w:r>
    </w:p>
    <w:p w14:paraId="107ABE86" w14:textId="77777777" w:rsidR="00086DFA" w:rsidRPr="005506CA" w:rsidRDefault="00086DFA" w:rsidP="00086DFA">
      <w:pPr>
        <w:pStyle w:val="NormalHanging"/>
      </w:pPr>
      <w:r w:rsidRPr="005506CA">
        <w:t>Ж.</w:t>
      </w:r>
      <w:r w:rsidRPr="005506CA">
        <w:tab/>
        <w:t>като има предвид, че неотдавнашните събития изложиха на показ рисковете от концентрация на веригата на доставки в европейския сектор на отбраната, като по отношение на отбранителни продукти и материали за влагане от критично значение често е налице зависимост от един доставчик или от много ограничен брой доставчици; като има предвид, че тази концентрация създава точки, повредата в които може да доведе до общ срив, както и уязвимост по време на криза, което подчертава спешната необходимост от диверсификация и повече на брой източници на доставки;</w:t>
      </w:r>
    </w:p>
    <w:p w14:paraId="4FEBD127" w14:textId="77777777" w:rsidR="00086DFA" w:rsidRPr="005506CA" w:rsidRDefault="00086DFA" w:rsidP="00086DFA">
      <w:pPr>
        <w:pStyle w:val="NormalHanging"/>
      </w:pPr>
      <w:r w:rsidRPr="005506CA">
        <w:t>З.</w:t>
      </w:r>
      <w:r w:rsidRPr="005506CA">
        <w:tab/>
        <w:t>като има предвид, че според доклада на Марио Драги европейските съвместни обществени поръчки са представлявали едва 18% от разходите за обществени поръчки за отбранително оборудване през 2022 г., което е доста под целевия показател от 35%, договорен в рамките на Европейската агенция по отбрана (ЕАО); като има предвид, че ЕС си е поставил политическата цел най-малко половината от неговото отбранително оборудване да се доставя от европейски производители в срок до 2030 г.;</w:t>
      </w:r>
    </w:p>
    <w:p w14:paraId="24C3A108" w14:textId="77777777" w:rsidR="00086DFA" w:rsidRPr="005506CA" w:rsidRDefault="00086DFA" w:rsidP="00086DFA">
      <w:pPr>
        <w:pStyle w:val="NormalHanging"/>
      </w:pPr>
      <w:r w:rsidRPr="005506CA">
        <w:lastRenderedPageBreak/>
        <w:t>И.</w:t>
      </w:r>
      <w:r w:rsidRPr="005506CA">
        <w:tab/>
        <w:t>като има предвид, че целта за създаване на единен пазар в областта на отбраната в крайна сметка е средство за постигане на сигурност и стратегическа автономност за Европа, а не самоцел; като има предвид, че промишлената интеграция в областта на отбраната следва да служи на способността на ЕС да защитава своите граждани и ценности, да гарантира устойчивост и възпиране и да отстоява свободата си на действие; като има предвид, че трябва да се постигне баланс между пазарната ефективност и императивите за суверенитет и солидарност;</w:t>
      </w:r>
    </w:p>
    <w:p w14:paraId="00057DE9" w14:textId="77777777" w:rsidR="00086DFA" w:rsidRPr="005506CA" w:rsidRDefault="00086DFA" w:rsidP="00086DFA">
      <w:pPr>
        <w:pStyle w:val="NormalHanging"/>
      </w:pPr>
      <w:r w:rsidRPr="005506CA">
        <w:t>Й.</w:t>
      </w:r>
      <w:r w:rsidRPr="005506CA">
        <w:tab/>
        <w:t>като има предвид, че съвместното планиране, разработване, производство и възлагане на обществени поръчки в областта на отбранителните способности в ЕС ще даде възможност за повишаване на ефикасността и ефективността на публичните инвестиции и промишлените и оперативните ползи, като по този начин ще се увеличи степента на приемане в социален и политически аспект на необходимото повишаване на инвестициите в отбрана в период на ограничени бюджети и ще се подобри значително способността на ЕС и неговите държави членки да постигнат пълна готовност за отбрана преди 2030 г., както и истински европейски съюз за отбрана; като има предвид, че подобни съвместни действия в ЕС следва да бъдат координирани с процесите на планиране на НАТО и следва да избягват ненужното дублиране на действия;</w:t>
      </w:r>
    </w:p>
    <w:p w14:paraId="6DBC0A7D" w14:textId="77777777" w:rsidR="00086DFA" w:rsidRPr="005506CA" w:rsidRDefault="00086DFA" w:rsidP="00086DFA">
      <w:pPr>
        <w:pStyle w:val="NormalHanging"/>
      </w:pPr>
      <w:r w:rsidRPr="005506CA">
        <w:t>К.</w:t>
      </w:r>
      <w:r w:rsidRPr="005506CA">
        <w:tab/>
        <w:t>като има предвид, че държавите членки ще разгледат възможности за увеличаване на инвестициите и засилване на сътрудничеството си в общи отбранителни промишлени проекти само ако тези проекти включват развитието на военни способности от общ интерес за техните въоръжени сили;</w:t>
      </w:r>
    </w:p>
    <w:p w14:paraId="61EB5C1D" w14:textId="77777777" w:rsidR="00086DFA" w:rsidRPr="005506CA" w:rsidRDefault="00086DFA" w:rsidP="00086DFA">
      <w:pPr>
        <w:pStyle w:val="NormalHanging"/>
      </w:pPr>
      <w:r w:rsidRPr="005506CA">
        <w:t>Л.</w:t>
      </w:r>
      <w:r w:rsidRPr="005506CA">
        <w:tab/>
        <w:t>като има предвид, че ЕС представи редица инициативи, насочени към укрепване на отбранителната готовност на Съюза, подобряване на условията за инвестиции и стимулиране на съвместни действия, но до момента не е предложил преобразуващите мерки, необходими за създаването на истински единен пазар за отбранителни продукти; като има предвид, че правилата на ЕС за възлагане на обществени поръчки в областта на отбраната (Директива 2009/81/ЕО) и за трансфер в рамките на ЕС (Директива 2009/43/ЕО) все още не са напълно актуализирани въпреки значителните промени в средата на сигурност; като има предвид, че заинтересованите лица често намират и двете директиви за прекалено сложни, а транспонирането от страна на държавите членки – за бавно и проблематично, изискващо непропорционални административни усилия и водещо до разпокъсаност на вътрешния пазар;</w:t>
      </w:r>
    </w:p>
    <w:p w14:paraId="1D39B228" w14:textId="77777777" w:rsidR="00086DFA" w:rsidRPr="005506CA" w:rsidRDefault="00086DFA" w:rsidP="00086DFA">
      <w:pPr>
        <w:pStyle w:val="NormalHanging"/>
      </w:pPr>
      <w:r w:rsidRPr="005506CA">
        <w:t>М.</w:t>
      </w:r>
      <w:r w:rsidRPr="005506CA">
        <w:tab/>
        <w:t xml:space="preserve">като има предвид, че с оглед на нарастващите геополитически заплахи, по-специално продължаващата агресивна война на Русия срещу Украйна и нейните хибридни атаки и провокации срещу ЕС, както и тероризма и нестабилността в Близкия изток и Африка, 90% от гражданите на ЕС с основание очакват засилено сътрудничество на ЕС в областта на сигурността и отбраната, включително в рамките на НАТО и с други </w:t>
      </w:r>
      <w:proofErr w:type="spellStart"/>
      <w:r w:rsidRPr="005506CA">
        <w:t>единомислещи</w:t>
      </w:r>
      <w:proofErr w:type="spellEnd"/>
      <w:r w:rsidRPr="005506CA">
        <w:t xml:space="preserve"> партньори, за да бъдат защитени гражданите и да се отстояват интересите и ценностите на ЕС на световната сцена; като има предвид, че все по-нестабилната обстановка по отношение на сигурността в непосредственото съседство на ЕС налага съгласувана и координирана реакция, по-специално за да се гарантира безпрепятственото движение на отбранителни продукти и услуги;</w:t>
      </w:r>
    </w:p>
    <w:p w14:paraId="49747868" w14:textId="77777777" w:rsidR="00086DFA" w:rsidRPr="005506CA" w:rsidRDefault="00086DFA" w:rsidP="00086DFA">
      <w:pPr>
        <w:pStyle w:val="Normal12a"/>
      </w:pPr>
      <w:r w:rsidRPr="005506CA">
        <w:rPr>
          <w:b/>
          <w:i/>
        </w:rPr>
        <w:t>Визия за единен пазар в областта на отбраната в Съюза</w:t>
      </w:r>
    </w:p>
    <w:p w14:paraId="143BF963" w14:textId="77777777" w:rsidR="00086DFA" w:rsidRPr="005506CA" w:rsidRDefault="00086DFA" w:rsidP="00086DFA">
      <w:pPr>
        <w:pStyle w:val="NormalHanging12a"/>
      </w:pPr>
      <w:r w:rsidRPr="005506CA">
        <w:lastRenderedPageBreak/>
        <w:t>1.</w:t>
      </w:r>
      <w:r w:rsidRPr="005506CA">
        <w:tab/>
        <w:t>припомня, че според доклада на Марио Драги засиленото сътрудничество може да доведе до огромни икономии от ефективност в размер до 30% от годишните разходи за отбрана в целия ЕС и значително да повиши ефективността на настоящите разходи за отбрана; подчертава предимствата от това сътрудничество в по-широк смисъл за конкурентоспособността, устойчивостта и стратегическия суверенитет на ЕС, тъй като то обещава значителни възможности за заетост, икономическо развитие и технологично лидерство в целия ЕС; подчертава, че изграждането на истински единен пазар в областта на отбраната е от решаващо значение за насърчаването на конкурентоспособността на европейските дружества не само в рамките на ЕС, но и на световния пазар, на който те трябва да се конкурират, наред с другото, с основни изпълнители от САЩ;</w:t>
      </w:r>
    </w:p>
    <w:p w14:paraId="5BDB0901" w14:textId="77777777" w:rsidR="00086DFA" w:rsidRPr="005506CA" w:rsidRDefault="00086DFA" w:rsidP="00086DFA">
      <w:pPr>
        <w:pStyle w:val="NormalHanging12a"/>
      </w:pPr>
      <w:r w:rsidRPr="005506CA">
        <w:t>2.</w:t>
      </w:r>
      <w:r w:rsidRPr="005506CA">
        <w:tab/>
        <w:t xml:space="preserve">счита, че драматичните предизвикателства и заплахи, с които се сблъскват ЕС и неговите държави членки, налагат пълно преосмисляне на начина, по който те си сътрудничат и съгласуват действията си по въпросите на отбраната; подчертава, че ЕС и неговите държави членки трябва да променят из основи разбирането си за производството на отбранителната промишленост, като разработят истински единен пазар в областта на отбраната, както се призовава в докладите на Енрико Лета, Марио Драги и </w:t>
      </w:r>
      <w:proofErr w:type="spellStart"/>
      <w:r w:rsidRPr="005506CA">
        <w:t>Саули</w:t>
      </w:r>
      <w:proofErr w:type="spellEnd"/>
      <w:r w:rsidRPr="005506CA">
        <w:t xml:space="preserve"> </w:t>
      </w:r>
      <w:proofErr w:type="spellStart"/>
      <w:r w:rsidRPr="005506CA">
        <w:t>Нийнистьо</w:t>
      </w:r>
      <w:proofErr w:type="spellEnd"/>
      <w:r w:rsidRPr="005506CA">
        <w:t xml:space="preserve"> и в Бялата книга за бъдещето на европейската отбрана; настоятелно призовава държавите членки да преодолеят националистическите рефлекси по отношение на националната си промишлена база, да обърнат по-голямо внимание на ползите от сътрудничеството в областта на отбраната на равнището на ЕС при планирането на националната си отбрана и да признаят съществената роля на активната подкрепа от страна на институциите и агенциите на ЕС за улесняването и координирането на това сътрудничество, като същевременно укрепват взаимното доверие между всички заинтересовани лица;</w:t>
      </w:r>
    </w:p>
    <w:p w14:paraId="7CF5547C" w14:textId="77777777" w:rsidR="00086DFA" w:rsidRPr="005506CA" w:rsidRDefault="00086DFA" w:rsidP="00086DFA">
      <w:pPr>
        <w:pStyle w:val="NormalHanging12a"/>
      </w:pPr>
      <w:r w:rsidRPr="005506CA">
        <w:t>3.</w:t>
      </w:r>
      <w:r w:rsidRPr="005506CA">
        <w:tab/>
        <w:t>подчертава, че само истински единен пазар в областта на отбраната може да осигури средствата, необходими за действително създаване и поддържане на конкурентоспособна, иновативна и устойчива ЕОТИБ, която е в състояние да доставя необходимото оборудване в изискваните срокове и в необходимия мащаб и да отключи пълния икономически, промишлен и финансов потенциал на ЕОТИБ; подчертава, че наличието на истински единен пазар за отбрана е от съществено значение за преодоляването на пропуските в способностите и за възстановяването на възпиращия ефект и следователно това е необходимо и ключово условие за съществуването на силен, суверенен и конкурентоспособен Съюз;</w:t>
      </w:r>
    </w:p>
    <w:p w14:paraId="6AB7132D" w14:textId="77777777" w:rsidR="00086DFA" w:rsidRPr="005506CA" w:rsidRDefault="00086DFA" w:rsidP="00086DFA">
      <w:pPr>
        <w:pStyle w:val="NormalHanging12a"/>
      </w:pPr>
      <w:r w:rsidRPr="005506CA">
        <w:t>4.</w:t>
      </w:r>
      <w:r w:rsidRPr="005506CA">
        <w:tab/>
        <w:t>настоятелно призовава държавите членки и Комисията да предприемат бързи действия за създаване на истински единен пазар в областта на отбраната, като предприемат мерки както по отношение на предлагането, така и по отношение на търсенето; припомня, че обединяването на търсенето чрез съвместни обществени поръчки и управление през целия жизнен цикъл, опростяването на нормативната уредба и трансграничната промишлена интеграция на равнището на ЕС са спешно необходими, за да се преодолеят тези пречки и да се намали зависимостта от държави извън ЕС, както е посочено в докладите на Енрико Лета и Марио Драги;</w:t>
      </w:r>
    </w:p>
    <w:p w14:paraId="0C67A88D" w14:textId="77777777" w:rsidR="00086DFA" w:rsidRPr="005506CA" w:rsidRDefault="00086DFA" w:rsidP="00086DFA">
      <w:pPr>
        <w:pStyle w:val="NormalHanging12a"/>
      </w:pPr>
      <w:r w:rsidRPr="005506CA">
        <w:t>5.</w:t>
      </w:r>
      <w:r w:rsidRPr="005506CA">
        <w:tab/>
        <w:t xml:space="preserve">припомня, че е важно да се гарантират демократична легитимност, обществено доверие в институциите, отчетност и прозрачност, за да се осигури необходимата обществена подкрепа за увеличаване на разходите в областта на отбраната; подчертава, че е важно да се гарантира справедливо и балансирано разпределение </w:t>
      </w:r>
      <w:r w:rsidRPr="005506CA">
        <w:lastRenderedPageBreak/>
        <w:t>в целия ЕС на разходите и ползите от рязкото увеличаване на европейските разходи за отбрана;</w:t>
      </w:r>
    </w:p>
    <w:p w14:paraId="7FB9DEB8" w14:textId="77777777" w:rsidR="00086DFA" w:rsidRPr="000C7546" w:rsidRDefault="00086DFA" w:rsidP="00086DFA">
      <w:pPr>
        <w:pStyle w:val="Normal12a"/>
        <w:rPr>
          <w:b/>
          <w:bCs/>
          <w:i/>
          <w:iCs/>
        </w:rPr>
      </w:pPr>
      <w:r w:rsidRPr="000C7546">
        <w:rPr>
          <w:b/>
          <w:bCs/>
          <w:i/>
          <w:iCs/>
        </w:rPr>
        <w:t>Пречки пред единния пазар в областта на отбраната</w:t>
      </w:r>
    </w:p>
    <w:p w14:paraId="18A22D36" w14:textId="77777777" w:rsidR="00086DFA" w:rsidRPr="005506CA" w:rsidRDefault="00086DFA" w:rsidP="00086DFA">
      <w:pPr>
        <w:pStyle w:val="NormalHanging12a"/>
      </w:pPr>
      <w:r w:rsidRPr="005506CA">
        <w:t>6.</w:t>
      </w:r>
      <w:r w:rsidRPr="005506CA">
        <w:tab/>
        <w:t>подчертава, че настоящата структура на отбранителната промишленост води до ненужно дублиране, външни зависимости и неефективност и възпрепятства укрепването на ЕОТИБ и на отбранителната готовност на ЕС; подчертава, че в съчетание с недостатъчните инвестиции и липсата на програмиране на дългосрочните разходи за отбрана тази разпокъсаност възпрепятства реализирането на икономии от мащаба, които могат да възникнат за всички европейски дружества в резултат от обединяването на обществените поръчки и производството в областта на отбранително оборудване; подчертава жизненоважната необходимост от преодоляване на разпокъсаността на отбранителната промишленост на ЕС, като се използват потенциалните икономии от мащаба, и от постигане на по-добро разбиране на пречките пред единния пазар в областта на отбраната; подчертава, че единният пазар в областта на отбраната трябва да гарантира справедливи възможности за участие на промишлените отрасли и научноизследователските организации, включително стартиращите предприятия, от всички държави членки, включително по-малките икономики, и следва да не води до прекалено централизиран модел на отбранителната промишленост; подчертава, че такава структура на пазара допринася за икономическото сближаване чрез създаване на висококачествени работни места в производството и научноизследователската и развойна дейност в различни региони на ЕС, включително по-слабо развитите в икономическо отношение региони; отбелязва освен това, че тази географска диверсификация допринася за устойчивостта и сигурността на доставките и също така спомага да се избегне създаването на монополи и неблагоприятни условия за МСП и дружествата със средна пазарна капитализация;</w:t>
      </w:r>
    </w:p>
    <w:p w14:paraId="20AD278B" w14:textId="77777777" w:rsidR="00086DFA" w:rsidRPr="005506CA" w:rsidRDefault="00086DFA" w:rsidP="00086DFA">
      <w:pPr>
        <w:pStyle w:val="NormalHanging12a"/>
      </w:pPr>
      <w:r w:rsidRPr="005506CA">
        <w:t>7.</w:t>
      </w:r>
      <w:r w:rsidRPr="005506CA">
        <w:tab/>
        <w:t>изразява съжаление относно липсата на резултати от настоящото координирано планиране на способностите и на разходите за отбранителни продукти в целия ЕС, което доведе до различаващи се правила и критерии за допустимост и неефективно изразходване на средствата, пораждаше правна несигурност и често принуждаваше държавите членки да отдават приоритет на двустранното сътрудничество с държави извън ЕС; изразява съжаление, че определените на национално равнище приоритети често възпрепятстват плодотворното сътрудничество в рамките на ЕС;</w:t>
      </w:r>
    </w:p>
    <w:p w14:paraId="2DD2B871" w14:textId="77777777" w:rsidR="00086DFA" w:rsidRPr="005506CA" w:rsidRDefault="00086DFA" w:rsidP="00086DFA">
      <w:pPr>
        <w:pStyle w:val="NormalHanging12a"/>
      </w:pPr>
      <w:r w:rsidRPr="005506CA">
        <w:t>8.</w:t>
      </w:r>
      <w:r w:rsidRPr="005506CA">
        <w:tab/>
        <w:t>изразява съжаление относно трайния дефицит на взаимно доверие между държавите членки, който се изразява, наред с другото, в нежелание за създаване на регионални центрове за промишлена компетентност, ограничена степен на трансгранично сътрудничество и съвместно планиране на способностите, недостатъчно равнище на възлагане на обществени поръчки в рамките на ЕС за свързани с отбраната стоки и услуги и дублиращи се или превантивни ограничения върху трансфера на отбранително оборудване в рамките на ЕС, което възпрепятства развитието на напълно интегрирани европейски вериги на доставки и представлява значителна пречка за развитието на истински единен пазар в областта на отбраната;</w:t>
      </w:r>
    </w:p>
    <w:p w14:paraId="07FAA2B1" w14:textId="77777777" w:rsidR="00086DFA" w:rsidRPr="005506CA" w:rsidRDefault="00086DFA" w:rsidP="00086DFA">
      <w:pPr>
        <w:pStyle w:val="NormalHanging12a"/>
      </w:pPr>
      <w:r w:rsidRPr="005506CA">
        <w:t>9.</w:t>
      </w:r>
      <w:r w:rsidRPr="005506CA">
        <w:tab/>
        <w:t xml:space="preserve">счита, че настоящата нормативна уредба на ЕС не осигурява условия за възлагане на обществени поръчки за стоки с бързи иновационни цикли, например в областта </w:t>
      </w:r>
      <w:r w:rsidRPr="005506CA">
        <w:lastRenderedPageBreak/>
        <w:t>на разработването на безпилотни летателни апарати; изразява загриженост, че единният пазар в областта на отбраната продължава да бъде отслабван от недостатъчно хармонизираното прилагане на неговите правила от страна на държавите членки и от непропорционалното използване на освобождаването, предвидено в член 346 от ДФЕС, което възпрепятства стремежа към съвместни обществени поръчки на ЕС в областта на отбраната; подчертава необходимостта от специална подкрепа за МСП и малките дружества със средна пазарна капитализация, за да се улесни тяхното участие във веригата на доставки на отбранителната промишленост с цел да се увеличат иновациите, като същевременно се натрупват промишлени резерви, които повишават устойчивостта и сигурността на доставките в ЕС;</w:t>
      </w:r>
    </w:p>
    <w:p w14:paraId="35401966" w14:textId="77777777" w:rsidR="00086DFA" w:rsidRPr="005506CA" w:rsidRDefault="00086DFA" w:rsidP="00086DFA">
      <w:pPr>
        <w:pStyle w:val="NormalHanging12a"/>
      </w:pPr>
      <w:r w:rsidRPr="005506CA">
        <w:t>10.</w:t>
      </w:r>
      <w:r w:rsidRPr="005506CA">
        <w:tab/>
        <w:t>изразява загриженост, че единният пазар в областта на отбраната продължава да бъде отслабван от недостатъчно хармонизираното прилагане на неговите правила от страна на държавите членки; изразява загриженост по-специално във връзка с честото използване на член 346 от ДФЕС, за което Съдът на Европейския съюз (Съдът на ЕС) постанови по няколко дела, че е било извършено необосновано, т.е. с него е било злоупотребено; подчертава необходимостта от преминаване към подход за защита на основните интереси на ЕС в областта на сигурността, като се имат предвид настоящата геополитическа ситуация и заплахите за единството на ЕС;</w:t>
      </w:r>
    </w:p>
    <w:p w14:paraId="771B2143" w14:textId="0CE1674D" w:rsidR="00086DFA" w:rsidRPr="005506CA" w:rsidRDefault="00086DFA" w:rsidP="00086DFA">
      <w:pPr>
        <w:pStyle w:val="NormalHanging12a"/>
      </w:pPr>
      <w:r w:rsidRPr="005506CA">
        <w:t>11.</w:t>
      </w:r>
      <w:r w:rsidRPr="005506CA">
        <w:tab/>
        <w:t>счита, че пълното спазване от страна на държавите членки на Общата позиция на ЕС относно износа на оръжие</w:t>
      </w:r>
      <w:r w:rsidR="005A2D56">
        <w:rPr>
          <w:rStyle w:val="FootnoteReference"/>
        </w:rPr>
        <w:footnoteReference w:id="13"/>
      </w:r>
      <w:r w:rsidRPr="005506CA">
        <w:t xml:space="preserve"> представлява важен стълб за наличието на функциониращ единен пазар в областта на отбраната; счита, че липсата на хармонизирана система на ЕС за контрол на износа, както и на процедури за взаимно признаване на различните разрешения, лицензи, сертифициране и предоставяне на достъп продължават да създават пречки пред функционирането на единния пазар в областта на отбраната чрез своето въздействие върху трансферите в рамките на ЕС; припомня, че понастоящем отбранителното производство разчита в голяма степен на интегрирани трансгранични вериги на доставки в ЕС, като компонентите са с произход от множество държави членки, което в случай на създаване на блок за износ създава несигурност за промишлеността и веригите на доставки; подчертава необходимостта от практическо решение, което да отчита реалността на настоящите зависимости от държави извън ЕС, като се има предвид и нарастващото значение на суровините от критично значение за ЕОТИБ и потенциалното излагане на въздействието на принудителни мерки от страна на държави извън ЕС; подчертава, че без гарантиран и планиран достъп до суровини като </w:t>
      </w:r>
      <w:proofErr w:type="spellStart"/>
      <w:r w:rsidRPr="005506CA">
        <w:t>редкоземни</w:t>
      </w:r>
      <w:proofErr w:type="spellEnd"/>
      <w:r w:rsidRPr="005506CA">
        <w:t xml:space="preserve"> елементи, полупроводници и висококачествени метали амбициозните цели на Европа за разрастване на отбраната и стратегическа автономност не могат да бъдат постигнати;</w:t>
      </w:r>
    </w:p>
    <w:p w14:paraId="66D804EB" w14:textId="77777777" w:rsidR="00086DFA" w:rsidRPr="005506CA" w:rsidRDefault="00086DFA" w:rsidP="00086DFA">
      <w:pPr>
        <w:pStyle w:val="NormalHanging12a"/>
      </w:pPr>
      <w:r w:rsidRPr="005506CA">
        <w:t>12.</w:t>
      </w:r>
      <w:r w:rsidRPr="005506CA">
        <w:tab/>
        <w:t xml:space="preserve">счита, че координирането между процесите на развитие на отбранителни способности на ЕС и държавите членки и процеса на НАТО за планиране и преглед в областта на отбраната е от съществено значение, за да се гарантира съгласуваност и оперативна съвместимост между държавите членки и съюзниците </w:t>
      </w:r>
      <w:r w:rsidRPr="005506CA">
        <w:lastRenderedPageBreak/>
        <w:t>от НАТО, които не членуват в ЕС; подчертава липсата на споразумение за сътрудничество между НАТО и ЕС по въпроса за обмен на информация относно стандартите на НАТО (STANAG), които ЕС би могъл впоследствие да наложи чрез обвързващи инструменти; изразява съжаление, че през последните десетилетия неприлагането на стандартите е довело до неефективност, дублиране и липса на оперативна съвместимост и продължава да представлява проблем;</w:t>
      </w:r>
    </w:p>
    <w:p w14:paraId="084195B3" w14:textId="77777777" w:rsidR="00086DFA" w:rsidRPr="005506CA" w:rsidRDefault="00086DFA" w:rsidP="00086DFA">
      <w:pPr>
        <w:pStyle w:val="Normal12a"/>
      </w:pPr>
      <w:r w:rsidRPr="005506CA">
        <w:rPr>
          <w:b/>
          <w:i/>
        </w:rPr>
        <w:t>Премахване на бариерите</w:t>
      </w:r>
    </w:p>
    <w:p w14:paraId="57189DD6" w14:textId="77777777" w:rsidR="00086DFA" w:rsidRPr="005506CA" w:rsidRDefault="00086DFA" w:rsidP="00086DFA">
      <w:pPr>
        <w:pStyle w:val="NormalHanging12a"/>
      </w:pPr>
      <w:r w:rsidRPr="005506CA">
        <w:t>13.</w:t>
      </w:r>
      <w:r w:rsidRPr="005506CA">
        <w:tab/>
        <w:t>настоятелно призовава Съвета и Комисията да предоставят достатъчно финансиране за програмите на ЕС в областта на отбраната в следващата многогодишна финансова рамка, за да стимулират ефективно държавите членки да участват в съвместно развитие на способностите и възлагане на обществени поръчки, а техните сектори на отбраната да участват в по-тясно трансгранично сътрудничество; подчертава потенциала на новите рамки, например европейските проекти в областта на отбраната от общ интерес, включително четирите водещи проекта, предложени в Пътната карта за отбранителна готовност до 2030 г., и структурите за европейски програми за въоръжаване, да доведат до постигането на тези цели с помощта на подходящо дългосрочно финансиране; подчертава, че при финансирането следва да се дава приоритет на проекти с ясна европейска добавена стойност, оперативна съвместимост, дългосрочна промишлена устойчивост и оперативно въздействие;</w:t>
      </w:r>
    </w:p>
    <w:p w14:paraId="666C0237" w14:textId="77777777" w:rsidR="00086DFA" w:rsidRPr="005506CA" w:rsidRDefault="00086DFA" w:rsidP="00086DFA">
      <w:pPr>
        <w:pStyle w:val="NormalHanging12a"/>
      </w:pPr>
      <w:r w:rsidRPr="005506CA">
        <w:t>14.</w:t>
      </w:r>
      <w:r w:rsidRPr="005506CA">
        <w:tab/>
        <w:t>отбелязва съществуващите ограничения в производствения капацитет на европейската отбранителна промишленост, който вее пак нараства, и призовава държавите членки да прилагат подход за закупуване на европейски продукти, който отдава приоритет на съвместното възлагане на обществени поръчки и увеличеното производство на отбранителни продукти от ЕОТИБ, Украйна, държавите от Европейското икономическо пространство/Европейската асоциация за свободна търговия (ЕИП/ЕАСТ) и като още един допълнителен пласт, от други трети държави извън ЕС, с които Съюзът е подписал партньорство в областта на сигурността и отбраната, тъй като това ще гарантира на ЕОТИБ предвидим обем на поръчките, ще стимулира частните инвестиции в научноизследователска и развойна дейност за отбранителни продукти и ще помогне на ЕОТИБ да доставя иновативни отбранителни продукти в достатъчни количества; призовава държавите членки да подписват договори, които предоставят стабилни средносрочни и дългосрочни сигнали за съвкупно търсене на европейски продукти, като така създадат инвестиционната сигурност, необходима за разрастването на ЕОТИБ;</w:t>
      </w:r>
    </w:p>
    <w:p w14:paraId="589DF243" w14:textId="77777777" w:rsidR="00086DFA" w:rsidRPr="005506CA" w:rsidRDefault="00086DFA" w:rsidP="00086DFA">
      <w:pPr>
        <w:pStyle w:val="NormalHanging12a"/>
      </w:pPr>
      <w:r w:rsidRPr="005506CA">
        <w:t>15.</w:t>
      </w:r>
      <w:r w:rsidRPr="005506CA">
        <w:tab/>
        <w:t>настоятелно призовава ЕС и неговите държави членки да третират Украйна като неразделна част от единния пазар за отбрана във възможно най-голяма степен, като улесняват промишлените партньорства, достъпа до механизмите за съвместно възлагане на обществени поръчки и участието в програми на ЕС като Европейския фонд за отбрана (ЕФО) и специалния Инструмент за подкрепа на Украйна в рамките на ПЕОП, за да се даде възможност за постепенното интегриране на страната във веригите за доставки на ПЕОП, имайки предвид, че бъдещето на Украйна е в ЕС и че нейната интеграция ще осигури ползи както за ЕОТИБ – благодарение на модерните и изпитани на бойното поле отбранителни технологии и новаторските промишлени способности на Украйна, така и за отбранителната технологична и индустриална база на Украйна;</w:t>
      </w:r>
    </w:p>
    <w:p w14:paraId="3E63DEF7" w14:textId="230C117D" w:rsidR="00086DFA" w:rsidRPr="005506CA" w:rsidRDefault="00086DFA" w:rsidP="00086DFA">
      <w:pPr>
        <w:pStyle w:val="NormalHanging12a"/>
      </w:pPr>
      <w:r w:rsidRPr="005506CA">
        <w:lastRenderedPageBreak/>
        <w:t>16.</w:t>
      </w:r>
      <w:r w:rsidRPr="005506CA">
        <w:tab/>
        <w:t>счита, че трябва значително по-добре да се прилага Директива 2009/81/ЕО относно обществените поръчки в областта на отбраната и чувствителните обществени поръчки в областта на сигурността, и призовава Комисията да предложи амбициозна преработка на текста; подчертава, че е полезно да се позволи на държавите членки да използват взаимно рамковите си договори, за да повишат отбранителната готовност на ЕС в краткосрочен план, тъй като това им позволява да възлагат обществени поръчки по-бързо и по-ефективно, като същевременно се очаква, че в дългосрочен план възлагането на обществени поръчки ще се извършва чрез общи или съвместни рамкови договори, разработени поначало в съответствие с европейските критерии за възлагане на обществени поръчки;</w:t>
      </w:r>
      <w:r w:rsidRPr="005506CA">
        <w:rPr>
          <w:b/>
        </w:rPr>
        <w:t xml:space="preserve"> </w:t>
      </w:r>
      <w:r w:rsidRPr="005506CA">
        <w:t>призовава държавите членки да използват различни договорни форми, които дават възможност за иновации, конкуренция и частни капиталови инвестиции, като същевременно гарантират пълно спазване на правилата за конкуренция, изискванията за почтеност и стандартите за борба с корупцията; припомня, че европейските капиталови пазари играят ключова роля при финансирането на иновациите в отбраната; освен това счита, че аспектите, свързани със сигурността и отбраната, например наличието на граждански компоненти във военните стоки, следва да бъдат взети предвид при евентуално преразглеждане на Директива 2014/24/ЕС за обществените поръчки</w:t>
      </w:r>
      <w:r w:rsidR="005A2D56">
        <w:rPr>
          <w:rStyle w:val="FootnoteReference"/>
        </w:rPr>
        <w:footnoteReference w:id="14"/>
      </w:r>
      <w:r w:rsidRPr="005506CA">
        <w:t>; в тази връзка призовава Комисията при предстоящото цялостно преразглеждане на директива 2009/81/ЕО да представи актуализирана версия на партньорствата за иновации в областта на отбраната, за да адаптира по-добре този инструмент към особеностите на отбранителния пазар и към настоящия сложен контекст в сферата на сигурността;</w:t>
      </w:r>
    </w:p>
    <w:p w14:paraId="186D6F6B" w14:textId="77777777" w:rsidR="00086DFA" w:rsidRPr="005506CA" w:rsidRDefault="00086DFA" w:rsidP="00086DFA">
      <w:pPr>
        <w:pStyle w:val="NormalHanging12a"/>
      </w:pPr>
      <w:r w:rsidRPr="005506CA">
        <w:t>17.</w:t>
      </w:r>
      <w:r w:rsidRPr="005506CA">
        <w:tab/>
        <w:t>подчертава, че при прилагането на правилата на ЕС в областта на конкуренцията и държавната помощ Комисията трябва да даде приоритет на единството и целостта на единния пазар, за да се избегнат нарушения на конкуренцията и да се гарантират еднаквите условия на конкуренция и сближаването между държавите членки, като се обърне специално внимание на по-малките държави членки, чийто фискален капацитет за подкрепа на собствените национални отбранителни индустрии е сравнително по-ограничен; подчертава, че широкото използване на национални субсидии в подкрепа на инвестициите в отбраната рискува да разпокъса единния пазар и подкопае из целия ЕС еднаквите условия на конкуренция за дружествата, особено за МСП;</w:t>
      </w:r>
    </w:p>
    <w:p w14:paraId="39580C80" w14:textId="77777777" w:rsidR="00086DFA" w:rsidRPr="005506CA" w:rsidRDefault="00086DFA" w:rsidP="00086DFA">
      <w:pPr>
        <w:pStyle w:val="NormalHanging12a"/>
      </w:pPr>
      <w:r w:rsidRPr="005506CA">
        <w:t>18.</w:t>
      </w:r>
      <w:r w:rsidRPr="005506CA">
        <w:tab/>
        <w:t>призовава Комисията да издаде препоръка за тълкуване на член 346 от ДФЕС, за да се улесни възприемането на хармонизиран и единен подход в целия ЕС, като се обърне внимание на необходимостта от строга защита на същностните интереси на държавите членки в областта на сигурността, а член 346 се използва по изключение, в съответствие с настоящата реалност на взаимозависима архитектура за сигурност в ЕС; счита, че Комисията следва да има възможност да оценява цялостното прилагане на член 346 от ДФЕС за всеки отделен случай, за да коригира всяка потенциална структурна злоупотреба, в съответствие със съдебната практика на Съда на ЕС и с настоящата реалност на взаимозависима архитектура за сигурност в ЕС;</w:t>
      </w:r>
    </w:p>
    <w:p w14:paraId="01E45FEC" w14:textId="77777777" w:rsidR="00086DFA" w:rsidRPr="005506CA" w:rsidRDefault="00086DFA" w:rsidP="00086DFA">
      <w:pPr>
        <w:pStyle w:val="NormalHanging12a"/>
      </w:pPr>
      <w:r w:rsidRPr="005506CA">
        <w:lastRenderedPageBreak/>
        <w:t>19.</w:t>
      </w:r>
      <w:r w:rsidRPr="005506CA">
        <w:tab/>
        <w:t>подчертава необходимостта от предоставяне на целенасочена подкрепа, по-специално за изпитването на прототипи на нови продукти, и от отдаване на приоритет на инвестициите в нововъзникващи и революционни технологии; подчертава добавената стойност на тясното сътрудничество с украинските заинтересовани страни от сферата на отбраната и технологиите в тези силно иновативни области; подчертава, че е важно да се запази финансовата жизнеспособност на дружествата, включително МСП, които инвестират в такива иновации; подчертава, че следва да има специфични мерки, с които да се улесни трансграничното сътрудничество между МСП, особено в областта на киберсигурността, изкуствения интелект, безпилотните технологии и технологиите с двойна употреба, като се основават на съществуващите центрове за високи постижения в държавите членки;</w:t>
      </w:r>
    </w:p>
    <w:p w14:paraId="314096E9" w14:textId="77777777" w:rsidR="00086DFA" w:rsidRPr="005506CA" w:rsidRDefault="00086DFA" w:rsidP="00086DFA">
      <w:pPr>
        <w:pStyle w:val="NormalHanging12a"/>
      </w:pPr>
      <w:r w:rsidRPr="005506CA">
        <w:t>20.</w:t>
      </w:r>
      <w:r w:rsidRPr="005506CA">
        <w:tab/>
        <w:t>призовава държавите членки и Комисията да създадат европейска инициатива „Ускорител на иновациите в областта на отбраната“, подобна на концептуални модели като Агенцията на САЩ за авангардни научноизследователски проекти в областта на отбраната (DARPA) или Ускорителя на иновациите в отбраната за Северноатлантическия регион (DIANA) на НАТО – инициатива, която да финансира високорискови научноизследователски проекти с висока възвръщаемост в областта на отбраната и да осигури ускорени пътища за изпитване и интегриране на революционни технологии в европейските програми за отбранителни способности; отбелязва, че съществуващите инструменти на ЕС за научноизследователска и развойна дейност, включително ЕФО, Схемата на ЕС за иновации в областта на отбраната (EUDIS) и Центърът на ЕС за иновации в областта на отбраната (HEDI), оставят собствеността върху резултатите на бенефициерите и предоставят на Комисията и на съфинансиращите държави членки само ограничени, несвързани с производството права; призовава Комисията да разработи подходящ режим на интелектуална собственост, който да е съобразен с чувствителните въпроси в областта на отбраната, като същевременно е достатъчно привлекателен както за националните министерства на отбраната, така и за промишлеността, за да се гарантира, че програмата може да отговори на нуждите и приоритетите по отношение на способностите;</w:t>
      </w:r>
    </w:p>
    <w:p w14:paraId="15EA28A3" w14:textId="634F764D" w:rsidR="00086DFA" w:rsidRPr="005506CA" w:rsidRDefault="00086DFA" w:rsidP="00086DFA">
      <w:pPr>
        <w:pStyle w:val="NormalHanging12a"/>
      </w:pPr>
      <w:r w:rsidRPr="005506CA">
        <w:t>21.</w:t>
      </w:r>
      <w:r w:rsidRPr="005506CA">
        <w:tab/>
        <w:t xml:space="preserve">подчертава необходимостта от опростяване на правилата и премахване на пречките, свързани с трансферите на отбранителни продукти в рамките на ЕС, включително взаимно признаване на критерии и сертифициране и опростяване на исканията за предварително разрешение; изразява съжаление, че генералните лицензи за трансфер по Директива 2009/81/ЕО се използват ограничено и че широко се използват индивидуални лицензи, и призовава държавите членки да се възползват в пълна степен от възможностите за опростяване на правилата и намаляване на административната тежест в настоящата правна рамка; призовава Комисията спешно да представи предложения за по-нататъшно хармонизиране на трансферите в рамките на ЕС на отбранителни продукти, за да се осигури по-просто движение на такива продукти в рамките на Съюза, по-специално като бъдат премахнати изискванията за издаване на разрешения за компоненти, които вече са интегрирани или следва да бъдат интегрирани в отбранителен продукт и не могат да бъдат прехвърляни или изнасяни като такива; освен това призовава държавите членки да работят за постигането на същата цел и бързо да транспонират и прилагат мерките, предложени в сборния пакет от мерки за отбранителната готовност по отношение на трансферите на отбранителни продукти в рамките на ЕС; призовава държавите членки да спазват изцяло Общата позиция на ЕС относно износа на оръжие и да проучват, когато е </w:t>
      </w:r>
      <w:r w:rsidRPr="005506CA">
        <w:lastRenderedPageBreak/>
        <w:t>възможно, вариантите за по-нататъшно хармонизиране на правилата за износ на отбранителни стоки; предлага като възможни отправни точки да се разглеждат хармонизирането на системите за контрол на износа, разширяването на обхвата на генералните лицензи за трансфер или използването на договора от Аахен, както и укрепването на Директивата за ИКТ</w:t>
      </w:r>
      <w:r w:rsidR="005A2D56">
        <w:rPr>
          <w:rStyle w:val="FootnoteReference"/>
        </w:rPr>
        <w:footnoteReference w:id="15"/>
      </w:r>
      <w:r w:rsidRPr="005506CA">
        <w:t>, за да се улеснят трансферите в рамките на ЕС на свързани с отбраната продукти;</w:t>
      </w:r>
    </w:p>
    <w:p w14:paraId="5325C457" w14:textId="77777777" w:rsidR="00086DFA" w:rsidRPr="005506CA" w:rsidRDefault="00086DFA" w:rsidP="00086DFA">
      <w:pPr>
        <w:pStyle w:val="NormalHanging12a"/>
      </w:pPr>
      <w:r w:rsidRPr="005506CA">
        <w:t>22.</w:t>
      </w:r>
      <w:r w:rsidRPr="005506CA">
        <w:tab/>
        <w:t>призовава Комисията, Европейската агенция по отбрана и държавите членки да работят за създаване на схема за взаимно признаване на разрешенията за достъп до класифицирана информация и сертифицирането, така че разрешенията, издадени в една държава членка, да се приемат и в други държави членки; предлага да се създаде доброволна конвенция за споразумение за взаимно признаване на разрешенията за достъп в държавите – членки на ЕС, според която, ако дадено дружество или физическо лице притежава национално разрешение за достъп в една държава членка, това разрешение да бъде признавано от другите държави, които се присъединяват към споразумението, при условие че има подходящ обмен на информация и надзор; приканва Европейската агенция по отбрана да улесни разработването на тази рамка и призовава държавите членки да я приключат бързо;</w:t>
      </w:r>
    </w:p>
    <w:p w14:paraId="6AEA1040" w14:textId="6A549920" w:rsidR="00086DFA" w:rsidRPr="005506CA" w:rsidRDefault="00086DFA" w:rsidP="00086DFA">
      <w:pPr>
        <w:pStyle w:val="NormalHanging12a"/>
      </w:pPr>
      <w:r w:rsidRPr="005506CA">
        <w:t>23.</w:t>
      </w:r>
      <w:r w:rsidRPr="005506CA">
        <w:tab/>
        <w:t>подчертава неотложната необходимост да се повиши устойчивостта на европейските вериги на доставки в областта на отбраната и да се намалят единичните точки, където прекъсването води до общ срив, и излагането на потенциални принудителни мерки от страна на държави извън ЕС, пример за което са заплахите на Китай за ограничаване на износа на суровини; изисква в Законодателния акт на ЕС за суровините от критично значение</w:t>
      </w:r>
      <w:r w:rsidR="005A2D56">
        <w:rPr>
          <w:rStyle w:val="FootnoteReference"/>
        </w:rPr>
        <w:footnoteReference w:id="16"/>
      </w:r>
      <w:r w:rsidRPr="005506CA">
        <w:t xml:space="preserve"> да се постави специален акцент върху нуждите на отбраната;</w:t>
      </w:r>
    </w:p>
    <w:p w14:paraId="307E4E81" w14:textId="77777777" w:rsidR="00086DFA" w:rsidRPr="005506CA" w:rsidRDefault="00086DFA" w:rsidP="00086DFA">
      <w:pPr>
        <w:pStyle w:val="NormalHanging12a"/>
      </w:pPr>
      <w:r w:rsidRPr="005506CA">
        <w:t>24.</w:t>
      </w:r>
      <w:r w:rsidRPr="005506CA">
        <w:tab/>
        <w:t xml:space="preserve">призовава Комисията и държавите членки да създадат стимули за диверсификация на веригата на доставки, включващи подкрепа за нови участници на пазара и МСП; подчертава, че стремежът към ефективност на разходите не трябва да подкопава националната сигурност на доставките; призовава Комисията да наблюдава рисковете по веригата на доставки и да идентифицира областите на опасна концентрация, като докладва редовно за напредъка в диверсификацията на доставките; освен това призовава Комисията да разгледа ситуациите, при които поддоставчици от държави извън ЕС отказват да доставят материали, ако те ще се използват за военни приложения; подчертава необходимостта от правна рамка, която да гарантира договорна надеждност по всички вериги на доставки в областта на отбраната; призовава Комисията да създаде стратегически запаси в съответствие със стратегията на ЕС за Съюз на подготвеност; подчертава в тази </w:t>
      </w:r>
      <w:r w:rsidRPr="005506CA">
        <w:lastRenderedPageBreak/>
        <w:t>връзка значението на режима за сигурност на доставките, установен в рамките на ПЕОП;</w:t>
      </w:r>
    </w:p>
    <w:p w14:paraId="78966A06" w14:textId="77777777" w:rsidR="00086DFA" w:rsidRPr="005506CA" w:rsidRDefault="00086DFA" w:rsidP="00086DFA">
      <w:pPr>
        <w:pStyle w:val="NormalHanging12a"/>
      </w:pPr>
      <w:r w:rsidRPr="005506CA">
        <w:t>25.</w:t>
      </w:r>
      <w:r w:rsidRPr="005506CA">
        <w:tab/>
        <w:t>подчертава необходимостта да се гарантира, че промишленото производство, инвестициите и създаването на стойност в областта на отбраната са географски балансирани и допринасят за икономическото и социалното сближаване в рамките на ЕС, като същевременно повишават устойчивостта чрез географска диверсификация и отразяват реалността на заплахите за сигурността, пред които са изправени държавите членки в съответните си съседни региони; призовава планирането на инвестициите в отбраната да се извършва по начин, който укрепва социалното сближаване в рамките на регионите и държавите членки и между тях, като същевременно повишава устойчивостта по време на свързани с отбраната кризи, при условие че това не подкопава целта за ефективност на разходите, бързина и конкуренция;</w:t>
      </w:r>
    </w:p>
    <w:p w14:paraId="3D6E6D1A" w14:textId="77777777" w:rsidR="00086DFA" w:rsidRPr="005506CA" w:rsidRDefault="00086DFA" w:rsidP="00086DFA">
      <w:pPr>
        <w:pStyle w:val="NormalHanging12a"/>
      </w:pPr>
      <w:r w:rsidRPr="005506CA">
        <w:t>26.</w:t>
      </w:r>
      <w:r w:rsidRPr="005506CA">
        <w:tab/>
        <w:t>приканва Комисията да издаде ясни насоки относно начина, по който съображенията, свързани с отбраната и сигурността, трябва да бъдат претегляни при вземането на решенията за контрол върху сливанията, засягащи ЕОТИБ, в съответствие с политиката на ЕС за конкуренцията; също така приканва Комисията да проучи възможността за целеви корекции на правилата на ЕС за конкуренцията, така че да подпомогне в по-голяма степен специфичните нужди на отбранителната промишленост, например чрез въвеждане на целево групово освобождаване за проекти за научноизследователска и развойна дейност в областта на отбраната, финансирани по програми на ЕС; подчертава, че сигурността на доставките и намаляването на стратегическите зависимости следва да се разглеждат като положителни критерии при оценката на сливанията или като мерки за помощ в сектора на отбраната;</w:t>
      </w:r>
    </w:p>
    <w:p w14:paraId="505C6146" w14:textId="77777777" w:rsidR="00086DFA" w:rsidRPr="005506CA" w:rsidRDefault="00086DFA" w:rsidP="00086DFA">
      <w:pPr>
        <w:pStyle w:val="NormalHanging12a"/>
      </w:pPr>
      <w:r w:rsidRPr="005506CA">
        <w:t>27.</w:t>
      </w:r>
      <w:r w:rsidRPr="005506CA">
        <w:tab/>
        <w:t>подчертава необходимостта да се развива по-проактивна роля за ЕС в поддържането на инвестициите в технологии и продукти с двойна употреба, по-специално когато те са част от веригите за доставки на отбранителни продукти, като средство за повишаване на сигурността на доставките и устойчивостта на ЕС срещу хибридни и нововъзникващи заплахи; застъпва се за насърчаване на гражданската пазарна реализация на тези технологии като начин за разширяване на пазарните възможности, създаване на положителни странични ефекти и укрепване на ЕОТИБ, като се насърчават полезните взаимодействия между военните и гражданските разработки; призовава Комисията и държавите членки да създадат стимули за ограничаване в рамките на ЕС на веригите на доставки за най-критичните суровини за отбранителни продукти, включително чрез подсилен капиталов механизъм в областта на отбраната, насочен към пазарна реализация на по-късен етап, увеличаване на финансирането и достъп на МСП до коридори за изпитване и киберполигони; подчертава, че нововъзникващият сектор на новото космическо пространство и неговият иновативен потенциал по отношение на технологиите с двойна употреба също следва да се използват пълноценно за отбранителните и гражданските разработки;</w:t>
      </w:r>
    </w:p>
    <w:p w14:paraId="030CAAAD" w14:textId="77777777" w:rsidR="00086DFA" w:rsidRPr="005506CA" w:rsidRDefault="00086DFA" w:rsidP="00086DFA">
      <w:pPr>
        <w:pStyle w:val="NormalHanging12a"/>
      </w:pPr>
      <w:r w:rsidRPr="005506CA">
        <w:t>28.</w:t>
      </w:r>
      <w:r w:rsidRPr="005506CA">
        <w:tab/>
        <w:t xml:space="preserve">призовава Комисията да направи оценка на правните, процедурните и регулаторните корекции, които биха били необходими, за да се гарантира, че ЕС и неговите държави членки могат бързо да адаптират правилата за възлагане на обществени поръчки и производство в областта на отбраната в случай на война или сериозна криза в сигурността и да гарантират, че няма да се стигне до смущения на единния пазар; освен това призовава Комисията да гарантира, че </w:t>
      </w:r>
      <w:r w:rsidRPr="005506CA">
        <w:lastRenderedPageBreak/>
        <w:t>подобно действие ще съответства на режима за сигурност на доставките, включен в ПЕОП; подчертава колко е важна подготвеността под формата на рамка за непредвидени случаи, която да урежда възлагането на обществени поръчки при извънредни ситуации и увеличаването на промишления капацитет и която би могла да бъде задействана бързо, ако е необходимо;</w:t>
      </w:r>
    </w:p>
    <w:p w14:paraId="17FC6613" w14:textId="77777777" w:rsidR="00086DFA" w:rsidRPr="005506CA" w:rsidRDefault="00086DFA" w:rsidP="00086DFA">
      <w:pPr>
        <w:pStyle w:val="NormalHanging12a"/>
      </w:pPr>
      <w:r w:rsidRPr="005506CA">
        <w:t>29.</w:t>
      </w:r>
      <w:r w:rsidRPr="005506CA">
        <w:tab/>
        <w:t>счита, че институциите и агенциите на ЕС следва да действат по-решително за улесняване на координацията между държавите членки, и приветства приноса на Европейската агенция по отбрана (ЕАО), по-специално чрез плана за развитие на способностите и координирания годишен преглед на отбраната, като подчертава, че нейният експертен опит следва да се използва пълноценно; подчертава, че ЕАО има решаваща роля за насърчаването на интегриран европейски пазар в областта на отбраната, и призовава в това отношение да бъдат подсилени нейният мандат и ресурси; подкрепя по-активното участие на ЕАО в инициативите на ЕС в областта на отбраната и в посочването на трайните пречки пред единния пазар в областта на отбраната; призовава за развиване и регионално присъствие на Центъра за иновации в областта на отбраната на ЕС (HEDI) в рамките на ЕАО, за да се разшири неговата роля като централна платформа, свързваща МСП, стартиращи предприятия, научноизследователски центрове и главни изпълнители; счита, че укрепването на ЕАО ще спомогне за насърчаване на взаимното доверие и сътрудничество, необходими за напредъка на единния пазар в областта на отбраната, тъй като Агенцията е в уникална позиция да свързва националните и европейските интереси; приветства и приноса на многостранните агенции за възлагане на обществени поръчки, например Организацията за сътрудничество в областта на въоръженията, които насърчават хармонизирането на оборудването в държавите членки и държавите партньори извън ЕС;</w:t>
      </w:r>
    </w:p>
    <w:p w14:paraId="48E4955C" w14:textId="77777777" w:rsidR="00086DFA" w:rsidRPr="005506CA" w:rsidRDefault="00086DFA" w:rsidP="00086DFA">
      <w:pPr>
        <w:pStyle w:val="NormalHanging12a"/>
      </w:pPr>
      <w:r w:rsidRPr="005506CA">
        <w:t>30.</w:t>
      </w:r>
      <w:r w:rsidRPr="005506CA">
        <w:tab/>
        <w:t>подчертава необходимостта от допълнително европейско финансиране, предназначено за преодоляване на недостатъчната пазарна реализация на иновациите в областта на отбранителните продукти; призовава за по-силни инструменти, с които да се гарантира, че МСП и дружествата със средна пазарна капитализация ще имат реален достъп, който може да се разрасне по мащаб, до частен капитал и програми в областта на отбраната, включително чрез рационализирани обществени поръчки, благоприятни за иновациите правила и трансгранична подкрепа за намиране на партньори, като по този начин се осигурява по-голямо участие от тяхна страна и по-справедливо разпределение на средствата; подчертава, че е важно да се създадат регионални инкубатори за отбранителни технологии под егидата на HEDI, за да се подкрепят трансграничните консорциуми от МСП, да се осигури наставничество за ориентиране в обществените поръчки в областта на отбраната и да се улесни изпитването и валидирането на иновативни технологии в сътрудничество с крайните военни потребители;</w:t>
      </w:r>
    </w:p>
    <w:p w14:paraId="0442CC95" w14:textId="77777777" w:rsidR="00086DFA" w:rsidRPr="005506CA" w:rsidRDefault="00086DFA" w:rsidP="00086DFA">
      <w:pPr>
        <w:pStyle w:val="NormalHanging12a"/>
      </w:pPr>
      <w:r w:rsidRPr="005506CA">
        <w:t>31.</w:t>
      </w:r>
      <w:r w:rsidRPr="005506CA">
        <w:tab/>
        <w:t xml:space="preserve">подчертава необходимостта ЕС и НАТО да подпишат всеобхватно споразумение за сътрудничество относно планирането и развитието на способностите, за да осигурят съгласувано и взаимнодопълващо се планиране и оперативно съвместими отбранителни способности, както и относно стандартизацията; подчертава, че това сътрудничество трябва да зачита автономността и на двете организации, като същевременно се избягва дублирането и се насърчава справедливото споделяне на тежестта; призовава Комисията в сътрудничество с ЕАО да подготви законодателно предложение, което да създаде хармонизирана рамка на ЕС за правно обвързващи технически стандарти и сертифициране на </w:t>
      </w:r>
      <w:r w:rsidRPr="005506CA">
        <w:lastRenderedPageBreak/>
        <w:t>отбранителни продукти въз основа на Европейската референтна система за отбранителни стандарти (EDSTAR) и когато е целесъобразно, посредством кодифицирането на избрани споразумения за стандартизация на НАТО (STANAG) в законодателството на ЕС; освен това призовава Комисията да предложи рамка за съвместно европейско изпитване и сертифициране на отбранително оборудване, включваща общи съоръжения за изпитване и сертифициране, вместо да се извършва отделно национално валидиране за всеки отбранителен продукт; призовава държавите членки да приведат усилията си за възлагане на обществени поръчки и развитие на способностите в съответствие с приоритетите на НАТО за отбранително планиране, като гарантират пълна оперативна съвместимост на системите и избягват паралелните структури; подчертава, че с една по-силна и по-интегрирана европейска отбранителна промишленост следва да се увеличи приносът на Европа в рамките на НАТО и трансатлантическото споделяне на тежестта, като същевременно се поддържа отворено сътрудничество с надеждни партньори като Украйна, държавите от ЕИП/ЕАСТ и държавите с партньорства в областта на сигурността и отбраната; насърчава осъществяването на плана за действие на НАТО за бързо въвеждане, насочен към ускоряване на националните процедури за възлагане на обществени поръчки и усилията за реформиране на циклите на придобиване, изпитателните протоколи и рамките за сертифициране, за да се гарантира, че иновациите в областта на военните технологии са в крак със средата на заплахи.</w:t>
      </w:r>
    </w:p>
    <w:p w14:paraId="11AF21A9" w14:textId="77777777" w:rsidR="00086DFA" w:rsidRPr="005506CA" w:rsidRDefault="00086DFA" w:rsidP="00086DFA">
      <w:pPr>
        <w:pStyle w:val="NormalHanging12a"/>
      </w:pPr>
      <w:r w:rsidRPr="005506CA">
        <w:t>32.</w:t>
      </w:r>
      <w:r w:rsidRPr="005506CA">
        <w:tab/>
        <w:t>отбелязва свързаните с отбраната препоръки, представени от бившия италиански министър-председател Енрико Лета през 2024 г. в неговия доклад, озаглавен „Много повече от пазар“; отбелязва, че данъчните пречки и различните процедури относно данъка върху добавената стойност в програмите за съвместно възлагане на обществени поръчки възпрепятстват постигането на целите за отбранителна готовност до 2030 г., разрастването на отбранителната промишленост и разширяването на съвместните програми; призовава Комисията да действа по предложенията в доклада на Лета и да положи повече усилия за намаляване на данъчните пречки;</w:t>
      </w:r>
    </w:p>
    <w:p w14:paraId="06AB0659" w14:textId="77777777" w:rsidR="00086DFA" w:rsidRPr="005506CA" w:rsidRDefault="00086DFA" w:rsidP="00086DFA">
      <w:pPr>
        <w:pStyle w:val="NormalHanging12a"/>
      </w:pPr>
      <w:r w:rsidRPr="005506CA">
        <w:t>33.</w:t>
      </w:r>
      <w:r w:rsidRPr="005506CA">
        <w:tab/>
        <w:t>призовава държавите членки да популяризират кариерите в отбранителните технологии сред младите специалисти, включително чрез кампании за повишаване на осведомеността относно приноса на сектора към сигурността и технологичните иновации в Европа; насърчава създаването на публично-частни партньорства между дружества в областта на отбраната, образователни институции и правителства с цел създаване на резерв от таланти; настоятелно призовава държавите членки и Комисията в диалог със социалните партньори, включително профсъюзите, да предложат специфични за сектора стратегии за изграждане на умения, например програми за обучение и възможности за учене през целия живот, за да се запълни настоящият и бъдещият недостиг на умения в отбранителната промишленост; в тази връзка предлага в програмата „Съюз на уменията“ изрично да се включи секторът на отбраната, за да се улесни мобилността на квалифицираните работници между държавите членки до местата, където те са най-необходими;</w:t>
      </w:r>
    </w:p>
    <w:p w14:paraId="6A1F2F6A" w14:textId="77777777" w:rsidR="00086DFA" w:rsidRPr="005506CA" w:rsidRDefault="00086DFA" w:rsidP="00086DFA">
      <w:pPr>
        <w:pStyle w:val="NormalHanging12a"/>
      </w:pPr>
      <w:r w:rsidRPr="005506CA">
        <w:t>34.</w:t>
      </w:r>
      <w:r w:rsidRPr="005506CA">
        <w:tab/>
        <w:t xml:space="preserve">призовава Комисията чрез независима оценка на въздействието да даде още по-подробно количествено изражение на потенциалните финансови и оперативни ползи от единния пазар в областта на отбраната, включително от повишаването на ефективността и увеличаването на колективния военен капацитет; призовава да се създаде единно звено за контакт, където заинтересованите страни да могат да </w:t>
      </w:r>
      <w:r w:rsidRPr="005506CA">
        <w:lastRenderedPageBreak/>
        <w:t>докладват за пречки, да събират данни и да наблюдават спазването от страна на държавите членки;</w:t>
      </w:r>
    </w:p>
    <w:p w14:paraId="496AE05B" w14:textId="77777777" w:rsidR="00086DFA" w:rsidRPr="005506CA" w:rsidRDefault="00086DFA" w:rsidP="00086DFA">
      <w:pPr>
        <w:pStyle w:val="NormalHanging12a"/>
      </w:pPr>
      <w:r w:rsidRPr="005506CA">
        <w:t>35.</w:t>
      </w:r>
      <w:r w:rsidRPr="005506CA">
        <w:tab/>
        <w:t>приветства заключенията на Европейския съвет от октомври 2025 г., в които се призовава за съставяне на годишен доклад относно готовността на отбранителната промишленост на ЕС, и призовава в допълнение да се създаде „информационно табло за единния пазар в областта на отбраната“, публикувано от Комисията в сътрудничество с ЕАО; подчертава, че това табло трябва да следи показатели като дял на обществените поръчки в областта на отбраната, провеждани съвместно или чрез открита конкуренция в целия ЕС, равнища на трансгранично промишлено сътрудничество, процент на участие на МСП и намаление в дублирането на системи; подчертава, че таблото следва да отразява и социално-икономическите ползи от програмите на ЕС в областта на отбраната във всички държави членки и региони, включително създаването на работни места и промишленото развитие, за да задава насоки за усъвършенстване на политиките и да укрепва общественото доверие;</w:t>
      </w:r>
    </w:p>
    <w:p w14:paraId="242DDDA6" w14:textId="77777777" w:rsidR="00086DFA" w:rsidRPr="005506CA" w:rsidRDefault="00086DFA" w:rsidP="00086DFA">
      <w:pPr>
        <w:pStyle w:val="NormalHanging12a"/>
      </w:pPr>
      <w:r w:rsidRPr="005506CA">
        <w:t>36.</w:t>
      </w:r>
      <w:r w:rsidRPr="005506CA">
        <w:tab/>
        <w:t>изразява твърдо убеждение, че за да се гарантират демократичната легитимност и прозрачността на политиките на ЕС в областта на отбраната във времена на хибридна война и кампании за дезинформация, Парламентът трябва да играе централна роля в планирането, надзора и контрола на тези политики; подчертава, че трябва да се гарантира прозрачност и отчетност; призовава Комисията, Съвета, държавите членки и ЕАО да гарантират наличието на сигурни канали за обмен на класифицирана и поверителна информация с Парламента, отбранителната промишленост и националните органи;</w:t>
      </w:r>
    </w:p>
    <w:p w14:paraId="0E9CF3F0" w14:textId="77777777" w:rsidR="00086DFA" w:rsidRPr="005506CA" w:rsidRDefault="00086DFA" w:rsidP="00086DFA">
      <w:pPr>
        <w:pStyle w:val="NormalCenter12a"/>
      </w:pPr>
      <w:r w:rsidRPr="005506CA">
        <w:t>°</w:t>
      </w:r>
    </w:p>
    <w:p w14:paraId="3646EE5E" w14:textId="77777777" w:rsidR="00086DFA" w:rsidRPr="005506CA" w:rsidRDefault="00086DFA" w:rsidP="00086DFA">
      <w:pPr>
        <w:pStyle w:val="NormalCenter12a"/>
      </w:pPr>
      <w:r w:rsidRPr="005506CA">
        <w:t>°</w:t>
      </w:r>
      <w:r w:rsidRPr="005506CA">
        <w:tab/>
        <w:t>°</w:t>
      </w:r>
    </w:p>
    <w:p w14:paraId="5A335E1E" w14:textId="7B9C2EF9" w:rsidR="005506CA" w:rsidRPr="005506CA" w:rsidRDefault="00086DFA" w:rsidP="005506CA">
      <w:pPr>
        <w:pStyle w:val="NormalHanging12a"/>
      </w:pPr>
      <w:r w:rsidRPr="005506CA">
        <w:t>37.</w:t>
      </w:r>
      <w:r w:rsidRPr="005506CA">
        <w:tab/>
        <w:t>възлага на своя председател да предаде настоящата резолюция съответно на Съвета и на Комисията.</w:t>
      </w:r>
    </w:p>
    <w:p w14:paraId="35ACD581" w14:textId="027ED707" w:rsidR="00E365E1" w:rsidRPr="005506CA" w:rsidRDefault="00E365E1" w:rsidP="00346C41"/>
    <w:sectPr w:rsidR="00E365E1" w:rsidRPr="005506CA" w:rsidSect="005506CA"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B2AE22" w14:textId="77777777" w:rsidR="00346C41" w:rsidRPr="005506CA" w:rsidRDefault="00346C41">
      <w:r w:rsidRPr="005506CA">
        <w:separator/>
      </w:r>
    </w:p>
  </w:endnote>
  <w:endnote w:type="continuationSeparator" w:id="0">
    <w:p w14:paraId="45F2D7C1" w14:textId="77777777" w:rsidR="00346C41" w:rsidRPr="005506CA" w:rsidRDefault="00346C41">
      <w:r w:rsidRPr="005506C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D72B25" w14:textId="77777777" w:rsidR="00346C41" w:rsidRPr="005506CA" w:rsidRDefault="00346C41">
      <w:r w:rsidRPr="005506CA">
        <w:separator/>
      </w:r>
    </w:p>
  </w:footnote>
  <w:footnote w:type="continuationSeparator" w:id="0">
    <w:p w14:paraId="4F85A612" w14:textId="77777777" w:rsidR="00346C41" w:rsidRPr="005506CA" w:rsidRDefault="00346C41">
      <w:r w:rsidRPr="005506CA">
        <w:continuationSeparator/>
      </w:r>
    </w:p>
  </w:footnote>
  <w:footnote w:id="1">
    <w:p w14:paraId="7752E538" w14:textId="42BF8C1B" w:rsidR="005A2D56" w:rsidRPr="005506CA" w:rsidRDefault="005A2D56" w:rsidP="005506CA">
      <w:pPr>
        <w:pStyle w:val="FootnoteText"/>
        <w:ind w:left="567" w:hanging="567"/>
        <w:rPr>
          <w:sz w:val="24"/>
          <w:lang w:val="bg-BG"/>
        </w:rPr>
      </w:pPr>
      <w:r>
        <w:rPr>
          <w:rStyle w:val="FootnoteReference"/>
        </w:rPr>
        <w:footnoteRef/>
      </w:r>
      <w:r w:rsidRPr="005506CA">
        <w:rPr>
          <w:sz w:val="24"/>
          <w:vertAlign w:val="superscript"/>
          <w:lang w:val="bg-BG"/>
        </w:rPr>
        <w:t xml:space="preserve"> </w:t>
      </w:r>
      <w:r w:rsidRPr="005506CA">
        <w:rPr>
          <w:sz w:val="24"/>
          <w:vertAlign w:val="superscript"/>
          <w:lang w:val="bg-BG"/>
        </w:rPr>
        <w:tab/>
      </w:r>
      <w:r w:rsidRPr="005506CA">
        <w:rPr>
          <w:sz w:val="24"/>
          <w:lang w:val="bg-BG"/>
        </w:rPr>
        <w:t xml:space="preserve">ОВ L 331, 14.12.2017 г., стр. 57, ELI: </w:t>
      </w:r>
      <w:hyperlink r:id="rId1" w:tgtFrame="http://data.europa.eu/eli/dec/2017/2315/oj" w:history="1">
        <w:r w:rsidRPr="005506CA">
          <w:rPr>
            <w:rStyle w:val="Hyperlink"/>
            <w:sz w:val="24"/>
            <w:lang w:val="bg-BG"/>
          </w:rPr>
          <w:t>http://data.europa.eu/eli/dec/2017/2315/oj</w:t>
        </w:r>
      </w:hyperlink>
      <w:r w:rsidRPr="005506CA">
        <w:rPr>
          <w:sz w:val="24"/>
          <w:lang w:val="bg-BG"/>
        </w:rPr>
        <w:t>.</w:t>
      </w:r>
    </w:p>
  </w:footnote>
  <w:footnote w:id="2">
    <w:p w14:paraId="39E2A535" w14:textId="23942DEF" w:rsidR="005A2D56" w:rsidRPr="005506CA" w:rsidRDefault="005A2D56" w:rsidP="005506CA">
      <w:pPr>
        <w:pStyle w:val="FootnoteText"/>
        <w:ind w:left="567" w:hanging="567"/>
        <w:rPr>
          <w:sz w:val="24"/>
          <w:lang w:val="bg-BG"/>
        </w:rPr>
      </w:pPr>
      <w:r>
        <w:rPr>
          <w:rStyle w:val="FootnoteReference"/>
        </w:rPr>
        <w:footnoteRef/>
      </w:r>
      <w:r w:rsidRPr="005506CA">
        <w:rPr>
          <w:sz w:val="24"/>
          <w:vertAlign w:val="superscript"/>
          <w:lang w:val="bg-BG"/>
        </w:rPr>
        <w:t xml:space="preserve"> </w:t>
      </w:r>
      <w:r w:rsidRPr="005506CA">
        <w:rPr>
          <w:sz w:val="24"/>
          <w:vertAlign w:val="superscript"/>
          <w:lang w:val="bg-BG"/>
        </w:rPr>
        <w:tab/>
      </w:r>
      <w:r w:rsidRPr="005506CA">
        <w:rPr>
          <w:sz w:val="24"/>
          <w:lang w:val="bg-BG"/>
        </w:rPr>
        <w:t xml:space="preserve">ОВ L 146, 10.6.2009 г., стр. 1, ELI: </w:t>
      </w:r>
      <w:r>
        <w:fldChar w:fldCharType="begin"/>
      </w:r>
      <w:r>
        <w:instrText>HYPERLINK</w:instrText>
      </w:r>
      <w:r w:rsidRPr="004E357D">
        <w:rPr>
          <w:lang w:val="ru-RU"/>
        </w:rPr>
        <w:instrText xml:space="preserve"> "</w:instrText>
      </w:r>
      <w:r>
        <w:instrText>http</w:instrText>
      </w:r>
      <w:r w:rsidRPr="004E357D">
        <w:rPr>
          <w:lang w:val="ru-RU"/>
        </w:rPr>
        <w:instrText>://</w:instrText>
      </w:r>
      <w:r>
        <w:instrText>data</w:instrText>
      </w:r>
      <w:r w:rsidRPr="004E357D">
        <w:rPr>
          <w:lang w:val="ru-RU"/>
        </w:rPr>
        <w:instrText>.</w:instrText>
      </w:r>
      <w:r>
        <w:instrText>europa</w:instrText>
      </w:r>
      <w:r w:rsidRPr="004E357D">
        <w:rPr>
          <w:lang w:val="ru-RU"/>
        </w:rPr>
        <w:instrText>.</w:instrText>
      </w:r>
      <w:r>
        <w:instrText>eu</w:instrText>
      </w:r>
      <w:r w:rsidRPr="004E357D">
        <w:rPr>
          <w:lang w:val="ru-RU"/>
        </w:rPr>
        <w:instrText>/</w:instrText>
      </w:r>
      <w:r>
        <w:instrText>eli</w:instrText>
      </w:r>
      <w:r w:rsidRPr="004E357D">
        <w:rPr>
          <w:lang w:val="ru-RU"/>
        </w:rPr>
        <w:instrText>/</w:instrText>
      </w:r>
      <w:r>
        <w:instrText>dir</w:instrText>
      </w:r>
      <w:r w:rsidRPr="004E357D">
        <w:rPr>
          <w:lang w:val="ru-RU"/>
        </w:rPr>
        <w:instrText>/2009/43/</w:instrText>
      </w:r>
      <w:r>
        <w:instrText>oj</w:instrText>
      </w:r>
      <w:r w:rsidRPr="004E357D">
        <w:rPr>
          <w:lang w:val="ru-RU"/>
        </w:rPr>
        <w:instrText>" \</w:instrText>
      </w:r>
      <w:r>
        <w:instrText>t</w:instrText>
      </w:r>
      <w:r w:rsidRPr="004E357D">
        <w:rPr>
          <w:lang w:val="ru-RU"/>
        </w:rPr>
        <w:instrText xml:space="preserve"> "</w:instrText>
      </w:r>
      <w:r>
        <w:instrText>http</w:instrText>
      </w:r>
      <w:r w:rsidRPr="004E357D">
        <w:rPr>
          <w:lang w:val="ru-RU"/>
        </w:rPr>
        <w:instrText>://</w:instrText>
      </w:r>
      <w:r>
        <w:instrText>data</w:instrText>
      </w:r>
      <w:r w:rsidRPr="004E357D">
        <w:rPr>
          <w:lang w:val="ru-RU"/>
        </w:rPr>
        <w:instrText>.</w:instrText>
      </w:r>
      <w:r>
        <w:instrText>europa</w:instrText>
      </w:r>
      <w:r w:rsidRPr="004E357D">
        <w:rPr>
          <w:lang w:val="ru-RU"/>
        </w:rPr>
        <w:instrText>.</w:instrText>
      </w:r>
      <w:r>
        <w:instrText>eu</w:instrText>
      </w:r>
      <w:r w:rsidRPr="004E357D">
        <w:rPr>
          <w:lang w:val="ru-RU"/>
        </w:rPr>
        <w:instrText>/</w:instrText>
      </w:r>
      <w:r>
        <w:instrText>eli</w:instrText>
      </w:r>
      <w:r w:rsidRPr="004E357D">
        <w:rPr>
          <w:lang w:val="ru-RU"/>
        </w:rPr>
        <w:instrText>/</w:instrText>
      </w:r>
      <w:r>
        <w:instrText>dir</w:instrText>
      </w:r>
      <w:r w:rsidRPr="004E357D">
        <w:rPr>
          <w:lang w:val="ru-RU"/>
        </w:rPr>
        <w:instrText>/2009/43/</w:instrText>
      </w:r>
      <w:r>
        <w:instrText>oj</w:instrText>
      </w:r>
      <w:r w:rsidRPr="004E357D">
        <w:rPr>
          <w:lang w:val="ru-RU"/>
        </w:rPr>
        <w:instrText>"</w:instrText>
      </w:r>
      <w:r>
        <w:fldChar w:fldCharType="separate"/>
      </w:r>
      <w:r w:rsidRPr="005506CA">
        <w:rPr>
          <w:rStyle w:val="Hyperlink"/>
          <w:sz w:val="24"/>
          <w:lang w:val="bg-BG"/>
        </w:rPr>
        <w:t>http://data.europa.eu/eli/dir/2009/43/oj</w:t>
      </w:r>
      <w:r>
        <w:fldChar w:fldCharType="end"/>
      </w:r>
      <w:r w:rsidRPr="005506CA">
        <w:rPr>
          <w:sz w:val="24"/>
          <w:lang w:val="bg-BG"/>
        </w:rPr>
        <w:t>.</w:t>
      </w:r>
    </w:p>
  </w:footnote>
  <w:footnote w:id="3">
    <w:p w14:paraId="094F5283" w14:textId="46DA9697" w:rsidR="005A2D56" w:rsidRPr="005506CA" w:rsidRDefault="005A2D56" w:rsidP="005506CA">
      <w:pPr>
        <w:pStyle w:val="FootnoteText"/>
        <w:ind w:left="567" w:hanging="567"/>
        <w:rPr>
          <w:sz w:val="24"/>
          <w:lang w:val="bg-BG"/>
        </w:rPr>
      </w:pPr>
      <w:r>
        <w:rPr>
          <w:rStyle w:val="FootnoteReference"/>
        </w:rPr>
        <w:footnoteRef/>
      </w:r>
      <w:r w:rsidRPr="005506CA">
        <w:rPr>
          <w:sz w:val="24"/>
          <w:vertAlign w:val="superscript"/>
          <w:lang w:val="bg-BG"/>
        </w:rPr>
        <w:t xml:space="preserve"> </w:t>
      </w:r>
      <w:r w:rsidRPr="005506CA">
        <w:rPr>
          <w:sz w:val="24"/>
          <w:vertAlign w:val="superscript"/>
          <w:lang w:val="bg-BG"/>
        </w:rPr>
        <w:tab/>
      </w:r>
      <w:r w:rsidRPr="005506CA">
        <w:rPr>
          <w:sz w:val="24"/>
          <w:lang w:val="bg-BG"/>
        </w:rPr>
        <w:t xml:space="preserve">ОВ L 216, 20.8.2009 г., стр. 76, ELI: </w:t>
      </w:r>
      <w:r>
        <w:fldChar w:fldCharType="begin"/>
      </w:r>
      <w:r>
        <w:instrText>HYPERLINK</w:instrText>
      </w:r>
      <w:r w:rsidRPr="004E357D">
        <w:rPr>
          <w:lang w:val="ru-RU"/>
        </w:rPr>
        <w:instrText xml:space="preserve"> "</w:instrText>
      </w:r>
      <w:r>
        <w:instrText>http</w:instrText>
      </w:r>
      <w:r w:rsidRPr="004E357D">
        <w:rPr>
          <w:lang w:val="ru-RU"/>
        </w:rPr>
        <w:instrText>://</w:instrText>
      </w:r>
      <w:r>
        <w:instrText>data</w:instrText>
      </w:r>
      <w:r w:rsidRPr="004E357D">
        <w:rPr>
          <w:lang w:val="ru-RU"/>
        </w:rPr>
        <w:instrText>.</w:instrText>
      </w:r>
      <w:r>
        <w:instrText>europa</w:instrText>
      </w:r>
      <w:r w:rsidRPr="004E357D">
        <w:rPr>
          <w:lang w:val="ru-RU"/>
        </w:rPr>
        <w:instrText>.</w:instrText>
      </w:r>
      <w:r>
        <w:instrText>eu</w:instrText>
      </w:r>
      <w:r w:rsidRPr="004E357D">
        <w:rPr>
          <w:lang w:val="ru-RU"/>
        </w:rPr>
        <w:instrText>/</w:instrText>
      </w:r>
      <w:r>
        <w:instrText>eli</w:instrText>
      </w:r>
      <w:r w:rsidRPr="004E357D">
        <w:rPr>
          <w:lang w:val="ru-RU"/>
        </w:rPr>
        <w:instrText>/</w:instrText>
      </w:r>
      <w:r>
        <w:instrText>dir</w:instrText>
      </w:r>
      <w:r w:rsidRPr="004E357D">
        <w:rPr>
          <w:lang w:val="ru-RU"/>
        </w:rPr>
        <w:instrText>/2009/81/</w:instrText>
      </w:r>
      <w:r>
        <w:instrText>oj</w:instrText>
      </w:r>
      <w:r w:rsidRPr="004E357D">
        <w:rPr>
          <w:lang w:val="ru-RU"/>
        </w:rPr>
        <w:instrText>" \</w:instrText>
      </w:r>
      <w:r>
        <w:instrText>t</w:instrText>
      </w:r>
      <w:r w:rsidRPr="004E357D">
        <w:rPr>
          <w:lang w:val="ru-RU"/>
        </w:rPr>
        <w:instrText xml:space="preserve"> "</w:instrText>
      </w:r>
      <w:r>
        <w:instrText>http</w:instrText>
      </w:r>
      <w:r w:rsidRPr="004E357D">
        <w:rPr>
          <w:lang w:val="ru-RU"/>
        </w:rPr>
        <w:instrText>://</w:instrText>
      </w:r>
      <w:r>
        <w:instrText>data</w:instrText>
      </w:r>
      <w:r w:rsidRPr="004E357D">
        <w:rPr>
          <w:lang w:val="ru-RU"/>
        </w:rPr>
        <w:instrText>.</w:instrText>
      </w:r>
      <w:r>
        <w:instrText>europa</w:instrText>
      </w:r>
      <w:r w:rsidRPr="004E357D">
        <w:rPr>
          <w:lang w:val="ru-RU"/>
        </w:rPr>
        <w:instrText>.</w:instrText>
      </w:r>
      <w:r>
        <w:instrText>eu</w:instrText>
      </w:r>
      <w:r w:rsidRPr="004E357D">
        <w:rPr>
          <w:lang w:val="ru-RU"/>
        </w:rPr>
        <w:instrText>/</w:instrText>
      </w:r>
      <w:r>
        <w:instrText>eli</w:instrText>
      </w:r>
      <w:r w:rsidRPr="004E357D">
        <w:rPr>
          <w:lang w:val="ru-RU"/>
        </w:rPr>
        <w:instrText>/</w:instrText>
      </w:r>
      <w:r>
        <w:instrText>dir</w:instrText>
      </w:r>
      <w:r w:rsidRPr="004E357D">
        <w:rPr>
          <w:lang w:val="ru-RU"/>
        </w:rPr>
        <w:instrText>/2009/81/</w:instrText>
      </w:r>
      <w:r>
        <w:instrText>oj</w:instrText>
      </w:r>
      <w:r w:rsidRPr="004E357D">
        <w:rPr>
          <w:lang w:val="ru-RU"/>
        </w:rPr>
        <w:instrText>"</w:instrText>
      </w:r>
      <w:r>
        <w:fldChar w:fldCharType="separate"/>
      </w:r>
      <w:r w:rsidRPr="005506CA">
        <w:rPr>
          <w:rStyle w:val="Hyperlink"/>
          <w:sz w:val="24"/>
          <w:lang w:val="bg-BG"/>
        </w:rPr>
        <w:t>http://data.europa.eu/eli/dir/2009/81/oj</w:t>
      </w:r>
      <w:r>
        <w:fldChar w:fldCharType="end"/>
      </w:r>
      <w:r w:rsidRPr="005506CA">
        <w:rPr>
          <w:sz w:val="24"/>
          <w:lang w:val="bg-BG"/>
        </w:rPr>
        <w:t>.</w:t>
      </w:r>
    </w:p>
  </w:footnote>
  <w:footnote w:id="4">
    <w:p w14:paraId="5DB54AC3" w14:textId="1EF10CD1" w:rsidR="005A2D56" w:rsidRPr="005506CA" w:rsidRDefault="005A2D56" w:rsidP="005506CA">
      <w:pPr>
        <w:pStyle w:val="FootnoteText"/>
        <w:ind w:left="567" w:hanging="567"/>
        <w:rPr>
          <w:sz w:val="24"/>
          <w:lang w:val="bg-BG"/>
        </w:rPr>
      </w:pPr>
      <w:r>
        <w:rPr>
          <w:rStyle w:val="FootnoteReference"/>
        </w:rPr>
        <w:footnoteRef/>
      </w:r>
      <w:r w:rsidRPr="005506CA">
        <w:rPr>
          <w:sz w:val="24"/>
          <w:vertAlign w:val="superscript"/>
          <w:lang w:val="bg-BG"/>
        </w:rPr>
        <w:t xml:space="preserve"> </w:t>
      </w:r>
      <w:r w:rsidRPr="005506CA">
        <w:rPr>
          <w:sz w:val="24"/>
          <w:vertAlign w:val="superscript"/>
          <w:lang w:val="bg-BG"/>
        </w:rPr>
        <w:tab/>
      </w:r>
      <w:r w:rsidRPr="005506CA">
        <w:rPr>
          <w:sz w:val="24"/>
          <w:lang w:val="bg-BG"/>
        </w:rPr>
        <w:t xml:space="preserve">ОВ L 170, 12.5.2021 г., стр. 149, ELI: </w:t>
      </w:r>
      <w:r>
        <w:fldChar w:fldCharType="begin"/>
      </w:r>
      <w:r>
        <w:instrText>HYPERLINK</w:instrText>
      </w:r>
      <w:r w:rsidRPr="004E357D">
        <w:rPr>
          <w:lang w:val="ru-RU"/>
        </w:rPr>
        <w:instrText xml:space="preserve"> "</w:instrText>
      </w:r>
      <w:r>
        <w:instrText>http</w:instrText>
      </w:r>
      <w:r w:rsidRPr="004E357D">
        <w:rPr>
          <w:lang w:val="ru-RU"/>
        </w:rPr>
        <w:instrText>://</w:instrText>
      </w:r>
      <w:r>
        <w:instrText>data</w:instrText>
      </w:r>
      <w:r w:rsidRPr="004E357D">
        <w:rPr>
          <w:lang w:val="ru-RU"/>
        </w:rPr>
        <w:instrText>.</w:instrText>
      </w:r>
      <w:r>
        <w:instrText>europa</w:instrText>
      </w:r>
      <w:r w:rsidRPr="004E357D">
        <w:rPr>
          <w:lang w:val="ru-RU"/>
        </w:rPr>
        <w:instrText>.</w:instrText>
      </w:r>
      <w:r>
        <w:instrText>eu</w:instrText>
      </w:r>
      <w:r w:rsidRPr="004E357D">
        <w:rPr>
          <w:lang w:val="ru-RU"/>
        </w:rPr>
        <w:instrText>/</w:instrText>
      </w:r>
      <w:r>
        <w:instrText>eli</w:instrText>
      </w:r>
      <w:r w:rsidRPr="004E357D">
        <w:rPr>
          <w:lang w:val="ru-RU"/>
        </w:rPr>
        <w:instrText>/</w:instrText>
      </w:r>
      <w:r>
        <w:instrText>reg</w:instrText>
      </w:r>
      <w:r w:rsidRPr="004E357D">
        <w:rPr>
          <w:lang w:val="ru-RU"/>
        </w:rPr>
        <w:instrText>/2021/697/</w:instrText>
      </w:r>
      <w:r>
        <w:instrText>oj</w:instrText>
      </w:r>
      <w:r w:rsidRPr="004E357D">
        <w:rPr>
          <w:lang w:val="ru-RU"/>
        </w:rPr>
        <w:instrText>" \</w:instrText>
      </w:r>
      <w:r>
        <w:instrText>t</w:instrText>
      </w:r>
      <w:r w:rsidRPr="004E357D">
        <w:rPr>
          <w:lang w:val="ru-RU"/>
        </w:rPr>
        <w:instrText xml:space="preserve"> "</w:instrText>
      </w:r>
      <w:r>
        <w:instrText>http</w:instrText>
      </w:r>
      <w:r w:rsidRPr="004E357D">
        <w:rPr>
          <w:lang w:val="ru-RU"/>
        </w:rPr>
        <w:instrText>://</w:instrText>
      </w:r>
      <w:r>
        <w:instrText>data</w:instrText>
      </w:r>
      <w:r w:rsidRPr="004E357D">
        <w:rPr>
          <w:lang w:val="ru-RU"/>
        </w:rPr>
        <w:instrText>.</w:instrText>
      </w:r>
      <w:r>
        <w:instrText>europa</w:instrText>
      </w:r>
      <w:r w:rsidRPr="004E357D">
        <w:rPr>
          <w:lang w:val="ru-RU"/>
        </w:rPr>
        <w:instrText>.</w:instrText>
      </w:r>
      <w:r>
        <w:instrText>eu</w:instrText>
      </w:r>
      <w:r w:rsidRPr="004E357D">
        <w:rPr>
          <w:lang w:val="ru-RU"/>
        </w:rPr>
        <w:instrText>/</w:instrText>
      </w:r>
      <w:r>
        <w:instrText>eli</w:instrText>
      </w:r>
      <w:r w:rsidRPr="004E357D">
        <w:rPr>
          <w:lang w:val="ru-RU"/>
        </w:rPr>
        <w:instrText>/</w:instrText>
      </w:r>
      <w:r>
        <w:instrText>reg</w:instrText>
      </w:r>
      <w:r w:rsidRPr="004E357D">
        <w:rPr>
          <w:lang w:val="ru-RU"/>
        </w:rPr>
        <w:instrText>/2021/697/</w:instrText>
      </w:r>
      <w:r>
        <w:instrText>oj</w:instrText>
      </w:r>
      <w:r w:rsidRPr="004E357D">
        <w:rPr>
          <w:lang w:val="ru-RU"/>
        </w:rPr>
        <w:instrText>"</w:instrText>
      </w:r>
      <w:r>
        <w:fldChar w:fldCharType="separate"/>
      </w:r>
      <w:r w:rsidRPr="005506CA">
        <w:rPr>
          <w:rStyle w:val="Hyperlink"/>
          <w:sz w:val="24"/>
          <w:lang w:val="bg-BG"/>
        </w:rPr>
        <w:t>http://data.europa.eu/eli/reg/2021/697/oj</w:t>
      </w:r>
      <w:r>
        <w:fldChar w:fldCharType="end"/>
      </w:r>
      <w:r w:rsidRPr="005506CA">
        <w:rPr>
          <w:sz w:val="24"/>
          <w:lang w:val="bg-BG"/>
        </w:rPr>
        <w:t>.</w:t>
      </w:r>
    </w:p>
  </w:footnote>
  <w:footnote w:id="5">
    <w:p w14:paraId="4FFE72ED" w14:textId="1CD301B7" w:rsidR="005A2D56" w:rsidRPr="005506CA" w:rsidRDefault="005A2D56" w:rsidP="005506CA">
      <w:pPr>
        <w:pStyle w:val="FootnoteText"/>
        <w:ind w:left="567" w:hanging="567"/>
        <w:rPr>
          <w:sz w:val="24"/>
          <w:lang w:val="bg-BG"/>
        </w:rPr>
      </w:pPr>
      <w:r>
        <w:rPr>
          <w:rStyle w:val="FootnoteReference"/>
        </w:rPr>
        <w:footnoteRef/>
      </w:r>
      <w:r w:rsidRPr="005506CA">
        <w:rPr>
          <w:sz w:val="24"/>
          <w:vertAlign w:val="superscript"/>
          <w:lang w:val="bg-BG"/>
        </w:rPr>
        <w:t xml:space="preserve"> </w:t>
      </w:r>
      <w:r w:rsidRPr="005506CA">
        <w:rPr>
          <w:sz w:val="24"/>
          <w:vertAlign w:val="superscript"/>
          <w:lang w:val="bg-BG"/>
        </w:rPr>
        <w:tab/>
      </w:r>
      <w:r w:rsidRPr="005506CA">
        <w:rPr>
          <w:sz w:val="24"/>
          <w:lang w:val="bg-BG"/>
        </w:rPr>
        <w:t xml:space="preserve">ОВ L 185, 24.7.2023 г., стр. 7, ELI: </w:t>
      </w:r>
      <w:r>
        <w:fldChar w:fldCharType="begin"/>
      </w:r>
      <w:r>
        <w:instrText>HYPERLINK</w:instrText>
      </w:r>
      <w:r w:rsidRPr="004E357D">
        <w:rPr>
          <w:lang w:val="ru-RU"/>
        </w:rPr>
        <w:instrText xml:space="preserve"> "</w:instrText>
      </w:r>
      <w:r>
        <w:instrText>http</w:instrText>
      </w:r>
      <w:r w:rsidRPr="004E357D">
        <w:rPr>
          <w:lang w:val="ru-RU"/>
        </w:rPr>
        <w:instrText>://</w:instrText>
      </w:r>
      <w:r>
        <w:instrText>data</w:instrText>
      </w:r>
      <w:r w:rsidRPr="004E357D">
        <w:rPr>
          <w:lang w:val="ru-RU"/>
        </w:rPr>
        <w:instrText>.</w:instrText>
      </w:r>
      <w:r>
        <w:instrText>europa</w:instrText>
      </w:r>
      <w:r w:rsidRPr="004E357D">
        <w:rPr>
          <w:lang w:val="ru-RU"/>
        </w:rPr>
        <w:instrText>.</w:instrText>
      </w:r>
      <w:r>
        <w:instrText>eu</w:instrText>
      </w:r>
      <w:r w:rsidRPr="004E357D">
        <w:rPr>
          <w:lang w:val="ru-RU"/>
        </w:rPr>
        <w:instrText>/</w:instrText>
      </w:r>
      <w:r>
        <w:instrText>eli</w:instrText>
      </w:r>
      <w:r w:rsidRPr="004E357D">
        <w:rPr>
          <w:lang w:val="ru-RU"/>
        </w:rPr>
        <w:instrText>/</w:instrText>
      </w:r>
      <w:r>
        <w:instrText>reg</w:instrText>
      </w:r>
      <w:r w:rsidRPr="004E357D">
        <w:rPr>
          <w:lang w:val="ru-RU"/>
        </w:rPr>
        <w:instrText>/2023/1525/</w:instrText>
      </w:r>
      <w:r>
        <w:instrText>oj</w:instrText>
      </w:r>
      <w:r w:rsidRPr="004E357D">
        <w:rPr>
          <w:lang w:val="ru-RU"/>
        </w:rPr>
        <w:instrText>" \</w:instrText>
      </w:r>
      <w:r>
        <w:instrText>t</w:instrText>
      </w:r>
      <w:r w:rsidRPr="004E357D">
        <w:rPr>
          <w:lang w:val="ru-RU"/>
        </w:rPr>
        <w:instrText xml:space="preserve"> "</w:instrText>
      </w:r>
      <w:r>
        <w:instrText>http</w:instrText>
      </w:r>
      <w:r w:rsidRPr="004E357D">
        <w:rPr>
          <w:lang w:val="ru-RU"/>
        </w:rPr>
        <w:instrText>://</w:instrText>
      </w:r>
      <w:r>
        <w:instrText>data</w:instrText>
      </w:r>
      <w:r w:rsidRPr="004E357D">
        <w:rPr>
          <w:lang w:val="ru-RU"/>
        </w:rPr>
        <w:instrText>.</w:instrText>
      </w:r>
      <w:r>
        <w:instrText>europa</w:instrText>
      </w:r>
      <w:r w:rsidRPr="004E357D">
        <w:rPr>
          <w:lang w:val="ru-RU"/>
        </w:rPr>
        <w:instrText>.</w:instrText>
      </w:r>
      <w:r>
        <w:instrText>eu</w:instrText>
      </w:r>
      <w:r w:rsidRPr="004E357D">
        <w:rPr>
          <w:lang w:val="ru-RU"/>
        </w:rPr>
        <w:instrText>/</w:instrText>
      </w:r>
      <w:r>
        <w:instrText>eli</w:instrText>
      </w:r>
      <w:r w:rsidRPr="004E357D">
        <w:rPr>
          <w:lang w:val="ru-RU"/>
        </w:rPr>
        <w:instrText>/</w:instrText>
      </w:r>
      <w:r>
        <w:instrText>reg</w:instrText>
      </w:r>
      <w:r w:rsidRPr="004E357D">
        <w:rPr>
          <w:lang w:val="ru-RU"/>
        </w:rPr>
        <w:instrText>/2023/1525/</w:instrText>
      </w:r>
      <w:r>
        <w:instrText>oj</w:instrText>
      </w:r>
      <w:r w:rsidRPr="004E357D">
        <w:rPr>
          <w:lang w:val="ru-RU"/>
        </w:rPr>
        <w:instrText>"</w:instrText>
      </w:r>
      <w:r>
        <w:fldChar w:fldCharType="separate"/>
      </w:r>
      <w:r w:rsidRPr="005506CA">
        <w:rPr>
          <w:rStyle w:val="Hyperlink"/>
          <w:sz w:val="24"/>
          <w:lang w:val="bg-BG"/>
        </w:rPr>
        <w:t>http://data.europa.eu/eli/reg/2023/1525/oj</w:t>
      </w:r>
      <w:r>
        <w:fldChar w:fldCharType="end"/>
      </w:r>
      <w:r w:rsidRPr="005506CA">
        <w:rPr>
          <w:sz w:val="24"/>
          <w:lang w:val="bg-BG"/>
        </w:rPr>
        <w:t>.</w:t>
      </w:r>
    </w:p>
  </w:footnote>
  <w:footnote w:id="6">
    <w:p w14:paraId="12CF1BB5" w14:textId="07EE9DF0" w:rsidR="005A2D56" w:rsidRPr="005506CA" w:rsidRDefault="005A2D56" w:rsidP="005506CA">
      <w:pPr>
        <w:pStyle w:val="FootnoteText"/>
        <w:ind w:left="567" w:hanging="567"/>
        <w:rPr>
          <w:sz w:val="24"/>
          <w:lang w:val="bg-BG"/>
        </w:rPr>
      </w:pPr>
      <w:r>
        <w:rPr>
          <w:rStyle w:val="FootnoteReference"/>
        </w:rPr>
        <w:footnoteRef/>
      </w:r>
      <w:r w:rsidRPr="005506CA">
        <w:rPr>
          <w:sz w:val="24"/>
          <w:vertAlign w:val="superscript"/>
          <w:lang w:val="bg-BG"/>
        </w:rPr>
        <w:t xml:space="preserve"> </w:t>
      </w:r>
      <w:r w:rsidRPr="005506CA">
        <w:rPr>
          <w:sz w:val="24"/>
          <w:vertAlign w:val="superscript"/>
          <w:lang w:val="bg-BG"/>
        </w:rPr>
        <w:tab/>
      </w:r>
      <w:r w:rsidRPr="005506CA">
        <w:rPr>
          <w:sz w:val="24"/>
          <w:lang w:val="bg-BG"/>
        </w:rPr>
        <w:t xml:space="preserve">ОВ L, 2023/2418, 26.10.2023 г., ELI: </w:t>
      </w:r>
      <w:r>
        <w:fldChar w:fldCharType="begin"/>
      </w:r>
      <w:r w:rsidRPr="004E357D">
        <w:rPr>
          <w:lang w:val="fi-FI"/>
        </w:rPr>
        <w:instrText>HYPERLINK "http://data.europa.eu/eli/reg/2023/2418/oj" \t "http://data.europa.eu/eli/reg/2023/2418/oj"</w:instrText>
      </w:r>
      <w:r>
        <w:fldChar w:fldCharType="separate"/>
      </w:r>
      <w:r w:rsidRPr="005506CA">
        <w:rPr>
          <w:rStyle w:val="Hyperlink"/>
          <w:sz w:val="24"/>
          <w:lang w:val="bg-BG"/>
        </w:rPr>
        <w:t>http://data.europa.eu/eli/reg/2023/2418/oj</w:t>
      </w:r>
      <w:r>
        <w:fldChar w:fldCharType="end"/>
      </w:r>
      <w:r w:rsidRPr="005506CA">
        <w:rPr>
          <w:sz w:val="24"/>
          <w:lang w:val="bg-BG"/>
        </w:rPr>
        <w:t>.</w:t>
      </w:r>
    </w:p>
  </w:footnote>
  <w:footnote w:id="7">
    <w:p w14:paraId="24791608" w14:textId="04D3BA08" w:rsidR="005A2D56" w:rsidRPr="005506CA" w:rsidRDefault="005A2D56" w:rsidP="005506CA">
      <w:pPr>
        <w:pStyle w:val="FootnoteText"/>
        <w:ind w:left="567" w:hanging="567"/>
        <w:rPr>
          <w:sz w:val="24"/>
          <w:lang w:val="bg-BG"/>
        </w:rPr>
      </w:pPr>
      <w:r>
        <w:rPr>
          <w:rStyle w:val="FootnoteReference"/>
        </w:rPr>
        <w:footnoteRef/>
      </w:r>
      <w:r w:rsidRPr="005506CA">
        <w:rPr>
          <w:sz w:val="24"/>
          <w:vertAlign w:val="superscript"/>
          <w:lang w:val="bg-BG"/>
        </w:rPr>
        <w:t xml:space="preserve"> </w:t>
      </w:r>
      <w:r w:rsidRPr="005506CA">
        <w:rPr>
          <w:sz w:val="24"/>
          <w:vertAlign w:val="superscript"/>
          <w:lang w:val="bg-BG"/>
        </w:rPr>
        <w:tab/>
      </w:r>
      <w:r w:rsidRPr="005506CA">
        <w:rPr>
          <w:sz w:val="24"/>
          <w:lang w:val="bg-BG"/>
        </w:rPr>
        <w:t xml:space="preserve">OВ L, 2025/2643, 29.12.2025 г., ELI: </w:t>
      </w:r>
      <w:r>
        <w:fldChar w:fldCharType="begin"/>
      </w:r>
      <w:r w:rsidRPr="004E357D">
        <w:rPr>
          <w:lang w:val="fi-FI"/>
        </w:rPr>
        <w:instrText>HYPERLINK "http://data.europa.eu/eli/reg/2025/2643/oj" \t "http://data.europa.eu/eli/reg/2025/2643/oj"</w:instrText>
      </w:r>
      <w:r>
        <w:fldChar w:fldCharType="separate"/>
      </w:r>
      <w:r w:rsidRPr="005506CA">
        <w:rPr>
          <w:rStyle w:val="Hyperlink"/>
          <w:sz w:val="24"/>
          <w:lang w:val="bg-BG"/>
        </w:rPr>
        <w:t>http://data.europa.eu/eli/reg/2025/2643/oj</w:t>
      </w:r>
      <w:r>
        <w:fldChar w:fldCharType="end"/>
      </w:r>
      <w:r w:rsidRPr="005506CA">
        <w:rPr>
          <w:sz w:val="24"/>
          <w:lang w:val="bg-BG"/>
        </w:rPr>
        <w:t>.</w:t>
      </w:r>
    </w:p>
  </w:footnote>
  <w:footnote w:id="8">
    <w:p w14:paraId="4F2E9203" w14:textId="0175C297" w:rsidR="005A2D56" w:rsidRPr="005506CA" w:rsidRDefault="005A2D56" w:rsidP="005506CA">
      <w:pPr>
        <w:pStyle w:val="FootnoteText"/>
        <w:ind w:left="567" w:hanging="567"/>
        <w:rPr>
          <w:sz w:val="24"/>
          <w:lang w:val="bg-BG"/>
        </w:rPr>
      </w:pPr>
      <w:r>
        <w:rPr>
          <w:rStyle w:val="FootnoteReference"/>
        </w:rPr>
        <w:footnoteRef/>
      </w:r>
      <w:r w:rsidRPr="005506CA">
        <w:rPr>
          <w:sz w:val="24"/>
          <w:vertAlign w:val="superscript"/>
          <w:lang w:val="bg-BG"/>
        </w:rPr>
        <w:t xml:space="preserve"> </w:t>
      </w:r>
      <w:r w:rsidRPr="005506CA">
        <w:rPr>
          <w:sz w:val="24"/>
          <w:vertAlign w:val="superscript"/>
          <w:lang w:val="bg-BG"/>
        </w:rPr>
        <w:tab/>
      </w:r>
      <w:r w:rsidRPr="005506CA">
        <w:rPr>
          <w:sz w:val="24"/>
          <w:lang w:val="bg-BG"/>
        </w:rPr>
        <w:t xml:space="preserve">OВ L, 2025/2653, 22.12.2025 г., ELI: </w:t>
      </w:r>
      <w:r>
        <w:fldChar w:fldCharType="begin"/>
      </w:r>
      <w:r w:rsidRPr="004E357D">
        <w:rPr>
          <w:lang w:val="fi-FI"/>
        </w:rPr>
        <w:instrText>HYPERLINK "http://data.europa.eu/eli/reg/2025/2653/oj" \t "http://data.europa.eu/eli/reg/2025/2653/oj"</w:instrText>
      </w:r>
      <w:r>
        <w:fldChar w:fldCharType="separate"/>
      </w:r>
      <w:r w:rsidRPr="005506CA">
        <w:rPr>
          <w:rStyle w:val="Hyperlink"/>
          <w:sz w:val="24"/>
          <w:lang w:val="bg-BG"/>
        </w:rPr>
        <w:t>http://data.europa.eu/eli/reg/2025/2653/oj</w:t>
      </w:r>
      <w:r>
        <w:fldChar w:fldCharType="end"/>
      </w:r>
      <w:r w:rsidRPr="005506CA">
        <w:rPr>
          <w:sz w:val="24"/>
          <w:lang w:val="bg-BG"/>
        </w:rPr>
        <w:t>.</w:t>
      </w:r>
    </w:p>
  </w:footnote>
  <w:footnote w:id="9">
    <w:p w14:paraId="1DC49D9F" w14:textId="213C1481" w:rsidR="005A2D56" w:rsidRPr="005506CA" w:rsidRDefault="005A2D56" w:rsidP="005506CA">
      <w:pPr>
        <w:pStyle w:val="FootnoteText"/>
        <w:ind w:left="567" w:hanging="567"/>
        <w:rPr>
          <w:sz w:val="24"/>
          <w:lang w:val="bg-BG"/>
        </w:rPr>
      </w:pPr>
      <w:r>
        <w:rPr>
          <w:rStyle w:val="FootnoteReference"/>
        </w:rPr>
        <w:footnoteRef/>
      </w:r>
      <w:r w:rsidRPr="005506CA">
        <w:rPr>
          <w:sz w:val="24"/>
          <w:vertAlign w:val="superscript"/>
          <w:lang w:val="bg-BG"/>
        </w:rPr>
        <w:t xml:space="preserve"> </w:t>
      </w:r>
      <w:r w:rsidRPr="005506CA">
        <w:rPr>
          <w:sz w:val="24"/>
          <w:vertAlign w:val="superscript"/>
          <w:lang w:val="bg-BG"/>
        </w:rPr>
        <w:tab/>
      </w:r>
      <w:r w:rsidRPr="005506CA">
        <w:rPr>
          <w:sz w:val="24"/>
          <w:lang w:val="bg-BG"/>
        </w:rPr>
        <w:t xml:space="preserve">OВ L, 2025/1106, 28.5.2025 г., ELI: </w:t>
      </w:r>
      <w:r>
        <w:fldChar w:fldCharType="begin"/>
      </w:r>
      <w:r w:rsidRPr="004E357D">
        <w:rPr>
          <w:lang w:val="fi-FI"/>
        </w:rPr>
        <w:instrText>HYPERLINK "http://data.europa.eu/eli/reg/2025/1106/oj" \t "http://data.europa.eu/eli/reg/2025/1106/oj"</w:instrText>
      </w:r>
      <w:r>
        <w:fldChar w:fldCharType="separate"/>
      </w:r>
      <w:r w:rsidRPr="005506CA">
        <w:rPr>
          <w:rStyle w:val="Hyperlink"/>
          <w:sz w:val="24"/>
          <w:lang w:val="bg-BG"/>
        </w:rPr>
        <w:t>http://data.europa.eu/eli/reg/2025/1106/oj</w:t>
      </w:r>
      <w:r>
        <w:fldChar w:fldCharType="end"/>
      </w:r>
      <w:r w:rsidRPr="005506CA">
        <w:rPr>
          <w:sz w:val="24"/>
          <w:lang w:val="bg-BG"/>
        </w:rPr>
        <w:t>.</w:t>
      </w:r>
    </w:p>
  </w:footnote>
  <w:footnote w:id="10">
    <w:p w14:paraId="08196E27" w14:textId="7DBFA747" w:rsidR="005A2D56" w:rsidRPr="005506CA" w:rsidRDefault="005A2D56" w:rsidP="005506CA">
      <w:pPr>
        <w:pStyle w:val="FootnoteText"/>
        <w:ind w:left="567" w:hanging="567"/>
        <w:rPr>
          <w:sz w:val="24"/>
          <w:lang w:val="bg-BG"/>
        </w:rPr>
      </w:pPr>
      <w:r>
        <w:rPr>
          <w:rStyle w:val="FootnoteReference"/>
        </w:rPr>
        <w:footnoteRef/>
      </w:r>
      <w:r w:rsidRPr="005506CA">
        <w:rPr>
          <w:sz w:val="24"/>
          <w:vertAlign w:val="superscript"/>
          <w:lang w:val="bg-BG"/>
        </w:rPr>
        <w:t xml:space="preserve"> </w:t>
      </w:r>
      <w:r w:rsidRPr="005506CA">
        <w:rPr>
          <w:sz w:val="24"/>
          <w:vertAlign w:val="superscript"/>
          <w:lang w:val="bg-BG"/>
        </w:rPr>
        <w:tab/>
      </w:r>
      <w:r w:rsidRPr="005506CA">
        <w:rPr>
          <w:sz w:val="24"/>
          <w:lang w:val="bg-BG"/>
        </w:rPr>
        <w:t>ОВ C 494, 8.12.2021 г., стр. 54.</w:t>
      </w:r>
    </w:p>
  </w:footnote>
  <w:footnote w:id="11">
    <w:p w14:paraId="6A8F5EBC" w14:textId="17A02AA5" w:rsidR="005A2D56" w:rsidRPr="005506CA" w:rsidRDefault="005A2D56" w:rsidP="005506CA">
      <w:pPr>
        <w:pStyle w:val="FootnoteText"/>
        <w:ind w:left="567" w:hanging="567"/>
        <w:rPr>
          <w:sz w:val="24"/>
          <w:lang w:val="bg-BG"/>
        </w:rPr>
      </w:pPr>
      <w:r>
        <w:rPr>
          <w:rStyle w:val="FootnoteReference"/>
        </w:rPr>
        <w:footnoteRef/>
      </w:r>
      <w:r w:rsidRPr="005506CA">
        <w:rPr>
          <w:sz w:val="24"/>
          <w:vertAlign w:val="superscript"/>
          <w:lang w:val="bg-BG"/>
        </w:rPr>
        <w:t xml:space="preserve"> </w:t>
      </w:r>
      <w:r w:rsidRPr="005506CA">
        <w:rPr>
          <w:sz w:val="24"/>
          <w:vertAlign w:val="superscript"/>
          <w:lang w:val="bg-BG"/>
        </w:rPr>
        <w:tab/>
      </w:r>
      <w:r w:rsidRPr="005506CA">
        <w:rPr>
          <w:sz w:val="24"/>
          <w:lang w:val="bg-BG"/>
        </w:rPr>
        <w:t xml:space="preserve">ОВ C, C/2025/4388, 9.9.2025 г., ELI: </w:t>
      </w:r>
      <w:r>
        <w:fldChar w:fldCharType="begin"/>
      </w:r>
      <w:r>
        <w:instrText>HYPERLINK</w:instrText>
      </w:r>
      <w:r w:rsidRPr="004E357D">
        <w:rPr>
          <w:lang w:val="ru-RU"/>
        </w:rPr>
        <w:instrText xml:space="preserve"> "</w:instrText>
      </w:r>
      <w:r>
        <w:instrText>http</w:instrText>
      </w:r>
      <w:r w:rsidRPr="004E357D">
        <w:rPr>
          <w:lang w:val="ru-RU"/>
        </w:rPr>
        <w:instrText>://</w:instrText>
      </w:r>
      <w:r>
        <w:instrText>data</w:instrText>
      </w:r>
      <w:r w:rsidRPr="004E357D">
        <w:rPr>
          <w:lang w:val="ru-RU"/>
        </w:rPr>
        <w:instrText>.</w:instrText>
      </w:r>
      <w:r>
        <w:instrText>europa</w:instrText>
      </w:r>
      <w:r w:rsidRPr="004E357D">
        <w:rPr>
          <w:lang w:val="ru-RU"/>
        </w:rPr>
        <w:instrText>.</w:instrText>
      </w:r>
      <w:r>
        <w:instrText>eu</w:instrText>
      </w:r>
      <w:r w:rsidRPr="004E357D">
        <w:rPr>
          <w:lang w:val="ru-RU"/>
        </w:rPr>
        <w:instrText>/</w:instrText>
      </w:r>
      <w:r>
        <w:instrText>eli</w:instrText>
      </w:r>
      <w:r w:rsidRPr="004E357D">
        <w:rPr>
          <w:lang w:val="ru-RU"/>
        </w:rPr>
        <w:instrText>/</w:instrText>
      </w:r>
      <w:r>
        <w:instrText>C</w:instrText>
      </w:r>
      <w:r w:rsidRPr="004E357D">
        <w:rPr>
          <w:lang w:val="ru-RU"/>
        </w:rPr>
        <w:instrText>/2025/4388/</w:instrText>
      </w:r>
      <w:r>
        <w:instrText>oj</w:instrText>
      </w:r>
      <w:r w:rsidRPr="004E357D">
        <w:rPr>
          <w:lang w:val="ru-RU"/>
        </w:rPr>
        <w:instrText>" \</w:instrText>
      </w:r>
      <w:r>
        <w:instrText>t</w:instrText>
      </w:r>
      <w:r w:rsidRPr="004E357D">
        <w:rPr>
          <w:lang w:val="ru-RU"/>
        </w:rPr>
        <w:instrText xml:space="preserve"> "</w:instrText>
      </w:r>
      <w:r>
        <w:instrText>http</w:instrText>
      </w:r>
      <w:r w:rsidRPr="004E357D">
        <w:rPr>
          <w:lang w:val="ru-RU"/>
        </w:rPr>
        <w:instrText>://</w:instrText>
      </w:r>
      <w:r>
        <w:instrText>data</w:instrText>
      </w:r>
      <w:r w:rsidRPr="004E357D">
        <w:rPr>
          <w:lang w:val="ru-RU"/>
        </w:rPr>
        <w:instrText>.</w:instrText>
      </w:r>
      <w:r>
        <w:instrText>europa</w:instrText>
      </w:r>
      <w:r w:rsidRPr="004E357D">
        <w:rPr>
          <w:lang w:val="ru-RU"/>
        </w:rPr>
        <w:instrText>.</w:instrText>
      </w:r>
      <w:r>
        <w:instrText>eu</w:instrText>
      </w:r>
      <w:r w:rsidRPr="004E357D">
        <w:rPr>
          <w:lang w:val="ru-RU"/>
        </w:rPr>
        <w:instrText>/</w:instrText>
      </w:r>
      <w:r>
        <w:instrText>eli</w:instrText>
      </w:r>
      <w:r w:rsidRPr="004E357D">
        <w:rPr>
          <w:lang w:val="ru-RU"/>
        </w:rPr>
        <w:instrText>/</w:instrText>
      </w:r>
      <w:r>
        <w:instrText>C</w:instrText>
      </w:r>
      <w:r w:rsidRPr="004E357D">
        <w:rPr>
          <w:lang w:val="ru-RU"/>
        </w:rPr>
        <w:instrText>/2025/4388/</w:instrText>
      </w:r>
      <w:r>
        <w:instrText>oj</w:instrText>
      </w:r>
      <w:r w:rsidRPr="004E357D">
        <w:rPr>
          <w:lang w:val="ru-RU"/>
        </w:rPr>
        <w:instrText>"</w:instrText>
      </w:r>
      <w:r>
        <w:fldChar w:fldCharType="separate"/>
      </w:r>
      <w:r w:rsidRPr="005506CA">
        <w:rPr>
          <w:rStyle w:val="Hyperlink"/>
          <w:sz w:val="24"/>
          <w:lang w:val="bg-BG"/>
        </w:rPr>
        <w:t>http://data.europa.eu/eli/C/2025/4388/oj</w:t>
      </w:r>
      <w:r>
        <w:fldChar w:fldCharType="end"/>
      </w:r>
      <w:r w:rsidRPr="005506CA">
        <w:rPr>
          <w:sz w:val="24"/>
          <w:lang w:val="bg-BG"/>
        </w:rPr>
        <w:t>.</w:t>
      </w:r>
    </w:p>
  </w:footnote>
  <w:footnote w:id="12">
    <w:p w14:paraId="664BDA9B" w14:textId="48A39510" w:rsidR="005A2D56" w:rsidRPr="005506CA" w:rsidRDefault="005A2D56" w:rsidP="005506CA">
      <w:pPr>
        <w:pStyle w:val="FootnoteText"/>
        <w:ind w:left="567" w:hanging="567"/>
        <w:rPr>
          <w:sz w:val="24"/>
          <w:lang w:val="bg-BG"/>
        </w:rPr>
      </w:pPr>
      <w:r>
        <w:rPr>
          <w:rStyle w:val="FootnoteReference"/>
        </w:rPr>
        <w:footnoteRef/>
      </w:r>
      <w:r w:rsidRPr="005506CA">
        <w:rPr>
          <w:sz w:val="24"/>
          <w:vertAlign w:val="superscript"/>
          <w:lang w:val="bg-BG"/>
        </w:rPr>
        <w:t xml:space="preserve"> </w:t>
      </w:r>
      <w:r w:rsidRPr="005506CA">
        <w:rPr>
          <w:sz w:val="24"/>
          <w:vertAlign w:val="superscript"/>
          <w:lang w:val="bg-BG"/>
        </w:rPr>
        <w:tab/>
      </w:r>
      <w:r w:rsidRPr="005506CA">
        <w:rPr>
          <w:sz w:val="24"/>
          <w:lang w:val="bg-BG"/>
        </w:rPr>
        <w:t>Приети текстове, P10_TA(2025)0285.</w:t>
      </w:r>
    </w:p>
  </w:footnote>
  <w:footnote w:id="13">
    <w:p w14:paraId="6101608A" w14:textId="4AE73168" w:rsidR="005A2D56" w:rsidRPr="005506CA" w:rsidRDefault="005A2D56" w:rsidP="005506CA">
      <w:pPr>
        <w:pStyle w:val="FootnoteText"/>
        <w:ind w:left="567" w:hanging="567"/>
        <w:rPr>
          <w:sz w:val="24"/>
          <w:lang w:val="bg-BG"/>
        </w:rPr>
      </w:pPr>
      <w:r>
        <w:rPr>
          <w:rStyle w:val="FootnoteReference"/>
        </w:rPr>
        <w:footnoteRef/>
      </w:r>
      <w:r w:rsidRPr="005506CA">
        <w:rPr>
          <w:sz w:val="24"/>
          <w:vertAlign w:val="superscript"/>
          <w:lang w:val="bg-BG"/>
        </w:rPr>
        <w:t xml:space="preserve"> </w:t>
      </w:r>
      <w:r w:rsidRPr="005506CA">
        <w:rPr>
          <w:sz w:val="24"/>
          <w:vertAlign w:val="superscript"/>
          <w:lang w:val="bg-BG"/>
        </w:rPr>
        <w:tab/>
      </w:r>
      <w:r w:rsidRPr="005506CA">
        <w:rPr>
          <w:sz w:val="24"/>
          <w:lang w:val="bg-BG"/>
        </w:rPr>
        <w:t xml:space="preserve">Обща позиция 2008/944/ОВППС на Съвета от 8 декември 2008 г., определяща общи правила за режим на контрол върху износа на военни технологии и оборудване (ОВ L 335, 13.12.2008 г., стр. 99, ELI: </w:t>
      </w:r>
      <w:r>
        <w:fldChar w:fldCharType="begin"/>
      </w:r>
      <w:r>
        <w:instrText>HYPERLINK</w:instrText>
      </w:r>
      <w:r w:rsidRPr="004E357D">
        <w:rPr>
          <w:lang w:val="ru-RU"/>
        </w:rPr>
        <w:instrText xml:space="preserve"> "</w:instrText>
      </w:r>
      <w:r>
        <w:instrText>http</w:instrText>
      </w:r>
      <w:r w:rsidRPr="004E357D">
        <w:rPr>
          <w:lang w:val="ru-RU"/>
        </w:rPr>
        <w:instrText>://</w:instrText>
      </w:r>
      <w:r>
        <w:instrText>data</w:instrText>
      </w:r>
      <w:r w:rsidRPr="004E357D">
        <w:rPr>
          <w:lang w:val="ru-RU"/>
        </w:rPr>
        <w:instrText>.</w:instrText>
      </w:r>
      <w:r>
        <w:instrText>europa</w:instrText>
      </w:r>
      <w:r w:rsidRPr="004E357D">
        <w:rPr>
          <w:lang w:val="ru-RU"/>
        </w:rPr>
        <w:instrText>.</w:instrText>
      </w:r>
      <w:r>
        <w:instrText>eu</w:instrText>
      </w:r>
      <w:r w:rsidRPr="004E357D">
        <w:rPr>
          <w:lang w:val="ru-RU"/>
        </w:rPr>
        <w:instrText>/</w:instrText>
      </w:r>
      <w:r>
        <w:instrText>eli</w:instrText>
      </w:r>
      <w:r w:rsidRPr="004E357D">
        <w:rPr>
          <w:lang w:val="ru-RU"/>
        </w:rPr>
        <w:instrText>/</w:instrText>
      </w:r>
      <w:r>
        <w:instrText>compos</w:instrText>
      </w:r>
      <w:r w:rsidRPr="004E357D">
        <w:rPr>
          <w:lang w:val="ru-RU"/>
        </w:rPr>
        <w:instrText>/2008/944/</w:instrText>
      </w:r>
      <w:r>
        <w:instrText>oj</w:instrText>
      </w:r>
      <w:r w:rsidRPr="004E357D">
        <w:rPr>
          <w:lang w:val="ru-RU"/>
        </w:rPr>
        <w:instrText>"</w:instrText>
      </w:r>
      <w:r>
        <w:fldChar w:fldCharType="separate"/>
      </w:r>
      <w:r w:rsidRPr="005A2D56">
        <w:rPr>
          <w:rStyle w:val="Hyperlink"/>
          <w:sz w:val="24"/>
          <w:lang w:val="bg-BG"/>
        </w:rPr>
        <w:t>http://data.europa.eu/eli/compos/2008/944/oj</w:t>
      </w:r>
      <w:r>
        <w:fldChar w:fldCharType="end"/>
      </w:r>
      <w:r w:rsidRPr="005506CA">
        <w:rPr>
          <w:sz w:val="24"/>
          <w:lang w:val="bg-BG"/>
        </w:rPr>
        <w:t>).</w:t>
      </w:r>
    </w:p>
  </w:footnote>
  <w:footnote w:id="14">
    <w:p w14:paraId="1D3C0803" w14:textId="40F62B75" w:rsidR="005A2D56" w:rsidRPr="005506CA" w:rsidRDefault="005A2D56" w:rsidP="005506CA">
      <w:pPr>
        <w:pStyle w:val="FootnoteText"/>
        <w:ind w:left="567" w:hanging="567"/>
        <w:rPr>
          <w:sz w:val="24"/>
          <w:lang w:val="bg-BG"/>
        </w:rPr>
      </w:pPr>
      <w:r>
        <w:rPr>
          <w:rStyle w:val="FootnoteReference"/>
        </w:rPr>
        <w:footnoteRef/>
      </w:r>
      <w:r w:rsidRPr="005506CA">
        <w:rPr>
          <w:sz w:val="24"/>
          <w:vertAlign w:val="superscript"/>
          <w:lang w:val="bg-BG"/>
        </w:rPr>
        <w:t xml:space="preserve"> </w:t>
      </w:r>
      <w:r w:rsidRPr="005506CA">
        <w:rPr>
          <w:sz w:val="24"/>
          <w:vertAlign w:val="superscript"/>
          <w:lang w:val="bg-BG"/>
        </w:rPr>
        <w:tab/>
      </w:r>
      <w:r w:rsidRPr="005506CA">
        <w:rPr>
          <w:sz w:val="24"/>
          <w:lang w:val="bg-BG"/>
        </w:rPr>
        <w:t xml:space="preserve">Директива 2014/24/ЕС на Европейския парламент и на Съвета от 26 февруари 2014 г. за обществените поръчки и за отмяна на Директива 2004/18/ЕО (ОВ L 94, 28.3.2014 г., стр. 65, ELI: </w:t>
      </w:r>
      <w:r>
        <w:fldChar w:fldCharType="begin"/>
      </w:r>
      <w:r>
        <w:instrText>HYPERLINK</w:instrText>
      </w:r>
      <w:r w:rsidRPr="004E357D">
        <w:rPr>
          <w:lang w:val="ru-RU"/>
        </w:rPr>
        <w:instrText xml:space="preserve"> "</w:instrText>
      </w:r>
      <w:r>
        <w:instrText>http</w:instrText>
      </w:r>
      <w:r w:rsidRPr="004E357D">
        <w:rPr>
          <w:lang w:val="ru-RU"/>
        </w:rPr>
        <w:instrText>://</w:instrText>
      </w:r>
      <w:r>
        <w:instrText>data</w:instrText>
      </w:r>
      <w:r w:rsidRPr="004E357D">
        <w:rPr>
          <w:lang w:val="ru-RU"/>
        </w:rPr>
        <w:instrText>.</w:instrText>
      </w:r>
      <w:r>
        <w:instrText>europa</w:instrText>
      </w:r>
      <w:r w:rsidRPr="004E357D">
        <w:rPr>
          <w:lang w:val="ru-RU"/>
        </w:rPr>
        <w:instrText>.</w:instrText>
      </w:r>
      <w:r>
        <w:instrText>eu</w:instrText>
      </w:r>
      <w:r w:rsidRPr="004E357D">
        <w:rPr>
          <w:lang w:val="ru-RU"/>
        </w:rPr>
        <w:instrText>/</w:instrText>
      </w:r>
      <w:r>
        <w:instrText>eli</w:instrText>
      </w:r>
      <w:r w:rsidRPr="004E357D">
        <w:rPr>
          <w:lang w:val="ru-RU"/>
        </w:rPr>
        <w:instrText>/</w:instrText>
      </w:r>
      <w:r>
        <w:instrText>dir</w:instrText>
      </w:r>
      <w:r w:rsidRPr="004E357D">
        <w:rPr>
          <w:lang w:val="ru-RU"/>
        </w:rPr>
        <w:instrText>/2014/24/</w:instrText>
      </w:r>
      <w:r>
        <w:instrText>oj</w:instrText>
      </w:r>
      <w:r w:rsidRPr="004E357D">
        <w:rPr>
          <w:lang w:val="ru-RU"/>
        </w:rPr>
        <w:instrText>" \</w:instrText>
      </w:r>
      <w:r>
        <w:instrText>t</w:instrText>
      </w:r>
      <w:r w:rsidRPr="004E357D">
        <w:rPr>
          <w:lang w:val="ru-RU"/>
        </w:rPr>
        <w:instrText xml:space="preserve"> "</w:instrText>
      </w:r>
      <w:r>
        <w:instrText>http</w:instrText>
      </w:r>
      <w:r w:rsidRPr="004E357D">
        <w:rPr>
          <w:lang w:val="ru-RU"/>
        </w:rPr>
        <w:instrText>://</w:instrText>
      </w:r>
      <w:r>
        <w:instrText>data</w:instrText>
      </w:r>
      <w:r w:rsidRPr="004E357D">
        <w:rPr>
          <w:lang w:val="ru-RU"/>
        </w:rPr>
        <w:instrText>.</w:instrText>
      </w:r>
      <w:r>
        <w:instrText>europa</w:instrText>
      </w:r>
      <w:r w:rsidRPr="004E357D">
        <w:rPr>
          <w:lang w:val="ru-RU"/>
        </w:rPr>
        <w:instrText>.</w:instrText>
      </w:r>
      <w:r>
        <w:instrText>eu</w:instrText>
      </w:r>
      <w:r w:rsidRPr="004E357D">
        <w:rPr>
          <w:lang w:val="ru-RU"/>
        </w:rPr>
        <w:instrText>/</w:instrText>
      </w:r>
      <w:r>
        <w:instrText>eli</w:instrText>
      </w:r>
      <w:r w:rsidRPr="004E357D">
        <w:rPr>
          <w:lang w:val="ru-RU"/>
        </w:rPr>
        <w:instrText>/</w:instrText>
      </w:r>
      <w:r>
        <w:instrText>dir</w:instrText>
      </w:r>
      <w:r w:rsidRPr="004E357D">
        <w:rPr>
          <w:lang w:val="ru-RU"/>
        </w:rPr>
        <w:instrText>/2014/24/</w:instrText>
      </w:r>
      <w:r>
        <w:instrText>oj</w:instrText>
      </w:r>
      <w:r w:rsidRPr="004E357D">
        <w:rPr>
          <w:lang w:val="ru-RU"/>
        </w:rPr>
        <w:instrText>"</w:instrText>
      </w:r>
      <w:r>
        <w:fldChar w:fldCharType="separate"/>
      </w:r>
      <w:r w:rsidRPr="005506CA">
        <w:rPr>
          <w:rStyle w:val="Hyperlink"/>
          <w:sz w:val="24"/>
          <w:lang w:val="bg-BG"/>
        </w:rPr>
        <w:t>http://data.europa.eu/eli/dir/2014/24/oj).</w:t>
      </w:r>
      <w:r>
        <w:fldChar w:fldCharType="end"/>
      </w:r>
    </w:p>
  </w:footnote>
  <w:footnote w:id="15">
    <w:p w14:paraId="41548A6E" w14:textId="7043972E" w:rsidR="005A2D56" w:rsidRPr="005506CA" w:rsidRDefault="005A2D56" w:rsidP="005A2D56">
      <w:pPr>
        <w:pStyle w:val="FootnoteText"/>
        <w:ind w:left="567" w:hanging="567"/>
        <w:rPr>
          <w:sz w:val="24"/>
          <w:lang w:val="bg-BG"/>
        </w:rPr>
      </w:pPr>
      <w:r>
        <w:rPr>
          <w:rStyle w:val="FootnoteReference"/>
        </w:rPr>
        <w:footnoteRef/>
      </w:r>
      <w:r w:rsidRPr="005506CA">
        <w:rPr>
          <w:sz w:val="24"/>
          <w:vertAlign w:val="superscript"/>
          <w:lang w:val="bg-BG"/>
        </w:rPr>
        <w:t xml:space="preserve"> </w:t>
      </w:r>
      <w:r w:rsidRPr="005506CA">
        <w:rPr>
          <w:sz w:val="24"/>
          <w:vertAlign w:val="superscript"/>
          <w:lang w:val="bg-BG"/>
        </w:rPr>
        <w:tab/>
      </w:r>
      <w:r w:rsidRPr="005506CA">
        <w:rPr>
          <w:sz w:val="24"/>
          <w:lang w:val="bg-BG"/>
        </w:rPr>
        <w:t xml:space="preserve">Директива 2014/66/ЕС на Европейския парламент и на Съвета от 15 май 2014 г. относно условията за влизане и пребиваване на граждани на трети държави в рамките на вътрешнокорпоративен трансфер (OВ L 157, 27.5.2014 г., стр. 1, ELI: </w:t>
      </w:r>
      <w:r>
        <w:fldChar w:fldCharType="begin"/>
      </w:r>
      <w:r>
        <w:instrText>HYPERLINK</w:instrText>
      </w:r>
      <w:r w:rsidRPr="004E357D">
        <w:rPr>
          <w:lang w:val="ru-RU"/>
        </w:rPr>
        <w:instrText xml:space="preserve"> "</w:instrText>
      </w:r>
      <w:r>
        <w:instrText>http</w:instrText>
      </w:r>
      <w:r w:rsidRPr="004E357D">
        <w:rPr>
          <w:lang w:val="ru-RU"/>
        </w:rPr>
        <w:instrText>://</w:instrText>
      </w:r>
      <w:r>
        <w:instrText>data</w:instrText>
      </w:r>
      <w:r w:rsidRPr="004E357D">
        <w:rPr>
          <w:lang w:val="ru-RU"/>
        </w:rPr>
        <w:instrText>.</w:instrText>
      </w:r>
      <w:r>
        <w:instrText>europa</w:instrText>
      </w:r>
      <w:r w:rsidRPr="004E357D">
        <w:rPr>
          <w:lang w:val="ru-RU"/>
        </w:rPr>
        <w:instrText>.</w:instrText>
      </w:r>
      <w:r>
        <w:instrText>eu</w:instrText>
      </w:r>
      <w:r w:rsidRPr="004E357D">
        <w:rPr>
          <w:lang w:val="ru-RU"/>
        </w:rPr>
        <w:instrText>/</w:instrText>
      </w:r>
      <w:r>
        <w:instrText>eli</w:instrText>
      </w:r>
      <w:r w:rsidRPr="004E357D">
        <w:rPr>
          <w:lang w:val="ru-RU"/>
        </w:rPr>
        <w:instrText>/</w:instrText>
      </w:r>
      <w:r>
        <w:instrText>dir</w:instrText>
      </w:r>
      <w:r w:rsidRPr="004E357D">
        <w:rPr>
          <w:lang w:val="ru-RU"/>
        </w:rPr>
        <w:instrText>/2014/66/</w:instrText>
      </w:r>
      <w:r>
        <w:instrText>oj</w:instrText>
      </w:r>
      <w:r w:rsidRPr="004E357D">
        <w:rPr>
          <w:lang w:val="ru-RU"/>
        </w:rPr>
        <w:instrText>"</w:instrText>
      </w:r>
      <w:r>
        <w:fldChar w:fldCharType="separate"/>
      </w:r>
      <w:r w:rsidRPr="005A2D56">
        <w:rPr>
          <w:rStyle w:val="Hyperlink"/>
          <w:sz w:val="24"/>
          <w:lang w:val="bg-BG"/>
        </w:rPr>
        <w:t>http://data.europa.eu/eli/dir/2014/66/oj</w:t>
      </w:r>
      <w:r>
        <w:fldChar w:fldCharType="end"/>
      </w:r>
      <w:r w:rsidRPr="005506CA">
        <w:rPr>
          <w:sz w:val="24"/>
          <w:lang w:val="bg-BG"/>
        </w:rPr>
        <w:t>).</w:t>
      </w:r>
    </w:p>
  </w:footnote>
  <w:footnote w:id="16">
    <w:p w14:paraId="6F1A9860" w14:textId="2D88324B" w:rsidR="005A2D56" w:rsidRPr="005506CA" w:rsidRDefault="005A2D56" w:rsidP="005506CA">
      <w:pPr>
        <w:pStyle w:val="FootnoteText"/>
        <w:ind w:left="567" w:hanging="567"/>
        <w:rPr>
          <w:sz w:val="24"/>
          <w:lang w:val="bg-BG"/>
        </w:rPr>
      </w:pPr>
      <w:r>
        <w:rPr>
          <w:rStyle w:val="FootnoteReference"/>
        </w:rPr>
        <w:footnoteRef/>
      </w:r>
      <w:r w:rsidRPr="005506CA">
        <w:rPr>
          <w:sz w:val="24"/>
          <w:vertAlign w:val="superscript"/>
          <w:lang w:val="bg-BG"/>
        </w:rPr>
        <w:t xml:space="preserve"> </w:t>
      </w:r>
      <w:r w:rsidRPr="005506CA">
        <w:rPr>
          <w:sz w:val="24"/>
          <w:vertAlign w:val="superscript"/>
          <w:lang w:val="bg-BG"/>
        </w:rPr>
        <w:tab/>
      </w:r>
      <w:r w:rsidRPr="005506CA">
        <w:rPr>
          <w:sz w:val="24"/>
          <w:lang w:val="bg-BG"/>
        </w:rPr>
        <w:t xml:space="preserve">Регламент (ЕС) 2024/1252 на Европейския парламент и на Съвета от 11 април 2024 г. за създаване на рамка за гарантиране на сигурни и устойчиви доставки на суровини от критично значение и за изменение на регламенти (ЕС) № 168/2013, (ЕС) 2018/858, (ЕС) 2018/1724 и (ЕС) 2019/1020 (OВ L, 2024/1252, 3.5.2024 г., ELI: </w:t>
      </w:r>
      <w:r>
        <w:fldChar w:fldCharType="begin"/>
      </w:r>
      <w:r>
        <w:instrText>HYPERLINK</w:instrText>
      </w:r>
      <w:r w:rsidRPr="004E357D">
        <w:rPr>
          <w:lang w:val="ru-RU"/>
        </w:rPr>
        <w:instrText xml:space="preserve"> "</w:instrText>
      </w:r>
      <w:r>
        <w:instrText>http</w:instrText>
      </w:r>
      <w:r w:rsidRPr="004E357D">
        <w:rPr>
          <w:lang w:val="ru-RU"/>
        </w:rPr>
        <w:instrText>://</w:instrText>
      </w:r>
      <w:r>
        <w:instrText>data</w:instrText>
      </w:r>
      <w:r w:rsidRPr="004E357D">
        <w:rPr>
          <w:lang w:val="ru-RU"/>
        </w:rPr>
        <w:instrText>.</w:instrText>
      </w:r>
      <w:r>
        <w:instrText>europa</w:instrText>
      </w:r>
      <w:r w:rsidRPr="004E357D">
        <w:rPr>
          <w:lang w:val="ru-RU"/>
        </w:rPr>
        <w:instrText>.</w:instrText>
      </w:r>
      <w:r>
        <w:instrText>eu</w:instrText>
      </w:r>
      <w:r w:rsidRPr="004E357D">
        <w:rPr>
          <w:lang w:val="ru-RU"/>
        </w:rPr>
        <w:instrText>/</w:instrText>
      </w:r>
      <w:r>
        <w:instrText>eli</w:instrText>
      </w:r>
      <w:r w:rsidRPr="004E357D">
        <w:rPr>
          <w:lang w:val="ru-RU"/>
        </w:rPr>
        <w:instrText>/</w:instrText>
      </w:r>
      <w:r>
        <w:instrText>reg</w:instrText>
      </w:r>
      <w:r w:rsidRPr="004E357D">
        <w:rPr>
          <w:lang w:val="ru-RU"/>
        </w:rPr>
        <w:instrText>/2024/1252/</w:instrText>
      </w:r>
      <w:r>
        <w:instrText>oj</w:instrText>
      </w:r>
      <w:r w:rsidRPr="004E357D">
        <w:rPr>
          <w:lang w:val="ru-RU"/>
        </w:rPr>
        <w:instrText>)." \</w:instrText>
      </w:r>
      <w:r>
        <w:instrText>t</w:instrText>
      </w:r>
      <w:r w:rsidRPr="004E357D">
        <w:rPr>
          <w:lang w:val="ru-RU"/>
        </w:rPr>
        <w:instrText xml:space="preserve"> "</w:instrText>
      </w:r>
      <w:r>
        <w:instrText>http</w:instrText>
      </w:r>
      <w:r w:rsidRPr="004E357D">
        <w:rPr>
          <w:lang w:val="ru-RU"/>
        </w:rPr>
        <w:instrText>://</w:instrText>
      </w:r>
      <w:r>
        <w:instrText>data</w:instrText>
      </w:r>
      <w:r w:rsidRPr="004E357D">
        <w:rPr>
          <w:lang w:val="ru-RU"/>
        </w:rPr>
        <w:instrText>.</w:instrText>
      </w:r>
      <w:r>
        <w:instrText>europa</w:instrText>
      </w:r>
      <w:r w:rsidRPr="004E357D">
        <w:rPr>
          <w:lang w:val="ru-RU"/>
        </w:rPr>
        <w:instrText>.</w:instrText>
      </w:r>
      <w:r>
        <w:instrText>eu</w:instrText>
      </w:r>
      <w:r w:rsidRPr="004E357D">
        <w:rPr>
          <w:lang w:val="ru-RU"/>
        </w:rPr>
        <w:instrText>/</w:instrText>
      </w:r>
      <w:r>
        <w:instrText>eli</w:instrText>
      </w:r>
      <w:r w:rsidRPr="004E357D">
        <w:rPr>
          <w:lang w:val="ru-RU"/>
        </w:rPr>
        <w:instrText>/</w:instrText>
      </w:r>
      <w:r>
        <w:instrText>reg</w:instrText>
      </w:r>
      <w:r w:rsidRPr="004E357D">
        <w:rPr>
          <w:lang w:val="ru-RU"/>
        </w:rPr>
        <w:instrText>/2024/1252/</w:instrText>
      </w:r>
      <w:r>
        <w:instrText>oj</w:instrText>
      </w:r>
      <w:r w:rsidRPr="004E357D">
        <w:rPr>
          <w:lang w:val="ru-RU"/>
        </w:rPr>
        <w:instrText>)."</w:instrText>
      </w:r>
      <w:r>
        <w:fldChar w:fldCharType="separate"/>
      </w:r>
      <w:r w:rsidRPr="005506CA">
        <w:rPr>
          <w:rStyle w:val="Hyperlink"/>
          <w:sz w:val="24"/>
          <w:lang w:val="bg-BG"/>
        </w:rPr>
        <w:t>http://data.europa.eu/eli/reg/2024/1252/oj)</w:t>
      </w:r>
      <w:r>
        <w:fldChar w:fldCharType="end"/>
      </w:r>
      <w:r w:rsidRPr="005506CA">
        <w:rPr>
          <w:sz w:val="24"/>
          <w:lang w:val="bg-BG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43087151">
    <w:abstractNumId w:val="9"/>
  </w:num>
  <w:num w:numId="2" w16cid:durableId="1105151606">
    <w:abstractNumId w:val="9"/>
  </w:num>
  <w:num w:numId="3" w16cid:durableId="1728452277">
    <w:abstractNumId w:val="7"/>
  </w:num>
  <w:num w:numId="4" w16cid:durableId="1572617209">
    <w:abstractNumId w:val="7"/>
  </w:num>
  <w:num w:numId="5" w16cid:durableId="309093289">
    <w:abstractNumId w:val="6"/>
  </w:num>
  <w:num w:numId="6" w16cid:durableId="533080400">
    <w:abstractNumId w:val="6"/>
  </w:num>
  <w:num w:numId="7" w16cid:durableId="1920824972">
    <w:abstractNumId w:val="5"/>
  </w:num>
  <w:num w:numId="8" w16cid:durableId="975522381">
    <w:abstractNumId w:val="5"/>
  </w:num>
  <w:num w:numId="9" w16cid:durableId="714085866">
    <w:abstractNumId w:val="4"/>
  </w:num>
  <w:num w:numId="10" w16cid:durableId="1722363614">
    <w:abstractNumId w:val="4"/>
  </w:num>
  <w:num w:numId="11" w16cid:durableId="1632058711">
    <w:abstractNumId w:val="8"/>
  </w:num>
  <w:num w:numId="12" w16cid:durableId="1855921824">
    <w:abstractNumId w:val="8"/>
  </w:num>
  <w:num w:numId="13" w16cid:durableId="329792056">
    <w:abstractNumId w:val="3"/>
  </w:num>
  <w:num w:numId="14" w16cid:durableId="813716711">
    <w:abstractNumId w:val="3"/>
  </w:num>
  <w:num w:numId="15" w16cid:durableId="812216294">
    <w:abstractNumId w:val="2"/>
  </w:num>
  <w:num w:numId="16" w16cid:durableId="157969229">
    <w:abstractNumId w:val="2"/>
  </w:num>
  <w:num w:numId="17" w16cid:durableId="1546405869">
    <w:abstractNumId w:val="1"/>
  </w:num>
  <w:num w:numId="18" w16cid:durableId="1101798578">
    <w:abstractNumId w:val="1"/>
  </w:num>
  <w:num w:numId="19" w16cid:durableId="886800180">
    <w:abstractNumId w:val="0"/>
  </w:num>
  <w:num w:numId="20" w16cid:durableId="357852474">
    <w:abstractNumId w:val="0"/>
  </w:num>
  <w:num w:numId="21" w16cid:durableId="1742831190">
    <w:abstractNumId w:val="9"/>
  </w:num>
  <w:num w:numId="22" w16cid:durableId="733696728">
    <w:abstractNumId w:val="7"/>
  </w:num>
  <w:num w:numId="23" w16cid:durableId="224921683">
    <w:abstractNumId w:val="6"/>
  </w:num>
  <w:num w:numId="24" w16cid:durableId="1848446192">
    <w:abstractNumId w:val="5"/>
  </w:num>
  <w:num w:numId="25" w16cid:durableId="1637371421">
    <w:abstractNumId w:val="4"/>
  </w:num>
  <w:num w:numId="26" w16cid:durableId="1255556591">
    <w:abstractNumId w:val="8"/>
  </w:num>
  <w:num w:numId="27" w16cid:durableId="1828520653">
    <w:abstractNumId w:val="3"/>
  </w:num>
  <w:num w:numId="28" w16cid:durableId="1816332499">
    <w:abstractNumId w:val="2"/>
  </w:num>
  <w:num w:numId="29" w16cid:durableId="146287391">
    <w:abstractNumId w:val="1"/>
  </w:num>
  <w:num w:numId="30" w16cid:durableId="1392079565">
    <w:abstractNumId w:val="0"/>
  </w:num>
  <w:num w:numId="31" w16cid:durableId="687757789">
    <w:abstractNumId w:val="9"/>
  </w:num>
  <w:num w:numId="32" w16cid:durableId="537936258">
    <w:abstractNumId w:val="7"/>
  </w:num>
  <w:num w:numId="33" w16cid:durableId="83193031">
    <w:abstractNumId w:val="6"/>
  </w:num>
  <w:num w:numId="34" w16cid:durableId="1856263813">
    <w:abstractNumId w:val="5"/>
  </w:num>
  <w:num w:numId="35" w16cid:durableId="1296109285">
    <w:abstractNumId w:val="4"/>
  </w:num>
  <w:num w:numId="36" w16cid:durableId="297537032">
    <w:abstractNumId w:val="8"/>
  </w:num>
  <w:num w:numId="37" w16cid:durableId="292756166">
    <w:abstractNumId w:val="3"/>
  </w:num>
  <w:num w:numId="38" w16cid:durableId="771319943">
    <w:abstractNumId w:val="2"/>
  </w:num>
  <w:num w:numId="39" w16cid:durableId="13194059">
    <w:abstractNumId w:val="1"/>
  </w:num>
  <w:num w:numId="40" w16cid:durableId="237055994">
    <w:abstractNumId w:val="0"/>
  </w:num>
  <w:num w:numId="41" w16cid:durableId="1400905952">
    <w:abstractNumId w:val="10"/>
  </w:num>
  <w:num w:numId="42" w16cid:durableId="1167525546">
    <w:abstractNumId w:val="10"/>
  </w:num>
  <w:num w:numId="43" w16cid:durableId="2020766085">
    <w:abstractNumId w:val="10"/>
  </w:num>
  <w:num w:numId="44" w16cid:durableId="193555048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17/2026"/>
    <w:docVar w:name="dvlangue" w:val="BG"/>
    <w:docVar w:name="dvnumam" w:val="71"/>
    <w:docVar w:name="dvpe" w:val="778.252"/>
    <w:docVar w:name="dvrapporteur" w:val="Докладчик: "/>
    <w:docVar w:name="dvtitre" w:val="Резолюция на Европейския парламент от ... 2026 г. относно преодоляването на пречките пред единния пазар в областта на отбраната(2025/2143(INI))"/>
  </w:docVars>
  <w:rsids>
    <w:rsidRoot w:val="00346C41"/>
    <w:rsid w:val="00002272"/>
    <w:rsid w:val="00064002"/>
    <w:rsid w:val="000677B9"/>
    <w:rsid w:val="000831BA"/>
    <w:rsid w:val="00086DFA"/>
    <w:rsid w:val="000A42CC"/>
    <w:rsid w:val="000C7546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46C41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D4E05"/>
    <w:rsid w:val="004E357D"/>
    <w:rsid w:val="0050519A"/>
    <w:rsid w:val="005072A1"/>
    <w:rsid w:val="00514517"/>
    <w:rsid w:val="00545827"/>
    <w:rsid w:val="005506CA"/>
    <w:rsid w:val="00560270"/>
    <w:rsid w:val="005A2D56"/>
    <w:rsid w:val="005C2568"/>
    <w:rsid w:val="005F1B17"/>
    <w:rsid w:val="006037C0"/>
    <w:rsid w:val="006631B6"/>
    <w:rsid w:val="00680577"/>
    <w:rsid w:val="00680DA0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93683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3510836"/>
  <w15:chartTrackingRefBased/>
  <w15:docId w15:val="{E285F069-7839-4B1F-AD0B-AABE9FCD7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12a">
    <w:name w:val="Normal12a"/>
    <w:basedOn w:val="Normal"/>
    <w:rsid w:val="00086DFA"/>
    <w:pPr>
      <w:widowControl/>
      <w:spacing w:after="240"/>
    </w:pPr>
    <w:rPr>
      <w:szCs w:val="24"/>
      <w:lang w:eastAsia="en-US"/>
    </w:rPr>
  </w:style>
  <w:style w:type="paragraph" w:customStyle="1" w:styleId="NormalHanging12a">
    <w:name w:val="NormalHanging12a"/>
    <w:basedOn w:val="Normal"/>
    <w:rsid w:val="00086DFA"/>
    <w:pPr>
      <w:widowControl/>
      <w:spacing w:after="240"/>
      <w:ind w:left="566" w:hanging="566"/>
    </w:pPr>
    <w:rPr>
      <w:szCs w:val="24"/>
      <w:lang w:eastAsia="en-US"/>
    </w:rPr>
  </w:style>
  <w:style w:type="paragraph" w:customStyle="1" w:styleId="Normal12">
    <w:name w:val="Normal12"/>
    <w:basedOn w:val="Normal"/>
    <w:rsid w:val="00086DFA"/>
    <w:pPr>
      <w:widowControl/>
      <w:spacing w:after="240"/>
    </w:pPr>
    <w:rPr>
      <w:szCs w:val="24"/>
      <w:lang w:eastAsia="en-US"/>
    </w:rPr>
  </w:style>
  <w:style w:type="paragraph" w:customStyle="1" w:styleId="NormalHanging">
    <w:name w:val="NormalHanging"/>
    <w:basedOn w:val="Normal"/>
    <w:rsid w:val="00086DFA"/>
    <w:pPr>
      <w:widowControl/>
      <w:spacing w:after="240"/>
      <w:ind w:left="566" w:hanging="566"/>
    </w:pPr>
    <w:rPr>
      <w:szCs w:val="24"/>
      <w:lang w:eastAsia="en-US"/>
    </w:rPr>
  </w:style>
  <w:style w:type="paragraph" w:customStyle="1" w:styleId="NormalCenter12a">
    <w:name w:val="NormalCenter12a"/>
    <w:basedOn w:val="Normal"/>
    <w:rsid w:val="00086DFA"/>
    <w:pPr>
      <w:widowControl/>
      <w:spacing w:after="240"/>
      <w:jc w:val="center"/>
    </w:pPr>
    <w:rPr>
      <w:szCs w:val="24"/>
      <w:lang w:eastAsia="en-US"/>
    </w:rPr>
  </w:style>
  <w:style w:type="character" w:styleId="Hyperlink">
    <w:name w:val="Hyperlink"/>
    <w:basedOn w:val="DefaultParagraphFont"/>
    <w:rsid w:val="00086DFA"/>
    <w:rPr>
      <w:color w:val="0000FF"/>
      <w:u w:val="single"/>
    </w:rPr>
  </w:style>
  <w:style w:type="paragraph" w:styleId="Revision">
    <w:name w:val="Revision"/>
    <w:hidden/>
    <w:uiPriority w:val="99"/>
    <w:semiHidden/>
    <w:rsid w:val="005A2D56"/>
    <w:rPr>
      <w:sz w:val="24"/>
      <w:lang w:val="bg-BG"/>
    </w:rPr>
  </w:style>
  <w:style w:type="character" w:styleId="UnresolvedMention">
    <w:name w:val="Unresolved Mention"/>
    <w:basedOn w:val="DefaultParagraphFont"/>
    <w:uiPriority w:val="99"/>
    <w:semiHidden/>
    <w:unhideWhenUsed/>
    <w:rsid w:val="005A2D5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dec/2017/2315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17</Pages>
  <Words>7286</Words>
  <Characters>44170</Characters>
  <Application>Microsoft Office Word</Application>
  <DocSecurity>0</DocSecurity>
  <Lines>1226</Lines>
  <Paragraphs>668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50788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GIRGINOV Kiril</dc:creator>
  <cp:keywords/>
  <cp:lastModifiedBy>DIMITROV Cvetan</cp:lastModifiedBy>
  <cp:revision>2</cp:revision>
  <cp:lastPrinted>2004-11-19T15:42:00Z</cp:lastPrinted>
  <dcterms:created xsi:type="dcterms:W3CDTF">2026-04-20T09:36:00Z</dcterms:created>
  <dcterms:modified xsi:type="dcterms:W3CDTF">2026-04-20T09:36:00Z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A10-0017/2026</vt:lpwstr>
  </property>
  <property fmtid="{D5CDD505-2E9C-101B-9397-08002B2CF9AE}" pid="4" name="&lt;Type&gt;">
    <vt:lpwstr>RR</vt:lpwstr>
  </property>
</Properties>
</file>