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E0076" w14:paraId="58AFF06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C2B85F" w14:textId="77777777" w:rsidR="00751A4A" w:rsidRPr="004E0076" w:rsidRDefault="00815528" w:rsidP="0010095E">
            <w:pPr>
              <w:pStyle w:val="EPName"/>
            </w:pPr>
            <w:r w:rsidRPr="004E0076">
              <w:t>Europski parlament</w:t>
            </w:r>
          </w:p>
          <w:p w14:paraId="3A27DA92" w14:textId="77777777" w:rsidR="00751A4A" w:rsidRPr="004E007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0076">
              <w:t>2024</w:t>
            </w:r>
            <w:r w:rsidR="00817416" w:rsidRPr="004E0076">
              <w:t>-202</w:t>
            </w:r>
            <w:r w:rsidRPr="004E0076">
              <w:t>9</w:t>
            </w:r>
          </w:p>
        </w:tc>
        <w:tc>
          <w:tcPr>
            <w:tcW w:w="2268" w:type="dxa"/>
            <w:shd w:val="clear" w:color="auto" w:fill="auto"/>
          </w:tcPr>
          <w:p w14:paraId="25F8E683" w14:textId="77777777" w:rsidR="00751A4A" w:rsidRPr="004E0076" w:rsidRDefault="00187494" w:rsidP="0010095E">
            <w:pPr>
              <w:pStyle w:val="EPLogo"/>
            </w:pPr>
            <w:r w:rsidRPr="004E0076">
              <w:rPr>
                <w:noProof/>
                <w:lang w:eastAsia="ja-JP"/>
              </w:rPr>
              <w:drawing>
                <wp:inline distT="0" distB="0" distL="0" distR="0" wp14:anchorId="35C654C7" wp14:editId="14AF16C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A67DD3" w14:textId="77777777" w:rsidR="00D058B8" w:rsidRPr="004E0076" w:rsidRDefault="00D058B8" w:rsidP="004C5D52">
      <w:pPr>
        <w:pStyle w:val="LineTop"/>
      </w:pPr>
    </w:p>
    <w:p w14:paraId="3E3602C3" w14:textId="77777777" w:rsidR="00680577" w:rsidRPr="004E0076" w:rsidRDefault="00815528" w:rsidP="00680577">
      <w:pPr>
        <w:pStyle w:val="EPBodyTA1"/>
      </w:pPr>
      <w:r w:rsidRPr="004E0076">
        <w:t>USVOJENI TEKSTOVI</w:t>
      </w:r>
    </w:p>
    <w:p w14:paraId="3914B71A" w14:textId="77777777" w:rsidR="00D058B8" w:rsidRPr="004E0076" w:rsidRDefault="00D058B8" w:rsidP="00D058B8">
      <w:pPr>
        <w:pStyle w:val="LineBottom"/>
      </w:pPr>
    </w:p>
    <w:p w14:paraId="6AC12620" w14:textId="7B553362" w:rsidR="00815528" w:rsidRPr="004E0076" w:rsidRDefault="00815528" w:rsidP="00815528">
      <w:pPr>
        <w:pStyle w:val="ATHeading1"/>
      </w:pPr>
      <w:bookmarkStart w:id="0" w:name="TANumber"/>
      <w:r w:rsidRPr="004E0076">
        <w:t>P10_TA(2026)00</w:t>
      </w:r>
      <w:r w:rsidR="00FF3D9D">
        <w:t>79</w:t>
      </w:r>
      <w:bookmarkEnd w:id="0"/>
    </w:p>
    <w:p w14:paraId="0EE096FC" w14:textId="77777777" w:rsidR="00815528" w:rsidRPr="004E0076" w:rsidRDefault="00815528" w:rsidP="00815528">
      <w:pPr>
        <w:pStyle w:val="ATHeading2"/>
      </w:pPr>
      <w:bookmarkStart w:id="1" w:name="title"/>
      <w:r w:rsidRPr="004E0076">
        <w:t>Uklanjanje prepreka za jedinstveno tržište u području obrane</w:t>
      </w:r>
      <w:bookmarkEnd w:id="1"/>
    </w:p>
    <w:p w14:paraId="590CF09A" w14:textId="77777777" w:rsidR="00815528" w:rsidRPr="004E0076" w:rsidRDefault="00815528" w:rsidP="00815528">
      <w:pPr>
        <w:rPr>
          <w:i/>
          <w:vanish/>
        </w:rPr>
      </w:pPr>
      <w:r w:rsidRPr="004E0076">
        <w:rPr>
          <w:i/>
        </w:rPr>
        <w:fldChar w:fldCharType="begin"/>
      </w:r>
      <w:r w:rsidRPr="004E0076">
        <w:rPr>
          <w:i/>
        </w:rPr>
        <w:instrText xml:space="preserve"> TC"(</w:instrText>
      </w:r>
      <w:bookmarkStart w:id="2" w:name="DocNumber"/>
      <w:r w:rsidRPr="004E0076">
        <w:rPr>
          <w:i/>
        </w:rPr>
        <w:instrText>A10-0017/2026</w:instrText>
      </w:r>
      <w:bookmarkEnd w:id="2"/>
      <w:r w:rsidRPr="004E0076">
        <w:rPr>
          <w:i/>
        </w:rPr>
        <w:instrText xml:space="preserve"> - Izvjestitelj: Tobias </w:instrText>
      </w:r>
      <w:proofErr w:type="spellStart"/>
      <w:r w:rsidRPr="004E0076">
        <w:rPr>
          <w:i/>
        </w:rPr>
        <w:instrText>Cremer</w:instrText>
      </w:r>
      <w:proofErr w:type="spellEnd"/>
      <w:r w:rsidRPr="004E0076">
        <w:rPr>
          <w:i/>
        </w:rPr>
        <w:instrText xml:space="preserve">)"\l3 \n&gt; \* MERGEFORMAT </w:instrText>
      </w:r>
      <w:r w:rsidRPr="004E0076">
        <w:rPr>
          <w:i/>
        </w:rPr>
        <w:fldChar w:fldCharType="end"/>
      </w:r>
    </w:p>
    <w:p w14:paraId="6077207B" w14:textId="77777777" w:rsidR="00815528" w:rsidRPr="004E0076" w:rsidRDefault="00815528" w:rsidP="00815528">
      <w:pPr>
        <w:rPr>
          <w:vanish/>
        </w:rPr>
      </w:pPr>
      <w:bookmarkStart w:id="3" w:name="Commission"/>
      <w:r w:rsidRPr="004E0076">
        <w:rPr>
          <w:vanish/>
        </w:rPr>
        <w:t>Odbor za sigurnost i obranu</w:t>
      </w:r>
      <w:bookmarkEnd w:id="3"/>
    </w:p>
    <w:p w14:paraId="5525F509" w14:textId="77777777" w:rsidR="00815528" w:rsidRPr="004E0076" w:rsidRDefault="00815528" w:rsidP="00815528">
      <w:pPr>
        <w:rPr>
          <w:vanish/>
        </w:rPr>
      </w:pPr>
      <w:bookmarkStart w:id="4" w:name="PE"/>
      <w:r w:rsidRPr="004E0076">
        <w:rPr>
          <w:vanish/>
        </w:rPr>
        <w:t>PE778.252</w:t>
      </w:r>
      <w:bookmarkEnd w:id="4"/>
    </w:p>
    <w:p w14:paraId="2C3638C1" w14:textId="46075F5D" w:rsidR="00815528" w:rsidRPr="004E0076" w:rsidRDefault="00815528" w:rsidP="00815528">
      <w:pPr>
        <w:pStyle w:val="ATHeading3"/>
      </w:pPr>
      <w:bookmarkStart w:id="5" w:name="Sujet"/>
      <w:r w:rsidRPr="004E0076">
        <w:t xml:space="preserve">Rezolucija Europskog parlamenta od </w:t>
      </w:r>
      <w:r w:rsidR="004E0076">
        <w:t>11</w:t>
      </w:r>
      <w:r w:rsidRPr="004E0076">
        <w:t xml:space="preserve">. </w:t>
      </w:r>
      <w:r w:rsidR="004E0076">
        <w:t xml:space="preserve">ožujka </w:t>
      </w:r>
      <w:r w:rsidRPr="004E0076">
        <w:t>2026. o uklanjanju prepreka za jedinstveno tržište u području obrane</w:t>
      </w:r>
      <w:bookmarkEnd w:id="5"/>
      <w:r w:rsidRPr="004E0076">
        <w:t xml:space="preserve"> </w:t>
      </w:r>
      <w:bookmarkStart w:id="6" w:name="References"/>
      <w:r w:rsidRPr="004E0076">
        <w:t>(2025/2143(INI))</w:t>
      </w:r>
      <w:bookmarkEnd w:id="6"/>
    </w:p>
    <w:p w14:paraId="71CCD6F3" w14:textId="77777777" w:rsidR="00C92841" w:rsidRPr="004E0076" w:rsidRDefault="00C92841" w:rsidP="004E0076">
      <w:pPr>
        <w:pStyle w:val="Normal12"/>
        <w:spacing w:before="480"/>
      </w:pPr>
      <w:r w:rsidRPr="004E0076">
        <w:rPr>
          <w:i/>
        </w:rPr>
        <w:t>Europski parlament</w:t>
      </w:r>
      <w:r w:rsidRPr="004E0076">
        <w:t>,</w:t>
      </w:r>
    </w:p>
    <w:p w14:paraId="5A5F1E5D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>uzimajući u obzir Ugovor o funkcioniranju Europske unije (UFEU),</w:t>
      </w:r>
    </w:p>
    <w:p w14:paraId="0E1CB9D1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>uzimajući u obzir Izjavu iz Versaillesa donesenu na neformalnom sastanku čelnika država i vlada 11. ožujka 2022.,</w:t>
      </w:r>
    </w:p>
    <w:p w14:paraId="7F114D34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>uzimajući u obzir „Strateški kompas za sigurnost i obranu – za Europsku uniju koja štiti svoje građane, vrijednosti i interese te doprinosi međunarodnom miru i sigurnosti”, koji je Vijeće odobrilo 21. ožujka 2022., a Europsko vijeće prihvatilo 25. ožujka 2022.,</w:t>
      </w:r>
    </w:p>
    <w:p w14:paraId="55CBD2A1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>uzimajući u obzir Odluku Vijeća (ZVSP) 2017/2315 od 11. prosinca 2017. o uspostavi stalne strukturirane suradnje (PESCO) i utvrđivanju popisa država članica sudionica</w:t>
      </w:r>
      <w:r w:rsidRPr="004E0076">
        <w:rPr>
          <w:rStyle w:val="FootnoteReference"/>
        </w:rPr>
        <w:footnoteReference w:customMarkFollows="1" w:id="1"/>
        <w:t>1</w:t>
      </w:r>
      <w:r w:rsidRPr="004E0076">
        <w:t>,</w:t>
      </w:r>
    </w:p>
    <w:p w14:paraId="075C4561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>uzimajući u obzir Direktivu 2009/43/EZ Europskog parlamenta i Vijeća od 6. svibnja 2009. o pojednostavnjivanju uvjeta za prijenos obrambenih proizvoda unutar Zajednice</w:t>
      </w:r>
      <w:r w:rsidRPr="004E0076">
        <w:rPr>
          <w:rStyle w:val="FootnoteReference"/>
        </w:rPr>
        <w:footnoteReference w:customMarkFollows="1" w:id="2"/>
        <w:t>2</w:t>
      </w:r>
      <w:r w:rsidRPr="004E0076">
        <w:t>,</w:t>
      </w:r>
    </w:p>
    <w:p w14:paraId="79DE5A60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>uzimajući u obzir Direktivu 2009/81/EZ Europskog parlamenta i Vijeća od 13. srpnja 2009. o usklađivanju postupaka nabave za određene ugovore o radovima, ugovore o nabavi robe i ugovore o uslugama koje sklapaju javni naručitelji ili naručitelji u području obrane i sigurnosti te izmjeni direktiva 2004/17/EZ i 2004/18/EZ</w:t>
      </w:r>
      <w:r w:rsidRPr="004E0076">
        <w:rPr>
          <w:rStyle w:val="FootnoteReference"/>
        </w:rPr>
        <w:footnoteReference w:customMarkFollows="1" w:id="3"/>
        <w:t>3</w:t>
      </w:r>
      <w:r w:rsidRPr="004E0076">
        <w:t>,</w:t>
      </w:r>
    </w:p>
    <w:p w14:paraId="623E014B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>uzimajući u obzir Uredbu (EU) 2021/697 Europskog parlamenta i Vijeća od 29. travnja 2021. o uspostavi Europskog fonda za obranu i stavljanju izvan snage Uredbe (EU) 2018/1092</w:t>
      </w:r>
      <w:r w:rsidRPr="004E0076">
        <w:rPr>
          <w:rStyle w:val="FootnoteReference"/>
        </w:rPr>
        <w:footnoteReference w:customMarkFollows="1" w:id="4"/>
        <w:t>4</w:t>
      </w:r>
      <w:r w:rsidRPr="004E0076">
        <w:t>,</w:t>
      </w:r>
    </w:p>
    <w:p w14:paraId="7FC49427" w14:textId="77777777" w:rsidR="00C92841" w:rsidRPr="004E0076" w:rsidRDefault="00C92841" w:rsidP="00C92841">
      <w:pPr>
        <w:pStyle w:val="NormalHanging"/>
      </w:pPr>
      <w:r w:rsidRPr="004E0076">
        <w:lastRenderedPageBreak/>
        <w:t>–</w:t>
      </w:r>
      <w:r w:rsidRPr="004E0076">
        <w:tab/>
        <w:t>uzimajući u obzir Uredbu (EU) 2023/1525 Europskog parlamenta i Vijeća od 20. srpnja 2023. o podupiranju proizvodnje streljiva (ASAP)</w:t>
      </w:r>
      <w:r w:rsidRPr="004E0076">
        <w:rPr>
          <w:rStyle w:val="FootnoteReference"/>
        </w:rPr>
        <w:footnoteReference w:customMarkFollows="1" w:id="5"/>
        <w:t>5</w:t>
      </w:r>
      <w:r w:rsidRPr="004E0076">
        <w:t>,</w:t>
      </w:r>
    </w:p>
    <w:p w14:paraId="33748A50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>uzimajući u obzir Uredbu (EU) 2023/2418 Europskog parlamenta i Vijeća od 18. listopada 2023. o uspostavi instrumenta za jačanje europske obrambene industrije putem zajedničke nabave (EDIRPA)</w:t>
      </w:r>
      <w:r w:rsidRPr="004E0076">
        <w:rPr>
          <w:rStyle w:val="FootnoteReference"/>
        </w:rPr>
        <w:footnoteReference w:customMarkFollows="1" w:id="6"/>
        <w:t>6</w:t>
      </w:r>
      <w:r w:rsidRPr="004E0076">
        <w:t>,</w:t>
      </w:r>
    </w:p>
    <w:p w14:paraId="18EAF981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>uzimajući u obzir Uredbu (EU) 2025/2643 Europskog parlamenta i Vijeća od 16. prosinca 2025. o uspostavi Programa za europsku obrambenu industriju i okvira mjera za osiguravanje pravodobne dostupnosti obrambenih proizvoda i opskrbe njima („Uredba EDIP”)</w:t>
      </w:r>
      <w:r w:rsidRPr="004E0076">
        <w:rPr>
          <w:rStyle w:val="FootnoteReference"/>
        </w:rPr>
        <w:footnoteReference w:customMarkFollows="1" w:id="7"/>
        <w:t>7</w:t>
      </w:r>
      <w:r w:rsidRPr="004E0076">
        <w:t>,</w:t>
      </w:r>
    </w:p>
    <w:p w14:paraId="0972868F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 xml:space="preserve">uzimajući u obzir Uredbu (EU) 2025/2653 Europskog parlamenta i Vijeća od 19. prosinca 2025. o izmjeni uredaba (EU) 2021/694, (EU) 2021/695, (EU) 2021/697, (EU) 2021/1153 i (EU) 2024/795 u pogledu poticanja ulaganja u obranu u okviru proračuna EU-a radi provedbe plana </w:t>
      </w:r>
      <w:proofErr w:type="spellStart"/>
      <w:r w:rsidRPr="004E0076">
        <w:t>ReArm</w:t>
      </w:r>
      <w:proofErr w:type="spellEnd"/>
      <w:r w:rsidRPr="004E0076">
        <w:t xml:space="preserve"> Europe</w:t>
      </w:r>
      <w:r w:rsidRPr="004E0076">
        <w:rPr>
          <w:rStyle w:val="FootnoteReference"/>
        </w:rPr>
        <w:footnoteReference w:customMarkFollows="1" w:id="8"/>
        <w:t>8</w:t>
      </w:r>
      <w:r w:rsidRPr="004E0076">
        <w:t>,</w:t>
      </w:r>
    </w:p>
    <w:p w14:paraId="09A0D460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>uzimajući u obzir Uredbu Vijeća (EU) 2025/1106 od 27. svibnja 2025. o uspostavi Instrumenta za sigurnosne mjere za Europu (SAFE) putem jačanja europske obrambene industrije</w:t>
      </w:r>
      <w:r w:rsidRPr="004E0076">
        <w:rPr>
          <w:rStyle w:val="FootnoteReference"/>
        </w:rPr>
        <w:footnoteReference w:customMarkFollows="1" w:id="9"/>
        <w:t>9</w:t>
      </w:r>
      <w:r w:rsidRPr="004E0076">
        <w:t>,</w:t>
      </w:r>
    </w:p>
    <w:p w14:paraId="7A0011BB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>uzimajući u obzir Komisijin Prijedlog uredbe Europskog parlamenta i Vijeća od 17. lipnja 2025. o ubrzanju izdavanja dozvola za projekte u području obrambene pripravnosti (COM(2025)0821), Komisijin Prijedlog uredbe Europskog parlamenta i Vijeća od 17. lipnja 2025. o izmjeni uredbi (EZ) br. 1907/2006, (EZ) br. 1272/2008, (EU) br. 528/2012, (EU) 2019/1021 i (EU) 2021/697 u pogledu obrambene pripravnosti i olakšavanja ulaganja u obranu i uvjeta za obrambenu industriju (COM(2025)0822) i Komisijin Prijedlog direktive Europskog parlamenta i Vijeća od 17. lipnja 2025. o izmjeni direktiva 2009/43/EZ i 2009/81/EZ u pogledu pojednostavnjenja transfera obrambenih proizvoda unutar EU-a i pojednostavnjenja javne nabave u području sigurnosti i obrane (COM(2025)0823), koji su dio „Skupnog paketa za obrambenu pripravnost” od 17. lipnja 2025.,</w:t>
      </w:r>
    </w:p>
    <w:p w14:paraId="6FB52F3D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>uzimajući u obzir zaključke Europskog vijeća o europskoj obrani, posebno one od 6. ožujka 2025., 20. ožujka 2025., 26. lipnja 2025. i 23. listopada 2025.,</w:t>
      </w:r>
    </w:p>
    <w:p w14:paraId="14E21E31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>uzimajući u obzir svoju Rezoluciju od 25. ožujka 2021. o provedbi Direktive 2009/81/EZ u pogledu javne nabave u području obrane i sigurnosti te Direktive 2009/43/EZ u pogledu transfera obrambenih proizvoda</w:t>
      </w:r>
      <w:r w:rsidRPr="004E0076">
        <w:rPr>
          <w:rStyle w:val="FootnoteReference"/>
        </w:rPr>
        <w:footnoteReference w:customMarkFollows="1" w:id="10"/>
        <w:t>10</w:t>
      </w:r>
      <w:r w:rsidRPr="004E0076">
        <w:t>,</w:t>
      </w:r>
    </w:p>
    <w:p w14:paraId="41ACE7FC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>uzimajući u obzir svoju Rezoluciju od 2. travnja 2025. o provedbi zajedničke vanjske i sigurnosne politike – godišnje izvješće za 2024.</w:t>
      </w:r>
      <w:r w:rsidRPr="004E0076">
        <w:rPr>
          <w:rStyle w:val="FootnoteReference"/>
        </w:rPr>
        <w:footnoteReference w:customMarkFollows="1" w:id="11"/>
        <w:t>11</w:t>
      </w:r>
      <w:r w:rsidRPr="004E0076">
        <w:t>,</w:t>
      </w:r>
    </w:p>
    <w:p w14:paraId="214C9281" w14:textId="77777777" w:rsidR="00C92841" w:rsidRPr="004E0076" w:rsidRDefault="00C92841" w:rsidP="00C92841">
      <w:pPr>
        <w:pStyle w:val="NormalHanging"/>
      </w:pPr>
      <w:r w:rsidRPr="004E0076">
        <w:lastRenderedPageBreak/>
        <w:t>–</w:t>
      </w:r>
      <w:r w:rsidRPr="004E0076">
        <w:tab/>
        <w:t>uzimajući u obzir svoju Rezoluciju od 25. studenoga 2025. o institucionalnim aspektima izvješća o budućnosti europske konkurentnosti (</w:t>
      </w:r>
      <w:proofErr w:type="spellStart"/>
      <w:r w:rsidRPr="004E0076">
        <w:t>Draghijevo</w:t>
      </w:r>
      <w:proofErr w:type="spellEnd"/>
      <w:r w:rsidRPr="004E0076">
        <w:t xml:space="preserve"> izvješće)</w:t>
      </w:r>
      <w:r w:rsidRPr="004E0076">
        <w:rPr>
          <w:rStyle w:val="FootnoteReference"/>
        </w:rPr>
        <w:footnoteReference w:customMarkFollows="1" w:id="12"/>
        <w:t>12</w:t>
      </w:r>
      <w:r w:rsidRPr="004E0076">
        <w:t>,</w:t>
      </w:r>
    </w:p>
    <w:p w14:paraId="119D1E2E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>uzimajući u obzir zajedničku komunikaciju Komisije i visoke predstavnice Unije za vanjske poslove i sigurnosnu politiku od 5. ožujka 2024. naslovljenu „Nova strategija za europsku obrambenu industriju: postizanje pripravnosti EU-a uz pomoć fleksibilne i otporne europske obrambene industrije” (JOIN(2024)0010),</w:t>
      </w:r>
    </w:p>
    <w:p w14:paraId="539B90D8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 xml:space="preserve">uzimajući u obzir političke smjernice za sljedeću Europsku komisiju za razdoblje 2024. – 2029. naslovljene „Izbor za Europu”, koje je tadašnja kandidatkinja za predsjednicu Komisije Ursula von </w:t>
      </w:r>
      <w:proofErr w:type="spellStart"/>
      <w:r w:rsidRPr="004E0076">
        <w:t>der</w:t>
      </w:r>
      <w:proofErr w:type="spellEnd"/>
      <w:r w:rsidRPr="004E0076">
        <w:t xml:space="preserve"> </w:t>
      </w:r>
      <w:proofErr w:type="spellStart"/>
      <w:r w:rsidRPr="004E0076">
        <w:t>Leyen</w:t>
      </w:r>
      <w:proofErr w:type="spellEnd"/>
      <w:r w:rsidRPr="004E0076">
        <w:t xml:space="preserve"> predstavila 18. srpnja 2025.,</w:t>
      </w:r>
    </w:p>
    <w:p w14:paraId="121088E9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 xml:space="preserve">uzimajući u obzir izvješće Marija </w:t>
      </w:r>
      <w:proofErr w:type="spellStart"/>
      <w:r w:rsidRPr="004E0076">
        <w:t>Draghija</w:t>
      </w:r>
      <w:proofErr w:type="spellEnd"/>
      <w:r w:rsidRPr="004E0076">
        <w:t xml:space="preserve"> od 9. rujna 2024. naslovljeno „Budućnost europske konkurentnosti” (</w:t>
      </w:r>
      <w:proofErr w:type="spellStart"/>
      <w:r w:rsidRPr="004E0076">
        <w:t>Draghijevo</w:t>
      </w:r>
      <w:proofErr w:type="spellEnd"/>
      <w:r w:rsidRPr="004E0076">
        <w:t xml:space="preserve"> izvješće), a posebno njegovo četvrto poglavlje o povećanju sigurnosti i smanjenju ovisnosti,</w:t>
      </w:r>
    </w:p>
    <w:p w14:paraId="1F610F57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 xml:space="preserve">uzimajući u obzir izvješće </w:t>
      </w:r>
      <w:proofErr w:type="spellStart"/>
      <w:r w:rsidRPr="004E0076">
        <w:t>Saulija</w:t>
      </w:r>
      <w:proofErr w:type="spellEnd"/>
      <w:r w:rsidRPr="004E0076">
        <w:t xml:space="preserve"> </w:t>
      </w:r>
      <w:proofErr w:type="spellStart"/>
      <w:r w:rsidRPr="004E0076">
        <w:t>Niinistöa</w:t>
      </w:r>
      <w:proofErr w:type="spellEnd"/>
      <w:r w:rsidRPr="004E0076">
        <w:t xml:space="preserve"> od 30. listopada 2024. naslovljeno „Sigurniji zajedno – jačanje europske civilne i vojne pripravnosti i spremnosti” (</w:t>
      </w:r>
      <w:proofErr w:type="spellStart"/>
      <w:r w:rsidRPr="004E0076">
        <w:t>Niinistöovo</w:t>
      </w:r>
      <w:proofErr w:type="spellEnd"/>
      <w:r w:rsidRPr="004E0076">
        <w:t xml:space="preserve"> izvješće),</w:t>
      </w:r>
    </w:p>
    <w:p w14:paraId="69963506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 xml:space="preserve">uzimajući u obzir izvješće Enrica </w:t>
      </w:r>
      <w:proofErr w:type="spellStart"/>
      <w:r w:rsidRPr="004E0076">
        <w:t>Lette</w:t>
      </w:r>
      <w:proofErr w:type="spellEnd"/>
      <w:r w:rsidRPr="004E0076">
        <w:t xml:space="preserve"> od 10. travnja 2024. naslovljeno „Više od tržišta – Brzina, sigurnost, solidarnost – Osnaživanje jedinstvenog tržišta za ostvarivanje održive budućnosti i blagostanja za sve građane EU-a” (</w:t>
      </w:r>
      <w:proofErr w:type="spellStart"/>
      <w:r w:rsidRPr="004E0076">
        <w:t>Lettino</w:t>
      </w:r>
      <w:proofErr w:type="spellEnd"/>
      <w:r w:rsidRPr="004E0076">
        <w:t xml:space="preserve"> izvješće),</w:t>
      </w:r>
    </w:p>
    <w:p w14:paraId="427D1EC4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>uzimajući u obzir zajedničku bijelu knjigu Komisije i visoke predstavnice Unije za vanjske poslove i sigurnosnu politiku od 19. ožujka 2025. naslovljenu „Zajednička bijela knjiga o europskoj obrambenoj spremnosti 2030.” (JOIN(2025)0120),</w:t>
      </w:r>
    </w:p>
    <w:p w14:paraId="55121B25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>uzimajući u obzir članak 55. Poslovnika,</w:t>
      </w:r>
    </w:p>
    <w:p w14:paraId="32A84165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>uzimajući u obzir mišljenja Odbora za ekonomsku i monetarnu politiku i Odbora za unutarnje tržište i zaštitu potrošača,</w:t>
      </w:r>
    </w:p>
    <w:p w14:paraId="7BE18931" w14:textId="77777777" w:rsidR="00C92841" w:rsidRPr="004E0076" w:rsidRDefault="00C92841" w:rsidP="00C92841">
      <w:pPr>
        <w:pStyle w:val="NormalHanging"/>
      </w:pPr>
      <w:r w:rsidRPr="004E0076">
        <w:t>–</w:t>
      </w:r>
      <w:r w:rsidRPr="004E0076">
        <w:tab/>
        <w:t>uzimajući u obzir izvješće Odbora za sigurnost i obranu (A10-0017/2026),</w:t>
      </w:r>
    </w:p>
    <w:p w14:paraId="16592446" w14:textId="77777777" w:rsidR="00C92841" w:rsidRPr="004E0076" w:rsidRDefault="00C92841" w:rsidP="00C92841">
      <w:pPr>
        <w:pStyle w:val="NormalHanging"/>
      </w:pPr>
      <w:r w:rsidRPr="004E0076">
        <w:t>A.</w:t>
      </w:r>
      <w:r w:rsidRPr="004E0076">
        <w:tab/>
        <w:t>budući da je zbog javne nabave u području obrane, koja je desetljećima bila usmjerena na nacionalnu razinu i koju su obilježili industrijska fragmentacija, regulatorne prepreke, nedovoljna ulaganja, različite procjene prijetnji i ciljevi vanjske politike, nepostojanje integriranog planiranja kapaciteta i ukupne potražnje, kao i tržišno natjecanje u području intelektualnog vlasništva, onemogućena uspostava djelotvornog i potpuno integriranog jedinstvenog tržišta u području obrane i oslabljena interoperabilnost obrambenih sustava država članicama te se time dovelo do znatnih dodatnih troškova za porezne obveznike i istodobno ugrozilo sposobnost EU-a da osigura svojim građanima sigurnost, oslabilo europsku obrambenu tehnološku i industrijsku bazu (EDTIB) i onemogućilo potpuno ostvarenje europske strateške autonomije, otpornosti i konkurentnosti;</w:t>
      </w:r>
    </w:p>
    <w:p w14:paraId="74D1547D" w14:textId="77777777" w:rsidR="00C92841" w:rsidRPr="004E0076" w:rsidRDefault="00C92841" w:rsidP="00C92841">
      <w:pPr>
        <w:pStyle w:val="NormalHanging"/>
      </w:pPr>
      <w:r w:rsidRPr="004E0076">
        <w:t>B.</w:t>
      </w:r>
      <w:r w:rsidRPr="004E0076">
        <w:tab/>
        <w:t xml:space="preserve">budući da se u izvješćima </w:t>
      </w:r>
      <w:proofErr w:type="spellStart"/>
      <w:r w:rsidRPr="004E0076">
        <w:t>Lette</w:t>
      </w:r>
      <w:proofErr w:type="spellEnd"/>
      <w:r w:rsidRPr="004E0076">
        <w:t xml:space="preserve"> i </w:t>
      </w:r>
      <w:proofErr w:type="spellStart"/>
      <w:r w:rsidRPr="004E0076">
        <w:t>Draghija</w:t>
      </w:r>
      <w:proofErr w:type="spellEnd"/>
      <w:r w:rsidRPr="004E0076">
        <w:t xml:space="preserve"> upozorava na različite strukturne nedostatke koji utječu na konkurentnost obrambene tehnološke i industrijske baze EU-a (EDTIB) i da su kao glavni problemi izdvojeni fragmentacija, nedovoljni rashodi za javnu obranu i </w:t>
      </w:r>
      <w:r w:rsidRPr="004E0076">
        <w:lastRenderedPageBreak/>
        <w:t xml:space="preserve">ograničen pristup financiranju, potvrđujući stoga potrebu za izgradnjom istinskog jedinstvenog tržišta u području obrane; budući da se u Bijeloj knjizi o budućnosti europske obrane naglašava da se mjere moraju usmjeriti na pravila i postupke za javnu nabavu u području obrane, transfere obrambenih proizvoda unutar EU-a i uzajamno priznavanje nacionalnih certifikacijskih dozvola; budući da se i u </w:t>
      </w:r>
      <w:proofErr w:type="spellStart"/>
      <w:r w:rsidRPr="004E0076">
        <w:t>Niinistöovu</w:t>
      </w:r>
      <w:proofErr w:type="spellEnd"/>
      <w:r w:rsidRPr="004E0076">
        <w:t xml:space="preserve"> izvješću naglašava potreba za poboljšanjem opće spremnosti Europe, uključujući integraciju civilne i vojne otpornosti, te ističe da se te potrebe mogu učinkovitije zadovoljiti među ostalim u okviru jedinstvenog tržišta u području obrane;</w:t>
      </w:r>
    </w:p>
    <w:p w14:paraId="1DA32F0E" w14:textId="77777777" w:rsidR="00C92841" w:rsidRPr="004E0076" w:rsidRDefault="00C92841" w:rsidP="00C92841">
      <w:pPr>
        <w:pStyle w:val="NormalHanging"/>
      </w:pPr>
      <w:r w:rsidRPr="004E0076">
        <w:t>C.</w:t>
      </w:r>
      <w:r w:rsidRPr="004E0076">
        <w:tab/>
        <w:t xml:space="preserve">budući da je otporna, konkurentna i inovativna europska obrambena industrijska baza ključna za postizanje ciljeva Strateškog kompasa i osiguravanje kapaciteta EU-a za odvraćanje i obranu, s obzirom na plan za pripravnost do 2030.; budući da to zahtijeva usklađenu industrijsku i tehnološku politiku kojom se podržavaju </w:t>
      </w:r>
      <w:proofErr w:type="spellStart"/>
      <w:r w:rsidRPr="004E0076">
        <w:t>interoperabilni</w:t>
      </w:r>
      <w:proofErr w:type="spellEnd"/>
      <w:r w:rsidRPr="004E0076">
        <w:t xml:space="preserve"> kapaciteti, osiguravaju kritični lanci opskrbe, podupiru mala i srednja poduzeća (MSP-ovi) i promiču inovacije s dvojnom namjenom;</w:t>
      </w:r>
    </w:p>
    <w:p w14:paraId="1850F871" w14:textId="77777777" w:rsidR="00C92841" w:rsidRPr="004E0076" w:rsidRDefault="00C92841" w:rsidP="00C92841">
      <w:pPr>
        <w:pStyle w:val="NormalHanging"/>
      </w:pPr>
      <w:r w:rsidRPr="004E0076">
        <w:t>D.</w:t>
      </w:r>
      <w:r w:rsidRPr="004E0076">
        <w:tab/>
        <w:t xml:space="preserve">budući da je prestrog pristup određenih država članica kontrolama izvoza i transfera unutar EU-a osobito pogodio poduzeća iz sektora obrane koja su osnovana u manjim državama članicama, što pokazuje kako jedna točka zastoja može ugroziti lance opskrbe u cijelom EU-u; budući da se MSP-ovi suočavaju s osobitim preprekama za ulazak na obrambena tržišta; budući da trenutačna pravila EU-a o tržišnom natjecanju i okviri za državne potpore ne uključuju prilagođene odredbe za projekte prekogranične suradnje u području obrane, što može dovesti do otežavanja industrijske suradnje i konsolidacije; budući da ne postoji nikakvo konkretno skupno izuzeće ili neki sličan mehanizam za olakšavanje provedbe obrambenih projekata koji se financiraju </w:t>
      </w:r>
      <w:proofErr w:type="spellStart"/>
      <w:r w:rsidRPr="004E0076">
        <w:t>Unijinim</w:t>
      </w:r>
      <w:proofErr w:type="spellEnd"/>
      <w:r w:rsidRPr="004E0076">
        <w:t xml:space="preserve"> instrumentima za financiranje, zbog se stvara pravna nesigurnost za poduzeća koja rade na zajedničkom istraživanju i razvoju; budući da je zbog nepostojanja odgovarajućeg okvira za intelektualno vlasništvo i licenciranje u vezi s javno financiranim istraživanjem i razvojem u području obrane ograničena proizvodnja certificiranih europskih projekata u kojoj bi sudjelovalo više proizvođača i djelotvornost instrumenata zajedničke nabave;</w:t>
      </w:r>
    </w:p>
    <w:p w14:paraId="7557BE0C" w14:textId="77777777" w:rsidR="00C92841" w:rsidRPr="004E0076" w:rsidRDefault="00C92841" w:rsidP="00C92841">
      <w:pPr>
        <w:pStyle w:val="NormalHanging"/>
      </w:pPr>
      <w:r w:rsidRPr="004E0076">
        <w:t>E.</w:t>
      </w:r>
      <w:r w:rsidRPr="004E0076">
        <w:tab/>
        <w:t>budući da se europska obrambena industrija suočava s velikim nedostatkom kvalificiranih radnika i sve starijom radnom snagom, zbog čega prijeti opasnost od stvaranja uskih grla u proizvodnji, što koči širenje; budući da različiti nacionalni zahtjevi u pogledu sigurnosnih provjera za osoblje i poduzeća u obrambenoj industriji onemogućavaju jaču prekograničnu suradnju jer poduzeća ili inženjere koji su prošli sigurnosnu provjeru za postupanje s klasificiranim podacima u jednoj državi članici podvrgavaju dodatnim dugotrajnim sigurnosnim provjerama u drugim državama članicama; budući da brzom uvođenju i primjeni inovativnih tehnologija u europskim oružanim snagama na putu stoje dugotrajni razvojni ciklusi i znatna nesklonost rizicima;</w:t>
      </w:r>
    </w:p>
    <w:p w14:paraId="4222B8A3" w14:textId="77777777" w:rsidR="00C92841" w:rsidRPr="004E0076" w:rsidRDefault="00C92841" w:rsidP="00C92841">
      <w:pPr>
        <w:pStyle w:val="NormalHanging"/>
      </w:pPr>
      <w:r w:rsidRPr="004E0076">
        <w:t>F.</w:t>
      </w:r>
      <w:r w:rsidRPr="004E0076">
        <w:tab/>
        <w:t>budući da je u cilju povećanja javne podrške za ta ulaganja potrebno ravnopravno i proporcionalno raspodijeliti ekonomsku dobit i koristi u cijeloj Uniji, uzimajući u obzir posebnosti nacionalnih obrambenih industrijskih baza; budući da bi se prekograničnom suradnjom ujedno trebalo osigurati pravedno i punopravno sudjelovanje MSP-ova i malih poduzeća srednje tržišne kapitalizacije u lancu vrijednosti u području obrane te ojačati regionalnu koheziju u cijeloj Uniji; budući da ulaganja u obranu mogu dovesti do otvaranja kvalitetnih radnih mjesta u velikom broju regija, čime bi se doprinijelo postizanju ciljeva kohezije;</w:t>
      </w:r>
    </w:p>
    <w:p w14:paraId="49121CCE" w14:textId="77777777" w:rsidR="00C92841" w:rsidRPr="004E0076" w:rsidRDefault="00C92841" w:rsidP="00C92841">
      <w:pPr>
        <w:pStyle w:val="NormalHanging"/>
      </w:pPr>
      <w:r w:rsidRPr="004E0076">
        <w:lastRenderedPageBreak/>
        <w:t>G.</w:t>
      </w:r>
      <w:r w:rsidRPr="004E0076">
        <w:tab/>
        <w:t>budući da su nedavna događanja razotkrila rizike koncentracije lanca nabave u europskom obrambenom sektoru, pri čemu najbitniji obrambeni proizvodi i ulazni elementi često ovise o jednom dobavljaču ili vrlo malom broju dobavljača; budući da se zbog te koncentracije stvaraju pojedinačne točke neuspjeha i ranjivosti u kriznim vremenima, što naglašava hitnu potrebu za diversifikacijom i redundancijom u lancima opskrbe;</w:t>
      </w:r>
    </w:p>
    <w:p w14:paraId="56E7F1A3" w14:textId="77777777" w:rsidR="00C92841" w:rsidRPr="004E0076" w:rsidRDefault="00C92841" w:rsidP="00C92841">
      <w:pPr>
        <w:pStyle w:val="NormalHanging"/>
      </w:pPr>
      <w:r w:rsidRPr="004E0076">
        <w:t>H.</w:t>
      </w:r>
      <w:r w:rsidRPr="004E0076">
        <w:tab/>
        <w:t xml:space="preserve">budući da je, prema navodima u </w:t>
      </w:r>
      <w:proofErr w:type="spellStart"/>
      <w:r w:rsidRPr="004E0076">
        <w:t>Draghijevu</w:t>
      </w:r>
      <w:proofErr w:type="spellEnd"/>
      <w:r w:rsidRPr="004E0076">
        <w:t xml:space="preserve"> izvješću, europska zajednička nabava 2022. činila samo 18 % troškova za nabavu obrambene opreme, što je daleko ispod praga od 35 % dogovorenog u okvirima Europske obrambene agencije (EDA); budući da je Unija postavila politički cilj da do 2030. najmanje polovicu obrambene opreme nabavlja od europskih proizvođača;</w:t>
      </w:r>
    </w:p>
    <w:p w14:paraId="1B2DDC26" w14:textId="77777777" w:rsidR="00C92841" w:rsidRPr="004E0076" w:rsidRDefault="00C92841" w:rsidP="00C92841">
      <w:pPr>
        <w:pStyle w:val="NormalHanging"/>
      </w:pPr>
      <w:r w:rsidRPr="004E0076">
        <w:t>I.</w:t>
      </w:r>
      <w:r w:rsidRPr="004E0076">
        <w:tab/>
        <w:t>budući da je cilj stvaranja jedinstvenog tržišta u području obrane u konačnici sredstvo postizanja sigurnosti i strateške autonomije Europe, a ne cilj sam po sebi; budući da bi integracija obrambene industrije trebala pridonijeti sposobnosti Unije da zaštiti svoje građane i vrijednosti, osigura otpornost i odvraćanje te zaštiti svoju slobodu djelovanja; budući da se mora postići ravnoteža između tržišne učinkovitosti i nužnosti osiguravanja suverenosti i solidarnosti;</w:t>
      </w:r>
    </w:p>
    <w:p w14:paraId="496360CA" w14:textId="77777777" w:rsidR="00C92841" w:rsidRPr="004E0076" w:rsidRDefault="00C92841" w:rsidP="00C92841">
      <w:pPr>
        <w:pStyle w:val="NormalHanging"/>
      </w:pPr>
      <w:r w:rsidRPr="004E0076">
        <w:t>J.</w:t>
      </w:r>
      <w:r w:rsidRPr="004E0076">
        <w:tab/>
        <w:t>budući da bi se zajedničkim planiranjem, razvojem, proizvodnjom i javnom nabavom u pogledu obrambenih sposobnosti u Uniji omogućila veća učinkovitost i djelotvornost javnih ulaganja te ostvarile industrijske i operativne koristi, čime bi se povećalo društveno i političko prihvaćanje potrebnog povećanja ulaganja u obranu u vrijeme ograničenih proračuna te značajno povećale mogućnosti Unije i njezinih država članica da postignu punu obrambenu pripravnost prije 2030. i pravu europsku obrambenu uniju; budući da bi takvo zajedničko djelovanje u EU-u trebalo koordinirati s procesima planiranja na razini NATO-a i da bi pritom trebalo izbjeći nepotrebno dupliciranje radnji;</w:t>
      </w:r>
    </w:p>
    <w:p w14:paraId="04850E10" w14:textId="77777777" w:rsidR="00C92841" w:rsidRPr="004E0076" w:rsidRDefault="00C92841" w:rsidP="00C92841">
      <w:pPr>
        <w:pStyle w:val="NormalHanging"/>
      </w:pPr>
      <w:r w:rsidRPr="004E0076">
        <w:t>K.</w:t>
      </w:r>
      <w:r w:rsidRPr="004E0076">
        <w:tab/>
        <w:t>budući da će države članice razmotriti povećanje ulaganja u zajedničke obrambene projekte i suradnju na tim projektima samo ako oni uključuju razvoj vojnih kapaciteta od zajedničkog interesa za njihove oružane snage;</w:t>
      </w:r>
    </w:p>
    <w:p w14:paraId="7F7925C5" w14:textId="77777777" w:rsidR="00C92841" w:rsidRPr="004E0076" w:rsidRDefault="00C92841" w:rsidP="00C92841">
      <w:pPr>
        <w:pStyle w:val="NormalHanging"/>
      </w:pPr>
      <w:r w:rsidRPr="004E0076">
        <w:t>L.</w:t>
      </w:r>
      <w:r w:rsidRPr="004E0076">
        <w:tab/>
        <w:t>budući da je EU predstavio niz inicijativa usmjerenih na jačanje obrambene pripravnosti u EU-u, poboljšanje uvjeta za ulaganje i poticanje zajedničkog djelovanja, ali još nije predstavio transformacijske mjere nužne za uspostavu pravog jedinstvenog tržišta obrambenih proizvoda; budući da pravila EU-a o javnoj nabavi u području obrane (Direktiva 2009/81/EZ) i o transferima unutar EU-a (Direktiva 2009/43/EZ) još nisu sasvim ažurirana unatoč velikim promjenama sigurnosnog okruženja; budući da su dionici često isticali da smatraju obje te direktive prekomjerno složenima i da je njihovo prenošenje u zakonodavstvo država članica sporo i problematično te da iziskuje nerazmjerno velike administrativne resurse i dovodi do fragmentacije unutarnjeg tržišta;</w:t>
      </w:r>
    </w:p>
    <w:p w14:paraId="65AAEBFA" w14:textId="77777777" w:rsidR="00C92841" w:rsidRPr="004E0076" w:rsidRDefault="00C92841" w:rsidP="00C92841">
      <w:pPr>
        <w:pStyle w:val="NormalHanging"/>
      </w:pPr>
      <w:r w:rsidRPr="004E0076">
        <w:t>M.</w:t>
      </w:r>
      <w:r w:rsidRPr="004E0076">
        <w:tab/>
        <w:t xml:space="preserve">budući da, s obzirom na sve veće geopolitičke prijetnje, osobito zbog nastavka ratne agresije Rusije na Ukrajinu te njezinih hibridnih napada i provokacija usmjerenih na EU, kao i terorizma i nestabilne situacije na Bliskom istoku i u Africi, 90 % građana EU-a s pravom očekuje pojačanu suradnju na razini EU-a u području sigurnosti i obrane, među ostalim u okviru NATO-a i s drugim partnerima sličnih stavova, kako bi se zaštitilo građane i obranilo interese i vrijednosti EU-a na globalnoj razini; budući da takvo sve nestabilnije sigurnosno okruženje u neposrednom susjedstvu EU-a zahtijeva </w:t>
      </w:r>
      <w:r w:rsidRPr="004E0076">
        <w:lastRenderedPageBreak/>
        <w:t>usklađen i koordiniran odgovor, posebno kako bi se osiguralo neometano kretanje obrambenih proizvoda i usluga;</w:t>
      </w:r>
    </w:p>
    <w:p w14:paraId="692BC7EF" w14:textId="77777777" w:rsidR="00C92841" w:rsidRPr="004E0076" w:rsidRDefault="00C92841" w:rsidP="00C92841">
      <w:pPr>
        <w:pStyle w:val="Normal12a"/>
      </w:pPr>
      <w:r w:rsidRPr="004E0076">
        <w:rPr>
          <w:b/>
          <w:i/>
        </w:rPr>
        <w:t>Vizija jedinstvenog tržišta obrane u Uniji</w:t>
      </w:r>
    </w:p>
    <w:p w14:paraId="4FA20E2A" w14:textId="77777777" w:rsidR="00C92841" w:rsidRPr="004E0076" w:rsidRDefault="00C92841" w:rsidP="00C92841">
      <w:pPr>
        <w:pStyle w:val="NormalHanging12a"/>
      </w:pPr>
      <w:r w:rsidRPr="004E0076">
        <w:t>1.</w:t>
      </w:r>
      <w:r w:rsidRPr="004E0076">
        <w:tab/>
        <w:t xml:space="preserve">podsjeća da bi, kako stoji u </w:t>
      </w:r>
      <w:proofErr w:type="spellStart"/>
      <w:r w:rsidRPr="004E0076">
        <w:t>Draghijevu</w:t>
      </w:r>
      <w:proofErr w:type="spellEnd"/>
      <w:r w:rsidRPr="004E0076">
        <w:t xml:space="preserve"> izvješću, pojačana suradnja mogla dovesti do golemih ušteda u smislu učinkovitosti do razine od čak 30 % godišnjih izdataka za obranu u EU-u i do znatnog povećanja djelotvornosti trenutačnih rashoda za obranu; naglašava šire pogodnosti koje bi to imalo za konkurentnost, otpornost i stratešku suverenost EU-a s obzirom na to da obećava velike mogućnosti zapošljavanja, gospodarski razvoj i tehnološko vodstvo u cijelom EU-u; ističe da je pravo jedinstveno tržište u području obrane ključno za poticanje konkurentnosti europskih poduzeća, ne samo u EU-u, već i na globalnom tržištu na kojem se trebaju natjecati s, među ostalim, glavnim dobavljačima iz SAD-a;</w:t>
      </w:r>
    </w:p>
    <w:p w14:paraId="17064225" w14:textId="77777777" w:rsidR="00C92841" w:rsidRPr="004E0076" w:rsidRDefault="00C92841" w:rsidP="00C92841">
      <w:pPr>
        <w:pStyle w:val="NormalHanging12a"/>
      </w:pPr>
      <w:r w:rsidRPr="004E0076">
        <w:t>2.</w:t>
      </w:r>
      <w:r w:rsidRPr="004E0076">
        <w:tab/>
        <w:t xml:space="preserve">smatra da dramatični izazovi i prijetnje s kojima se suočavaju Unija i njezine države članice iziskuju dubinsko preispitivanje njihove suradnje i koordinacije u pitanjima obrane; naglašava da EU i njegove države članice moraju korjenito promijeniti svoje shvaćanje industrijske proizvodnje u području obrane i u tu svrhu uspostaviti pravo jedinstveno tržište u području obrane, na što </w:t>
      </w:r>
      <w:proofErr w:type="spellStart"/>
      <w:r w:rsidRPr="004E0076">
        <w:t>Letta</w:t>
      </w:r>
      <w:proofErr w:type="spellEnd"/>
      <w:r w:rsidRPr="004E0076">
        <w:t xml:space="preserve">, </w:t>
      </w:r>
      <w:proofErr w:type="spellStart"/>
      <w:r w:rsidRPr="004E0076">
        <w:t>Draghi</w:t>
      </w:r>
      <w:proofErr w:type="spellEnd"/>
      <w:r w:rsidRPr="004E0076">
        <w:t xml:space="preserve"> i </w:t>
      </w:r>
      <w:proofErr w:type="spellStart"/>
      <w:r w:rsidRPr="004E0076">
        <w:t>Niinistö</w:t>
      </w:r>
      <w:proofErr w:type="spellEnd"/>
      <w:r w:rsidRPr="004E0076">
        <w:t xml:space="preserve"> pozivaju u svojim izvješćima i na što se poziva u Bijeloj knjizi o budućnosti europske obrane; potiče države članice da prevladaju nacionalističke težnje u pogledu vlastite nacionalne industrijske baze, da pri planiranju nacionalne obrane u većoj mjeri uzmu u obzir prednosti obrambene suradnje na razini EU-a te da prepoznaju ključnu ulogu aktivne potpore institucija i agencija EU-a u vidu omogućavanja i koordinacije takve suradnje, uz istodobno jačanje uzajamnog povjerenja među svim dionicima;</w:t>
      </w:r>
    </w:p>
    <w:p w14:paraId="66243398" w14:textId="77777777" w:rsidR="00C92841" w:rsidRPr="004E0076" w:rsidRDefault="00C92841" w:rsidP="00C92841">
      <w:pPr>
        <w:pStyle w:val="NormalHanging12a"/>
      </w:pPr>
      <w:r w:rsidRPr="004E0076">
        <w:t>3.</w:t>
      </w:r>
      <w:r w:rsidRPr="004E0076">
        <w:tab/>
        <w:t>naglašava da samo pravo jedinstveno tržište u području obrane može pružiti sredstva potrebna za stvarnu uspostavu i održavanje konkurentne, inovativne i otporne europske obrambene tehnološke i industrijske baze koja može isporučiti potrebnu opremu u zacrtanim rokovima i količinama te osloboditi puni gospodarski, industrijski i financijski potencijal europske obrambene tehnološke i industrijske baze; ističe da je pravo jedinstveno tržište u području obrane ključno za uklanjanje nedostataka u pogledu kapaciteta i ponovnu uspostavu kapaciteta za odvraćanje te je stoga nužan temelj snažne, suverene i konkurentne Unije;</w:t>
      </w:r>
    </w:p>
    <w:p w14:paraId="15DC4A3A" w14:textId="77777777" w:rsidR="00C92841" w:rsidRPr="004E0076" w:rsidRDefault="00C92841" w:rsidP="00C92841">
      <w:pPr>
        <w:pStyle w:val="NormalHanging12a"/>
      </w:pPr>
      <w:r w:rsidRPr="004E0076">
        <w:t>4.</w:t>
      </w:r>
      <w:r w:rsidRPr="004E0076">
        <w:tab/>
        <w:t xml:space="preserve">apelira na države članice i Komisiju da brzo djeluju kako bi se stvorilo pravo jedinstveno tržište za obranu, i na strani ponude i na strani potražnje; podsjeća da je hitno potrebno objediniti potražnju putem zajedničke javne nabave i upravljanja životnim ciklusom, regulatornog pojednostavnjenja i prekogranične industrijske integracije na razini EU-a kako bi se odgovorilo na takve prepreke i smanjila ovisnost o zemljama izvan EU-a, kako su </w:t>
      </w:r>
      <w:proofErr w:type="spellStart"/>
      <w:r w:rsidRPr="004E0076">
        <w:t>Letta</w:t>
      </w:r>
      <w:proofErr w:type="spellEnd"/>
      <w:r w:rsidRPr="004E0076">
        <w:t xml:space="preserve"> i </w:t>
      </w:r>
      <w:proofErr w:type="spellStart"/>
      <w:r w:rsidRPr="004E0076">
        <w:t>Draghi</w:t>
      </w:r>
      <w:proofErr w:type="spellEnd"/>
      <w:r w:rsidRPr="004E0076">
        <w:t xml:space="preserve"> naveli u svojim izvješćima;</w:t>
      </w:r>
    </w:p>
    <w:p w14:paraId="3F185E26" w14:textId="77777777" w:rsidR="00C92841" w:rsidRPr="004E0076" w:rsidRDefault="00C92841" w:rsidP="00C92841">
      <w:pPr>
        <w:pStyle w:val="NormalHanging12a"/>
      </w:pPr>
      <w:r w:rsidRPr="004E0076">
        <w:t>5.</w:t>
      </w:r>
      <w:r w:rsidRPr="004E0076">
        <w:tab/>
        <w:t>podsjeća na važnost osiguravanja demokratskog legitimiteta, povjerenja javnosti u institucije, odgovornosti i transparentnosti kako bi se zajamčila potrebna potpora javnosti za povećanje rashoda u području obrane; naglašava važnost jamčenja pravedne i uravnotežene raspodjele troškova i koristi porasta europske potrošnje za obranu na razini cijelog EU-a;</w:t>
      </w:r>
    </w:p>
    <w:p w14:paraId="24E0B1CC" w14:textId="77777777" w:rsidR="00C92841" w:rsidRPr="004E0076" w:rsidRDefault="00C92841" w:rsidP="00C92841">
      <w:pPr>
        <w:pStyle w:val="Normal12a"/>
      </w:pPr>
      <w:r w:rsidRPr="004E0076">
        <w:rPr>
          <w:b/>
          <w:i/>
        </w:rPr>
        <w:t>Prepreke za jedinstveno tržište u području obrane</w:t>
      </w:r>
    </w:p>
    <w:p w14:paraId="5B11985A" w14:textId="77777777" w:rsidR="00C92841" w:rsidRPr="004E0076" w:rsidRDefault="00C92841" w:rsidP="00C92841">
      <w:pPr>
        <w:pStyle w:val="NormalHanging12a"/>
      </w:pPr>
      <w:r w:rsidRPr="004E0076">
        <w:lastRenderedPageBreak/>
        <w:t>6.</w:t>
      </w:r>
      <w:r w:rsidRPr="004E0076">
        <w:tab/>
        <w:t xml:space="preserve">ističe da trenutačna struktura industrijskog okruženja u području obrane dovodi do nepotrebnih dupliciranja, vanjskih ovisnosti i neučinkovitosti te koči jačanje europske obrambene tehnološke i industrijske baze i unapređenje obrambene pripravnosti EU-a; naglašava da, u spoju s nedovoljnim ulaganjima i nepostojanjem planova dugoročne potrošnje u području obrane, takva fragmentacija onemogućava ostvarivanje ekonomije razmjera koja bi mogla proizaći iz udruživanja javne nabave i proizvodnje obrambene opreme u europskim poduzećima; ističe ključnu potrebu za prevladavanjem fragmentacije u industrijskom okruženju EU-a u području obrane, iskorištavanjem potencijalne ekonomije razmjera, kao i za boljim razumijevanjem prepreka za jedinstveno tržište u području obrane; naglašava da jedinstveno tržište u području obrane mora jamčiti jednake mogućnosti sudjelovanja sektorskim i istraživačkim organizacijama, među kojima su i </w:t>
      </w:r>
      <w:r w:rsidRPr="004E0076">
        <w:rPr>
          <w:i/>
        </w:rPr>
        <w:t>start-</w:t>
      </w:r>
      <w:proofErr w:type="spellStart"/>
      <w:r w:rsidRPr="004E0076">
        <w:rPr>
          <w:i/>
        </w:rPr>
        <w:t>up</w:t>
      </w:r>
      <w:proofErr w:type="spellEnd"/>
      <w:r w:rsidRPr="004E0076">
        <w:t xml:space="preserve"> poduzeća, iz svih država članica, uključujući manja gospodarstva, te ne bi smjelo doći do pretjerano centraliziranog modela obrambene industrije; naglašava da takav tržišni model doprinosi gospodarskoj koheziji u vidu otvaranja kvalitetnih radnih mjesta u proizvodnji te istraživanju i razvoju u različitim regijama EU-a, uključujući one slabije gospodarski razvijene; također napominje da takva geografska diversifikacija doprinosi otpornosti i sigurnosti opskrbe, kao i sprečavanju stvaranja monopola i dovođenja MSP-ova i poduzeća srednje tržišne kapitalizacije u nepovoljniji položaj;</w:t>
      </w:r>
    </w:p>
    <w:p w14:paraId="4D0EAC35" w14:textId="77777777" w:rsidR="00C92841" w:rsidRPr="004E0076" w:rsidRDefault="00C92841" w:rsidP="00C92841">
      <w:pPr>
        <w:pStyle w:val="NormalHanging12a"/>
      </w:pPr>
      <w:r w:rsidRPr="004E0076">
        <w:t>7.</w:t>
      </w:r>
      <w:r w:rsidRPr="004E0076">
        <w:tab/>
        <w:t>žali zbog izostanka rezultata trenutačnog koordiniranog planiranja kapaciteta i rashoda za obrambene proizvode u Uniji, što je dovelo do različitih pravila i kriterija prihvatljivosti te neučinkovite potrošnje sredstava i time stvorilo pravnu nesigurnost te često navodi države članice da daju prednost bilateralnoj suradnji sa zemljama izvan EU-a; žali zbog toga što prioriteti utvrđeni na nacionalnoj razini često onemogućuju plodonosnu suradnju na razini EU-a;</w:t>
      </w:r>
    </w:p>
    <w:p w14:paraId="46F13C3A" w14:textId="77777777" w:rsidR="00C92841" w:rsidRPr="004E0076" w:rsidRDefault="00C92841" w:rsidP="00C92841">
      <w:pPr>
        <w:pStyle w:val="NormalHanging12a"/>
      </w:pPr>
      <w:r w:rsidRPr="004E0076">
        <w:t>8.</w:t>
      </w:r>
      <w:r w:rsidRPr="004E0076">
        <w:tab/>
        <w:t>žali zbog stalnog manjka međusobnog povjerenja među državama članicama, što se među ostalim očituje u nevoljkosti u pogledu uspostave regionalnih centara industrijske kompetencije, ograničenom stupnju prekogranične suradnje i zajedničkog planiranja kapaciteta, nedovoljnoj razini javnoj nabave robe i usluga u području obrane unutar EU-a te dvostrukim ili predostrožnim ograničenjima transfera obrambene opreme unutar EU-a, čime se koči razvoj potpuno integriranih europskih lanaca opskrbe i stvara znatna prepreka razvoju pravog jedinstvenog tržišta u području obrane;</w:t>
      </w:r>
    </w:p>
    <w:p w14:paraId="2FA06825" w14:textId="77777777" w:rsidR="00C92841" w:rsidRPr="004E0076" w:rsidRDefault="00C92841" w:rsidP="00C92841">
      <w:pPr>
        <w:pStyle w:val="NormalHanging12a"/>
      </w:pPr>
      <w:r w:rsidRPr="004E0076">
        <w:t>9.</w:t>
      </w:r>
      <w:r w:rsidRPr="004E0076">
        <w:tab/>
        <w:t>smatra da trenutačni zakonodavni okviri EU-a ne pružaju uvjete za javnu nabavu robe s brzim inovacijskim ciklusima, primjerice u području razvoja bespilotnih letjelica; izražava zabrinutost zbog toga što je jedinstveno tržište obrane i dalje ugroženo nedovoljno usklađenom primjenom njegovih pravila na razini država članica i nerazmjernom primjenom izuzeća iz članka 346. UFEU-a, što umanjuje nastojanja u smjeru zajedničke javne nabave EU-a u području obrane; ističe potrebu za namjenskom potporom MSP-ovima te malim poduzećima srednje tržišne kapitalizacije kako bi se olakšalo njihovo sudjelovanje u lancu opskrbe obrambene industrije radi povećanja inovacija uz istodobno stvaranje industrijskih viškova kojima bi se povećala otpornost i sigurnost opskrbe Unije;</w:t>
      </w:r>
    </w:p>
    <w:p w14:paraId="37C81C92" w14:textId="77777777" w:rsidR="00C92841" w:rsidRPr="004E0076" w:rsidRDefault="00C92841" w:rsidP="00C92841">
      <w:pPr>
        <w:pStyle w:val="NormalHanging12a"/>
      </w:pPr>
      <w:r w:rsidRPr="004E0076">
        <w:t>10.</w:t>
      </w:r>
      <w:r w:rsidRPr="004E0076">
        <w:tab/>
        <w:t xml:space="preserve">izražava zabrinutost zbog toga što unutarnje tržište u području obrane i dalje snosi negativne posljedice nedovoljno usklađene primjene pravila o njemu u državama članicama; posebno je zabrinut zbog česte primjene članka 346. UFEU-a, za koji je Sud Europske unije u nekoliko slučajeva presudio da je korišten neopravdano, odnosno zloupotrijebljen; ističe da je potrebno preusmjeriti pozornost na zaštitu osnovnih </w:t>
      </w:r>
      <w:r w:rsidRPr="004E0076">
        <w:lastRenderedPageBreak/>
        <w:t>sigurnosnih interesa Unije imajući na umu trenutačnu geopolitičku situaciju i prijetnje jedinstvu EU-a;</w:t>
      </w:r>
    </w:p>
    <w:p w14:paraId="12FCF1AC" w14:textId="77777777" w:rsidR="00C92841" w:rsidRPr="004E0076" w:rsidRDefault="00C92841" w:rsidP="00C92841">
      <w:pPr>
        <w:pStyle w:val="NormalHanging12a"/>
      </w:pPr>
      <w:r w:rsidRPr="004E0076">
        <w:t>11.</w:t>
      </w:r>
      <w:r w:rsidRPr="004E0076">
        <w:tab/>
        <w:t>smatra da je potpuno poštovanje Zajedničkog stajališta EU-a o izvozu oružja</w:t>
      </w:r>
      <w:r w:rsidRPr="004E0076">
        <w:rPr>
          <w:rStyle w:val="FootnoteReference"/>
        </w:rPr>
        <w:footnoteReference w:customMarkFollows="1" w:id="13"/>
        <w:t>13</w:t>
      </w:r>
      <w:r w:rsidRPr="004E0076">
        <w:t xml:space="preserve"> na razini država članica jedan od važnih stupova funkcionalnog jedinstvenog tržišta u području obrane; smatra da nepostojanje usklađenog sustava EU-a za kontrolu izvoza i izostanak međusobnog priznavanja različitih dozvola, licenci, certifikata i uvjerenja o sigurnosnoj provjeri i dalje stvaraju prepreke funkcioniranju jedinstvenog tržišta u području obrane zbog načina na koji to utječe na transfere unutar EU-a; podsjeća da obrambena proizvodnja trenutačno u velikoj mjeri ovisi o integriranim prekograničnim lancima opskrbe unutar EU-a, s komponentama koje potječu iz više država članica, što u slučaju blokade izvoza stvara nesigurnost za industriju i lance opskrbe; naglašava da je potrebno praktično rješenje kojim bi se uzele u obzir trenutačne okolnosti ovisnosti o zemljama izvan EU-a, među ostalim s obzirom na sve veću važnost kritičnih sirovina za europsku obrambenu tehnološku i industrijsku bazu i moguću izloženost zemalja izvan EU-a prisilnim mjerama; ističe da bez zajamčenog i planiranog pristupa ulaznim elementima kao što su rijetke zemlje, poluvodiči i metali visoke čistoće ne mogu se postići ambiciozni europski ciljevi u pogledu jačanja obrane i strateške autonomije;</w:t>
      </w:r>
    </w:p>
    <w:p w14:paraId="0CD004CA" w14:textId="77777777" w:rsidR="00C92841" w:rsidRPr="004E0076" w:rsidRDefault="00C92841" w:rsidP="00C92841">
      <w:pPr>
        <w:pStyle w:val="NormalHanging12a"/>
      </w:pPr>
      <w:r w:rsidRPr="004E0076">
        <w:t>12.</w:t>
      </w:r>
      <w:r w:rsidRPr="004E0076">
        <w:tab/>
        <w:t>smatra da je koordinacija postupaka razvoja obrambenih kapaciteta država članica i EU-a s NATO-ovim postupkom planiranja i revizije u području obrane ključno za osiguravanje usklađenosti i interoperabilnosti država članica i članica NATO-a izvan EU-a; žali zbog izostanka sporazuma o suradnji između NATO-a i EU-a u području razmjene informacija o standardima NATO-a (STANAG), koje bi EU mogao primijeniti donošenjem obvezujućih instrumenata; naglašava da je izostanak provedbe standarda u proteklim desetljećima doveo do neučinkovitosti, dupliciranja i nedostatka interoperabilnosti te da je to i dalje problem;</w:t>
      </w:r>
    </w:p>
    <w:p w14:paraId="235480CB" w14:textId="77777777" w:rsidR="00C92841" w:rsidRPr="004E0076" w:rsidRDefault="00C92841" w:rsidP="00C92841">
      <w:pPr>
        <w:pStyle w:val="Normal12a"/>
      </w:pPr>
      <w:r w:rsidRPr="004E0076">
        <w:rPr>
          <w:b/>
          <w:i/>
        </w:rPr>
        <w:t>Uklanjanje prepreka</w:t>
      </w:r>
    </w:p>
    <w:p w14:paraId="7BDDA331" w14:textId="77777777" w:rsidR="00C92841" w:rsidRPr="004E0076" w:rsidRDefault="00C92841" w:rsidP="00C92841">
      <w:pPr>
        <w:pStyle w:val="NormalHanging12a"/>
      </w:pPr>
      <w:r w:rsidRPr="004E0076">
        <w:t>13.</w:t>
      </w:r>
      <w:r w:rsidRPr="004E0076">
        <w:tab/>
        <w:t>apelira na Vijeće i Komisiju da u okviru sljedećeg višegodišnjeg financijskog okvira za programe EU-a za obranu osiguraju dostatna financijska sredstva kako bi se doista potaknulo države članice da se uključe u zajednički razvoj kapaciteta i zajedničku javnu nabavu, a njihove obrambene industrije da ostvare tješnju prekograničnu suradnju; ističe da novi okvir, kao što su europski obrambeni projekti od zajedničkog interesa, među kojima su i četiri vodeća projekta predložena u okviru Plana za obrambenu pripravnost do 2030., i strukture za europske programe naoružanja, ima potencijal za ostvarivanje tih ciljeva uz pomoć dostatnog dugoročnog financiranja; naglašava da bi se financiranje prije svega trebalo usmjeriti na projekte s jasnom europskom dodanom vrijednošću, interoperabilnošću, dugoročnom industrijskom održivošću i operativnim učinkom;</w:t>
      </w:r>
    </w:p>
    <w:p w14:paraId="00CA7887" w14:textId="77777777" w:rsidR="00C92841" w:rsidRPr="004E0076" w:rsidRDefault="00C92841" w:rsidP="00C92841">
      <w:pPr>
        <w:pStyle w:val="NormalHanging12a"/>
      </w:pPr>
      <w:r w:rsidRPr="004E0076">
        <w:t>14.</w:t>
      </w:r>
      <w:r w:rsidRPr="004E0076">
        <w:tab/>
        <w:t xml:space="preserve">prima na znanje trenutačna ograničenja u proizvodnim kapacitetima europske obrambene industrije, koja se unatoč tome širi, te poziva države članice da primijene pristup „kupujmo europsko” kojim se prednost daje zajedničkoj javnoj nabavi i povećanoj proizvodnji obrambenih proizvoda u okviru europske obrambene tehnološke i industrijske baze (EDTIB), Ukrajine, zemalja Europskog gospodarskog prostora / Europskog udruženja slobodne trgovine (EGP/EFTA) i, kao dodatne, komplementarne </w:t>
      </w:r>
      <w:r w:rsidRPr="004E0076">
        <w:lastRenderedPageBreak/>
        <w:t>razine, drugih zemalja izvan EU-a s kojima je Unija sklopila partnerstvo u području sigurnosti i obrane jer bi se time EDTIB-u osigurala predvidljiva količina narudžbi, potaknula privatna ulaganja u istraživanje i razvoj obrambenih proizvoda te pomoglo EDTIB-u da isporuči inovativne obrambene proizvode u dovoljnim količinama; poziva države članice da sklope ugovore koji bi poslali stabilne srednjoročne i dugoročne signale u pogledu ukupne potražnje za europskim proizvodima, čime bi se osigurala sigurnost ulaganja u svrhu proširenja EDTIB-a;</w:t>
      </w:r>
    </w:p>
    <w:p w14:paraId="727E91E8" w14:textId="77777777" w:rsidR="00C92841" w:rsidRPr="004E0076" w:rsidRDefault="00C92841" w:rsidP="00C92841">
      <w:pPr>
        <w:pStyle w:val="NormalHanging12a"/>
      </w:pPr>
      <w:r w:rsidRPr="004E0076">
        <w:t>15.</w:t>
      </w:r>
      <w:r w:rsidRPr="004E0076">
        <w:tab/>
        <w:t>apelira na EU i njegove države članice da se prema Ukrajini u najvećoj mogućoj mjeri postupa kao sa sastavnim dijelom jedinstvenog tržišta u području obrane, u vidu olakšavanja industrijskih partnerstava, pristupa mehanizmima za zajedničku javnu nabavu i sudjelovanja u programima EU-a, kao što su Europski obrambeni fond (EDF) i namjenski Instrument za potporu Ukrajini u okviru EDIP-a, kako bi se omogućila postupna integracija Ukrajine u lance opskrbe EDTIB-a, uzimajući u obzir činjenicu da je budućnost Ukrajine u EU-u i da bi njezina integracija donijela koristi i EDTIB-u – zahvaljujući ukrajinskim naprednim i u borbi dokazanim obrambenim tehnologijama i inovativnim industrijskim kapacitetima – i ukrajinskoj obrambenoj tehnološkoj i industrijskoj bazi;</w:t>
      </w:r>
    </w:p>
    <w:p w14:paraId="7CB05A54" w14:textId="77777777" w:rsidR="00C92841" w:rsidRPr="004E0076" w:rsidRDefault="00C92841" w:rsidP="00C92841">
      <w:pPr>
        <w:pStyle w:val="NormalHanging12a"/>
      </w:pPr>
      <w:r w:rsidRPr="004E0076">
        <w:t>16.</w:t>
      </w:r>
      <w:r w:rsidRPr="004E0076">
        <w:tab/>
        <w:t>smatra da je potrebno znatno poboljšati provedbu Direktive 2009/81/EZ o obrani i osjetljivoj javnoj nabavi u području sigurnosti te poziva Komisiju da predloži njezinu ambicioznu reviziju; ističe da bi bilo korisno da se državama članicama omogući da međusobno koriste sklopljene okvirne ugovore kako bi kratkoročno povećale obrambenu pripravnost EU-a jer bi im se time omogućila brža i učinkovitija javna nabava, s tim da se očekuje da će se javna nabava dugoročno provoditi putem jedinstvenih ili zajedničkih okvirnih ugovora sastavljenih u skladu s europskim kriterijima javne nabave od samog početka;</w:t>
      </w:r>
      <w:r w:rsidRPr="004E0076">
        <w:rPr>
          <w:b/>
        </w:rPr>
        <w:t xml:space="preserve"> </w:t>
      </w:r>
      <w:r w:rsidRPr="004E0076">
        <w:t>poziva države članice da se koriste različitim oblicima ugovora kojima se omogućuju inovacije, tržišno natjecanje i privatna kapitalna ulaganja, osigurava potpuna usklađenost s pravilima tržišnog natjecanja, zahtjevima u pogledu integriteta i standardima za borbu protiv korupcije te podsjeća da europska tržišta kapitala imaju ključnu ulogu u financiranju inovacija u području obrane; također smatra da bi se u slučaju bilo kakve revizije Direktive 2014/24/EU o javnoj nabavi</w:t>
      </w:r>
      <w:r w:rsidRPr="004E0076">
        <w:rPr>
          <w:rStyle w:val="FootnoteReference"/>
        </w:rPr>
        <w:footnoteReference w:customMarkFollows="1" w:id="14"/>
        <w:t>14</w:t>
      </w:r>
      <w:r w:rsidRPr="004E0076">
        <w:t xml:space="preserve"> trebali uzeti u obzir aspekti povezani sa sigurnošću i obranom, kao što je prisutnost civilnih komponenti u vojnoj robi; u tom smislu poziva Komisiju da u predstojećoj temeljitoj reviziji Direktive 2009/81/EZ predstavi ažuriranu verziju partnerstava za inovacije u području obrane kako bi se taj instrument bolje prilagodio posebnostima obrambenog tržišta i trenutačnom složenom sigurnosnom kontekstu;</w:t>
      </w:r>
    </w:p>
    <w:p w14:paraId="14864739" w14:textId="77777777" w:rsidR="00C92841" w:rsidRPr="004E0076" w:rsidRDefault="00C92841" w:rsidP="00C92841">
      <w:pPr>
        <w:pStyle w:val="NormalHanging12a"/>
      </w:pPr>
      <w:r w:rsidRPr="004E0076">
        <w:t>17.</w:t>
      </w:r>
      <w:r w:rsidRPr="004E0076">
        <w:tab/>
        <w:t xml:space="preserve">ističe da u primjeni pravila o tržišnom natjecanju i državnim potporama Komisija kao prioritet mora utvrditi jedinstvo i integritet jedinstvenog tržišta kako bi se izbjeglo narušavanje tržišnog natjecanja te kako bi se zaštitili jednaki uvjeti i kohezija za države članice, pri čemu se posebna pozornost mora posvetiti manjim državama članicama čiji su fiskalni kapaciteti za pružanje potpore nacionalnim obrambenim industrijama komparativno </w:t>
      </w:r>
      <w:proofErr w:type="spellStart"/>
      <w:r w:rsidRPr="004E0076">
        <w:t>ograničeniji</w:t>
      </w:r>
      <w:proofErr w:type="spellEnd"/>
      <w:r w:rsidRPr="004E0076">
        <w:t xml:space="preserve">; naglašava da se zbog raširene upotrebe nacionalnih subvencija za pružanje potpore ulaganjima u obranu riskira fragmentacija jedinstvenog </w:t>
      </w:r>
      <w:r w:rsidRPr="004E0076">
        <w:lastRenderedPageBreak/>
        <w:t>tržišta te se dovode u pitanje jednaki uvjeti za poduzeća u EU-u, osobito mala i srednja poduzeća;</w:t>
      </w:r>
    </w:p>
    <w:p w14:paraId="7E670F2C" w14:textId="77777777" w:rsidR="00C92841" w:rsidRPr="004E0076" w:rsidRDefault="00C92841" w:rsidP="00C92841">
      <w:pPr>
        <w:pStyle w:val="NormalHanging12a"/>
      </w:pPr>
      <w:r w:rsidRPr="004E0076">
        <w:t>18.</w:t>
      </w:r>
      <w:r w:rsidRPr="004E0076">
        <w:tab/>
        <w:t>poziva Komisiju da iznese preporuku za tumačenje članka 346. UFEU-a kako bi se omogućio usklađen i ujednačen pristup u cijelom EU-u, a da se pritom povede računa o potrebi za strogom zaštitom osnovnih sigurnosnih interesa država članica, te za primjenu članka 346. samo iznimno, u skladu s trenutačnim stvarnim okolnostima međuovisne sigurnosne strukture u EU-u; smatra da bi Komisiji trebalo omogućiti da na pojedinačnoj osnovi procjenjuje opću provedbu članka 346. UFEU-a kako bi se zaustavila svaka potencijalna strukturna zlouporaba, u skladu sa sudskom praksom Suda Europske unije i trenutačnim stvarnim okolnostima međuovisne sigurnosne strukture u EU-u;</w:t>
      </w:r>
    </w:p>
    <w:p w14:paraId="52BE1766" w14:textId="77777777" w:rsidR="00C92841" w:rsidRPr="004E0076" w:rsidRDefault="00C92841" w:rsidP="00C92841">
      <w:pPr>
        <w:pStyle w:val="NormalHanging12a"/>
      </w:pPr>
      <w:r w:rsidRPr="004E0076">
        <w:t>19.</w:t>
      </w:r>
      <w:r w:rsidRPr="004E0076">
        <w:tab/>
        <w:t>ističe potrebu za pružanjem ciljane potpore, posebno za ispitivanje prototipova novih proizvoda te davanjem prednosti ulaganjima u nove i revolucionarne tehnologije; naglašava dodanu vrijednost bliske suradnje s ukrajinskim dionicima u području obrane i tehnologije u tim iznimno inovativnim domenama; ističe važnost zaštite financijske održivosti poduzeća, uključujući MSP-ove, koja ulažu u takve inovacije; naglašava da bi se konkretnim mjerama trebala olakšati prekogranična suradnja MSP-ova, posebno u području kibernetičkih tehnologija, umjetne inteligencije te bespilotnih tehnologija i tehnologija s dvojnom namjenom, i to nadograđujući postojeće centre izvrsnosti u državama članicama;</w:t>
      </w:r>
    </w:p>
    <w:p w14:paraId="61948D2D" w14:textId="77777777" w:rsidR="00C92841" w:rsidRPr="004E0076" w:rsidRDefault="00C92841" w:rsidP="00C92841">
      <w:pPr>
        <w:pStyle w:val="NormalHanging12a"/>
      </w:pPr>
      <w:r w:rsidRPr="004E0076">
        <w:t>20.</w:t>
      </w:r>
      <w:r w:rsidRPr="004E0076">
        <w:tab/>
        <w:t xml:space="preserve">poziva države članice i Komisiju na uspostavu europske inicijative „akceleratora za inovacije u području obrane”, slične konceptima modela kao što su američka Agencija za napredne istraživačke projekte u području obrane (DARPA) ili NATO-ov Akcelerator za inovacije u području obrane za sjeverni Atlantik (DIANA), u okviru koje bi se financirali visokorizični, </w:t>
      </w:r>
      <w:proofErr w:type="spellStart"/>
      <w:r w:rsidRPr="004E0076">
        <w:t>visokoisplativi</w:t>
      </w:r>
      <w:proofErr w:type="spellEnd"/>
      <w:r w:rsidRPr="004E0076">
        <w:t xml:space="preserve"> istraživački projekti u području obrane te omogućilo ubrzano testiranje i integracija revolucionarnih tehnologija u programe europskih obrambenih sposobnosti; napominje da postojeći instrumenti EU-a za istraživanje i razvoj, uključujući Europski fond za obranu (EDF), program EU-a za inovacije u području obrane (EUDIS) i inovacijski centar u području obrane EU-a (HEDI), ostavljaju vlasništvo nad rezultatima u rukama korisnika i dopuštaju Komisiji i državama članicama koje osiguravaju sufinanciranje tek ograničena, neproizvodna prava; poziva Komisiju da osmisli odgovarajući režim intelektualnog vlasništva koji bi bio prilagođen osjetljivim elementima u području obrane, a istodobno dovoljno privlačan i nacionalnim ministarstvima obrane i obrambenoj industriji, kako bi se osiguralo da se programom mogu zadovoljiti potrebe i prioriteti u pogledu sposobnosti;</w:t>
      </w:r>
    </w:p>
    <w:p w14:paraId="1AF8F17C" w14:textId="77777777" w:rsidR="00C92841" w:rsidRPr="004E0076" w:rsidRDefault="00C92841" w:rsidP="00C92841">
      <w:pPr>
        <w:pStyle w:val="NormalHanging12a"/>
      </w:pPr>
      <w:r w:rsidRPr="004E0076">
        <w:t>21.</w:t>
      </w:r>
      <w:r w:rsidRPr="004E0076">
        <w:tab/>
        <w:t xml:space="preserve">naglašava potrebu za pojednostavnjenjem pravila i uklanjanjem prepreka povezanih s transferima obrambenih proizvoda unutar EU-a, uključujući uzajamno priznavanje kriterija i certificiranja te pojednostavnjenje zahtjeva za prethodno odobrenje; žali zbog ograničene upotrebe općih dozvola za transfer u skladu s Direktivom 2009/81/EZ i široke upotrebe pojedinačnih dozvola te poziva države članice da u potpunosti iskoriste mogućnosti za pojednostavnjenje pravila i smanjenje administrativnog opterećenja unutar postojećeg pravnog okvira; poziva Komisiju da hitno iznese prijedloge za daljnje usklađivanje transfera obrambenih proizvoda unutar EU-a kako bi se osiguralo jednostavnije kretanje takvih proizvoda unutar Unije, posebno u vidu ukidanja zahtjeva za izdavanje odobrenja za komponente koje su već integrirane ili se trebaju integrirati u obrambeni proizvod i ne mogu se samostalno transferirati ili izvoziti; nadalje, poziva države članice da porade na postizanju istog cilja te da u nacionalno zakonodavstvo </w:t>
      </w:r>
      <w:r w:rsidRPr="004E0076">
        <w:lastRenderedPageBreak/>
        <w:t>brzo prenesu i primijene mjere predložene u Skupnom paketu za obrambenu pripravnost u pogledu transfera obrambenih proizvoda unutar EU-a; poziva države članice da u potpunosti poštuju Zajedničko stajalište EU-a o izvozu oružja i da istraže prilike, kad god je to moguće, za dodatno usklađivanje izvoznih pravila za obrambenu robu; predlaže, kao moguću početnu točku za usklađivanje sustavâ za kontrolu izvoza, proširenje općih dozvola za transfer ili primjenu Ugovora iz Aachena te jačanje Direktive o transferima unutar korporacija</w:t>
      </w:r>
      <w:r w:rsidRPr="004E0076">
        <w:rPr>
          <w:rStyle w:val="FootnoteReference"/>
        </w:rPr>
        <w:footnoteReference w:customMarkFollows="1" w:id="15"/>
        <w:t>15</w:t>
      </w:r>
      <w:r w:rsidRPr="004E0076">
        <w:t xml:space="preserve"> kako bi se olakšali transferi obrambenih proizvoda unutar EU-a;</w:t>
      </w:r>
    </w:p>
    <w:p w14:paraId="5B54D85E" w14:textId="77777777" w:rsidR="00C92841" w:rsidRPr="004E0076" w:rsidRDefault="00C92841" w:rsidP="00C92841">
      <w:pPr>
        <w:pStyle w:val="NormalHanging12a"/>
      </w:pPr>
      <w:r w:rsidRPr="004E0076">
        <w:t>22.</w:t>
      </w:r>
      <w:r w:rsidRPr="004E0076">
        <w:tab/>
        <w:t>poziva Komisiju, EDA-u i države članice da porade na programu uzajamnog priznavanja uvjerenja o sigurnosnoj provjeri i certifikata kako bi se uvjerenja izdana u jednoj državi članici mogla prihvatiti i u drugim državama članicama; predlaže uspostavu dobrovoljne konvencije o sporazumima o uzajamnom priznavanju uvjerenja o sigurnosnim provjerama među državama članicama EU-a, na temelju koje bi se poduzećima ili pojedincima koji imaju uvjerenje o sigurnosnoj provjeri jedne države članice to uvjerenje priznalo i u drugim državama članicama koje su sklopile taj sporazum, podložno odgovarajućoj razmjeni informacija i nadzoru; poziva EDA-u da olakša razvoj tog okvira i poziva države članice da ga brzo zaključe taj proces;</w:t>
      </w:r>
    </w:p>
    <w:p w14:paraId="60FD826F" w14:textId="77777777" w:rsidR="00C92841" w:rsidRPr="004E0076" w:rsidRDefault="00C92841" w:rsidP="00C92841">
      <w:pPr>
        <w:pStyle w:val="NormalHanging12a"/>
      </w:pPr>
      <w:r w:rsidRPr="004E0076">
        <w:t>23.</w:t>
      </w:r>
      <w:r w:rsidRPr="004E0076">
        <w:tab/>
        <w:t>naglašava da je nužno povećati otpornost europskih obrambenih lanaca opskrbe te ograničiti pojedinačne točke na kojima može doći do zastoja i izloženost potencijalnim prisilnim mjerama zemalja izvan EU-a, za što su dobar primjer prijetnje Kine da će ograničiti izvoz sirovina; zahtijeva da se pri provedbi Akta o kritičnim sirovinama</w:t>
      </w:r>
      <w:r w:rsidRPr="004E0076">
        <w:rPr>
          <w:rStyle w:val="FootnoteReference"/>
        </w:rPr>
        <w:footnoteReference w:customMarkFollows="1" w:id="16"/>
        <w:t>16</w:t>
      </w:r>
      <w:r w:rsidRPr="004E0076">
        <w:t xml:space="preserve"> poseban naglasak stavi na obranu;</w:t>
      </w:r>
    </w:p>
    <w:p w14:paraId="7881D8ED" w14:textId="77777777" w:rsidR="00C92841" w:rsidRPr="004E0076" w:rsidRDefault="00C92841" w:rsidP="00C92841">
      <w:pPr>
        <w:pStyle w:val="NormalHanging12a"/>
      </w:pPr>
      <w:r w:rsidRPr="004E0076">
        <w:t>24.</w:t>
      </w:r>
      <w:r w:rsidRPr="004E0076">
        <w:tab/>
        <w:t>poziva Komisiju i države članice da uvedu poticaje za diversifikaciju lanca opskrbe, uključujući potporu za nove sudionike na tržištu i MSP-ove; ističe da se zbog nastojanja da se postigne troškovna učinkovitost ne smije ugroziti nacionalna sigurnost opskrbe; poziva Komisiju na praćenje rizika u lancu opskrbe i utvrđivanje područja u kojima postoji opasna koncentracija te na redovito izvješćivanje o napretku u povećanju raznolikosti opskrbe; također poziva Komisiju da ponudi rješenje za situacije u kojima poddobavljači iz zemalja izvan EU-a odbijaju isporučiti materijale ako ih se namjerava koristiti za vojne potrebe; ističe potrebu za pravnim okvirom kojim će se osigurati pouzdanost u ispunjavanju ugovornih obveza u cijelom lancu opskrbe; poziva Komisiju da stvori strateške zalihe u skladu sa Strategijom EU-a za Uniju pripravnosti; u tom pogledu naglašava važnost sustava sigurnosti opskrbe uspostavljenog u okviru EDIP-a;</w:t>
      </w:r>
    </w:p>
    <w:p w14:paraId="286BFEED" w14:textId="77777777" w:rsidR="00C92841" w:rsidRPr="004E0076" w:rsidRDefault="00C92841" w:rsidP="00C92841">
      <w:pPr>
        <w:pStyle w:val="NormalHanging12a"/>
      </w:pPr>
      <w:r w:rsidRPr="004E0076">
        <w:t>25.</w:t>
      </w:r>
      <w:r w:rsidRPr="004E0076">
        <w:tab/>
        <w:t xml:space="preserve">naglašava da je potrebno osigurati ravnomjernu geografsku rasprostranjenost industrijske proizvodnje, ulaganja i stvaranja vrijednosti u području obrane te doprinijeti gospodarskoj i društvenoj konvergenciji unutar EU-a, uz istodobno jačanje otpornosti kroz geografsku diversifikaciju i uzimanje u obzir stvarnih sigurnosnih prijetnji s kojima se države članice suočavaju u svojem susjedstvu; poziva na to da se ulaganja u obranu planiraju tako da se jača društvena kohezija unutar regija i država članica te </w:t>
      </w:r>
      <w:r w:rsidRPr="004E0076">
        <w:lastRenderedPageBreak/>
        <w:t>među njima, uz istodobno jačanje otpornosti u vrijeme kriza u području obrane, pod uvjetom da se time ne ugrožava cilj troškovne učinkovitosti, brzine i tržišnog natjecanja;</w:t>
      </w:r>
    </w:p>
    <w:p w14:paraId="521F8344" w14:textId="77777777" w:rsidR="00C92841" w:rsidRPr="004E0076" w:rsidRDefault="00C92841" w:rsidP="00C92841">
      <w:pPr>
        <w:pStyle w:val="NormalHanging12a"/>
      </w:pPr>
      <w:r w:rsidRPr="004E0076">
        <w:t>26.</w:t>
      </w:r>
      <w:r w:rsidRPr="004E0076">
        <w:tab/>
        <w:t>poziva Komisiju da iznese jasne smjernice o tome kako vrednovati aspekte obrane i sigurnosti pri donošenju odluka o kontroli koncentracije koje utječu na EDTIB, u skladu s politikom EU-a o tržišnom natjecanju; također poziva Komisiju da istraži mogućnosti ciljanih prilagodbi pravila EU-a o tržišnom natjecanju kako bi se bolje poduprle jedinstvene potrebe obrambene industrije, primjerice uvođenje ciljanog skupnog izuzeća za projekte istraživanja i razvoja u području obrane koji se financiraju iz europskih programa; ističe da bi se, pri procjeni koncentracija ili mjera potpore u sektoru obrane, sigurnost opskrbe i smanjenje strateških ovisnosti trebali smatrati pozitivnim kriterijima;</w:t>
      </w:r>
    </w:p>
    <w:p w14:paraId="1DFBB83F" w14:textId="77777777" w:rsidR="00C92841" w:rsidRPr="004E0076" w:rsidRDefault="00C92841" w:rsidP="00C92841">
      <w:pPr>
        <w:pStyle w:val="NormalHanging12a"/>
      </w:pPr>
      <w:r w:rsidRPr="004E0076">
        <w:t>27.</w:t>
      </w:r>
      <w:r w:rsidRPr="004E0076">
        <w:tab/>
        <w:t xml:space="preserve">naglašava da je potrebno poraditi na </w:t>
      </w:r>
      <w:proofErr w:type="spellStart"/>
      <w:r w:rsidRPr="004E0076">
        <w:t>proaktivnijoj</w:t>
      </w:r>
      <w:proofErr w:type="spellEnd"/>
      <w:r w:rsidRPr="004E0076">
        <w:t xml:space="preserve"> ulozi EU-a u vezi s održavanjem ulaganja u tehnologije i proizvode s dvojnom namjenom, posebno kada su oni dio lanaca opskrbe za obrambene proizvode, kao sredstvu povećanja sigurnosti opskrbe u EU-u i njegove otpornosti na hibridne i nove prijetnje; zagovara promicanje civilne komercijalizacije tih tehnologija kao načina širenja tržišnih prilika, stvaranja pozitivnih učinaka i jačanja EDTIB-a uz poticanje sinergija između vojnog i civilnog razvoja; poziva Komisiju i države članice da uvedu poticaje za to da se za najbitnije ulazne elemente obrambenih proizvoda lanci opskrbe ograniče na EU, među ostalim u okviru unaprjeđenog instrumenta vlasničkog kapitala u području obrane, s naglaskom na komercijalizaciju u završnoj fazi, povećanje financiranja te pristup MSP-ova koridorima za ispitivanje i kibernetičkim poligonima; posebno ističe da bi sektor „novog svemira”, koji je tek u nastajanju, kao i njegov inovativni potencijal za tehnologije s dvojnom namjenom trebalo u potpunosti iskoristiti za potrebe razvoja obrambenih i civilnih primjena;</w:t>
      </w:r>
    </w:p>
    <w:p w14:paraId="5CD81BFB" w14:textId="77777777" w:rsidR="00C92841" w:rsidRPr="004E0076" w:rsidRDefault="00C92841" w:rsidP="00C92841">
      <w:pPr>
        <w:pStyle w:val="NormalHanging12a"/>
      </w:pPr>
      <w:r w:rsidRPr="004E0076">
        <w:t>28.</w:t>
      </w:r>
      <w:r w:rsidRPr="004E0076">
        <w:tab/>
        <w:t>poziva Komisiju da procijeni pravne, proceduralne i regulatorne prilagodbe koje bi bile nužne kako bi se osiguralo da EU i njegove države članice mogu brzo prilagoditi pravila o javnoj nabavi i proizvodnji u području obrane u slučaju rata ili velike sigurnosne krize te kako bi se izbjegli svi poremećaji na jedinstvenom tržištu; također poziva Komisiju da osigura da je takav postupak usklađen sa sustavom sigurnosti opskrbe predviđenim EDIP-om; ističe važnost pripravnosti u obliku okvira za nepredvidive situacije za potrebe nabave u hitnim slučajevima i povećanja industrije, koji bi se mogao brzo aktivirati prema potrebi;</w:t>
      </w:r>
    </w:p>
    <w:p w14:paraId="69B656E1" w14:textId="77777777" w:rsidR="00C92841" w:rsidRPr="004E0076" w:rsidRDefault="00C92841" w:rsidP="00C92841">
      <w:pPr>
        <w:pStyle w:val="NormalHanging12a"/>
      </w:pPr>
      <w:r w:rsidRPr="004E0076">
        <w:t>29.</w:t>
      </w:r>
      <w:r w:rsidRPr="004E0076">
        <w:tab/>
        <w:t xml:space="preserve">smatra da bi institucije i agencije EU-a trebale povećati svoju ulogu u olakšavanju koordinacije među državama članicama i pozdravlja doprinos EDA-e, posebno u vidu plana za razvoj sposobnosti i koordiniranog godišnjeg preispitivanja u području obrane, naglašavajući da bi njezino stručno znanje trebalo u potpunosti iskoristiti; ističe ključnu ulogu EDA-e u promicanju jedinstvenog tržišta u području obrane te poziva države članice da u tu svrhu daju EDA-i širi mandat i osiguraju više resursa; podržava veću uključenost EDA-e u obrambene inicijative EU-a i u utvrđivanje trajnih prepreka jedinstvenom tržištu u području obrane; poziva na razvoj i uvođenje centra HEDI u okviru EDA-e na regionalnoj razini kako bi se proširila njegova uloga središnje platforme koja povezuje MSP-ove, </w:t>
      </w:r>
      <w:r w:rsidRPr="004E0076">
        <w:rPr>
          <w:i/>
        </w:rPr>
        <w:t>start-</w:t>
      </w:r>
      <w:proofErr w:type="spellStart"/>
      <w:r w:rsidRPr="004E0076">
        <w:rPr>
          <w:i/>
        </w:rPr>
        <w:t>up</w:t>
      </w:r>
      <w:proofErr w:type="spellEnd"/>
      <w:r w:rsidRPr="004E0076">
        <w:t xml:space="preserve"> poduzeća, istraživačke centre i glavne izvođače; čvrsto vjeruje da će se jačanjem EDA-e pridonijeti poticanju uzajamnog povjerenja i suradnje koji su potrebni za uspjeh jedinstvenog tržišta u području obrane jer EDA ima jedinstven položaj za povezivanje nacionalnih i europskih interesa; također </w:t>
      </w:r>
      <w:r w:rsidRPr="004E0076">
        <w:lastRenderedPageBreak/>
        <w:t>pozdravlja doprinos multilateralnih agencija za javnu nabavu, kao što je Organizacija za suradnju u području zajedničkog naoružavanja, koje promiču usklađivanje opreme među državama članicama i partnerskim državama izvan EU-a;</w:t>
      </w:r>
    </w:p>
    <w:p w14:paraId="132FE8C2" w14:textId="77777777" w:rsidR="00C92841" w:rsidRPr="004E0076" w:rsidRDefault="00C92841" w:rsidP="00C92841">
      <w:pPr>
        <w:pStyle w:val="NormalHanging12a"/>
      </w:pPr>
      <w:r w:rsidRPr="004E0076">
        <w:t>30.</w:t>
      </w:r>
      <w:r w:rsidRPr="004E0076">
        <w:tab/>
        <w:t>ističe potrebu za dodatnim europskim financijskim sredstvima namijenjenima rješavanju pitanja nedostatka komercijalizacije u području inovativnih obrambenih proizvoda; poziva na jačanje instrumenata kako bi se osiguralo da MSP-ovi i poduzeća srednje tržišne kapitalizacije imaju stvaran i prilagodljiv pristup privatnom kapitalu i obrambenim programima, među ostalim u vidu bolje javne nabave, pravila koja potiču inovacije i prekogranične potpore za povezivanje, čime bi se osiguralo njihovo veće sudjelovanje i pravednija dodjela sredstava; ističe važnost uspostave regionalnih inkubatora za obrambene tehnologije u okviru centra HEDI kako bi se podržali prekogranični konzorciji, osiguralo mentorstvo za usmjeravanje javne nabave u području obrane te olakšalo ispitivanje i provjera inovativnih tehnologija u suradnji s krajnjim korisnicima iz vojnih krugova;</w:t>
      </w:r>
    </w:p>
    <w:p w14:paraId="300106FC" w14:textId="77777777" w:rsidR="00C92841" w:rsidRPr="004E0076" w:rsidRDefault="00C92841" w:rsidP="00C92841">
      <w:pPr>
        <w:pStyle w:val="NormalHanging12a"/>
      </w:pPr>
      <w:r w:rsidRPr="004E0076">
        <w:t>31.</w:t>
      </w:r>
      <w:r w:rsidRPr="004E0076">
        <w:tab/>
        <w:t xml:space="preserve">naglašava potrebu da EU i NATO sklope sveobuhvatni sporazum o suradnji u području planiranja i razvoja kapaciteta kako bi se osiguralo usklađeno i komplementarno planiranje i </w:t>
      </w:r>
      <w:proofErr w:type="spellStart"/>
      <w:r w:rsidRPr="004E0076">
        <w:t>interoperabilni</w:t>
      </w:r>
      <w:proofErr w:type="spellEnd"/>
      <w:r w:rsidRPr="004E0076">
        <w:t xml:space="preserve"> obrambeni kapaciteti, kao i u području standardizacije; naglašava da se u okviru takve suradnje mora poštovati autonomija obiju organizacija i pritom izbjegavati dupliciranje te promicati pravedna raspodjela tereta; poziva Komisiju da u suradnji s EDA-om izradi zakonodavni prijedlog za uspostavu usklađenog okvira EU-a za pravno obvezujuće tehničke standarde i certifikate obrambenih proizvoda, koji bi se temeljio na europskom referentnom sustavu obrambenih normi (EDSTAR) i, prema potrebi, uz kodificiranje odabranih NATO-ovih sporazuma STANAG u zakonodavstvu EU-a; također poziva Komisiju da predloži okvir za zajedničko europsko ispitivanje i certifikaciju obrambene opreme umjesto zasebne nacionalne potvrde valjanosti za svaki obrambeni proizvod, uključujući zajedničke objekte za ispitivanje i certifikaciju; poziva države članice da usklade napore koje ulažu u području javne nabave i razvoja kapaciteta s prioritetima NATO-a u pogledu obrambenog planiranja i pritom osiguraju potpunu interoperabilnost sustavâ i izbjegnu paralelne strukture; ističe da bi jača i integriranija europska obrambena industrija trebala unaprijediti doprinos Europe unutar NATO-a i transatlantsku podjelu tereta, ujedno održavajući otvorenu suradnju s pouzdanim partnerima, kao što su Ukrajina, zemlje EGP-a/EFTA-e i zemalja iz partnerstva u području sigurnosti i obrane; potiče provedbu akcijskog plana NATO-a za brzo usvajanje kojemu je cilj ubrzavanje nacionalnih postupaka javne nabave i reformi ciklusa nabave, protokola ispitivanje i okvira za certifikaciju, kako bi vojne inovacije išle ukorak s kontekstom prijetnji;</w:t>
      </w:r>
    </w:p>
    <w:p w14:paraId="3275C757" w14:textId="77777777" w:rsidR="00C92841" w:rsidRPr="004E0076" w:rsidRDefault="00C92841" w:rsidP="00C92841">
      <w:pPr>
        <w:pStyle w:val="NormalHanging12a"/>
      </w:pPr>
      <w:r w:rsidRPr="004E0076">
        <w:t>32.</w:t>
      </w:r>
      <w:r w:rsidRPr="004E0076">
        <w:tab/>
        <w:t xml:space="preserve">prima na znanje preporuke povezane s obranom koje je bivši talijanski premijer Enrico </w:t>
      </w:r>
      <w:proofErr w:type="spellStart"/>
      <w:r w:rsidRPr="004E0076">
        <w:t>Letta</w:t>
      </w:r>
      <w:proofErr w:type="spellEnd"/>
      <w:r w:rsidRPr="004E0076">
        <w:t xml:space="preserve"> iznio 2024. u svojem izvješću naslovljenom „Više od tržišta”; napominje da porezne prepreke i različiti postupci u pogledu poreza na dodanu vrijednost u programima suradnje u području javne nabave otežavaju postizanje ciljeva obrambene spremnosti do 2030., jačanje obrambene industrije i širenje zajedničkih programa; poziva Komisiju da poduzme daljnje mjere u pogledu </w:t>
      </w:r>
      <w:proofErr w:type="spellStart"/>
      <w:r w:rsidRPr="004E0076">
        <w:t>Lettina</w:t>
      </w:r>
      <w:proofErr w:type="spellEnd"/>
      <w:r w:rsidRPr="004E0076">
        <w:t xml:space="preserve"> izvješća i uloži veće napore u smanjenje poreznih prepreka;</w:t>
      </w:r>
    </w:p>
    <w:p w14:paraId="6B6D2D9E" w14:textId="77777777" w:rsidR="00C92841" w:rsidRPr="004E0076" w:rsidRDefault="00C92841" w:rsidP="00C92841">
      <w:pPr>
        <w:pStyle w:val="NormalHanging12a"/>
      </w:pPr>
      <w:r w:rsidRPr="004E0076">
        <w:t>33.</w:t>
      </w:r>
      <w:r w:rsidRPr="004E0076">
        <w:tab/>
        <w:t xml:space="preserve">poziva države članice na promicanje karijera u području obrambenih tehnologija među mladim stručnjacima, uključujući putem kampanji informiranja o doprinosu tog sektora europskoj sigurnosti i tehnološkim inovacijama; potiče uspostavu javno-privatnih partnerstava između obrambenih poduzeća, obrazovnih ustanova i vlada kako bi se </w:t>
      </w:r>
      <w:r w:rsidRPr="004E0076">
        <w:lastRenderedPageBreak/>
        <w:t>stvorila baza kvalitetnog kadra; apelira na države članice i Komisiju da, u dijalogu sa socijalnim partnerima među kojima su i sindikati, predlože strategije za unapređenje vještina ključnih za sektor, kao što su programi osposobljavanja i prilike za cjeloživotno učenje kako bi se nadoknadili trenutačni i budući nedostaci u obrambenoj industriji; u tu svrhu predlaže da se u program Unije vještina izričito uključi sektor obrane, čime bi se olakšala mobilnost kvalificiranih radnika iz svih država članica na mjesta na kojima su najpotrebniji;</w:t>
      </w:r>
    </w:p>
    <w:p w14:paraId="567BFE82" w14:textId="77777777" w:rsidR="00C92841" w:rsidRPr="004E0076" w:rsidRDefault="00C92841" w:rsidP="00C92841">
      <w:pPr>
        <w:pStyle w:val="NormalHanging12a"/>
      </w:pPr>
      <w:r w:rsidRPr="004E0076">
        <w:t>34.</w:t>
      </w:r>
      <w:r w:rsidRPr="004E0076">
        <w:tab/>
        <w:t>poziva Komisiju da provede neovisnu procjenu učinka kako bi dodatno kvantificirala moguće financijske i operativne koristi jedinstvenog tržišta za obranu, uključujući porast učinkovitosti i povećanje kolektivnih vojnih kapaciteta; poziva na uspostavu jedinstvene kontaktne točke koja bi dionicima omogućila da prijavljuju prepreke, prikupljaju dokaze i prate usklađenost država članica s propisima;</w:t>
      </w:r>
    </w:p>
    <w:p w14:paraId="6DDFA1A8" w14:textId="77777777" w:rsidR="00C92841" w:rsidRPr="004E0076" w:rsidRDefault="00C92841" w:rsidP="00C92841">
      <w:pPr>
        <w:pStyle w:val="NormalHanging12a"/>
      </w:pPr>
      <w:r w:rsidRPr="004E0076">
        <w:t>35.</w:t>
      </w:r>
      <w:r w:rsidRPr="004E0076">
        <w:tab/>
        <w:t>pozdravlja zaključke Europskog vijeća iz listopada 2025. u kojima se poziva na izradu godišnjeg izvješća o spremnosti obrambene industrije EU-a te poziva da bude popraćeno „pregledom stanja jedinstvenog tržišta za obranu” koje bi Komisija objavljivala u suradnji s EDA-om; naglašava da bi se u tom pregledu stanja trebali pratiti pokazatelji kao što je udio javne nabave u području obrane koja se provodi zajednički ili putem otvorenog natjecanja u cijelom EU-u, razine prekogranične industrijske suradnje, stope sudjelovanja MSP-ova i smanjenja dupliciranja sustava; ističe da bi trebao obuhvatiti i socioekonomske koristi obrambenih programa EU-a u svim državama članicama i regijama, uključujući stvaranje radnih mjesta i industrijski razvoj kako bi se moglo usmjeriti doradu politika i ojačati povjerenje javnosti;</w:t>
      </w:r>
    </w:p>
    <w:p w14:paraId="3749A178" w14:textId="77777777" w:rsidR="00C92841" w:rsidRPr="004E0076" w:rsidRDefault="00C92841" w:rsidP="00C92841">
      <w:pPr>
        <w:pStyle w:val="NormalHanging12a"/>
      </w:pPr>
      <w:r w:rsidRPr="004E0076">
        <w:t>36.</w:t>
      </w:r>
      <w:r w:rsidRPr="004E0076">
        <w:tab/>
        <w:t>čvrsto vjeruje da, kako bi se zajamčio demokratski legitimitet i transparentnost obrambenih politika EU-a u vrijeme hibridnog ratovanja i kampanja dezinformiranja, Parlament mora imati središnju ulogu u planiranju, nadzoru i kontroli tih politika; naglašava da se moraju osigurati transparentnost i odgovornost; poziva Komisiju, Vijeće, države članice i EDA-u da osiguraju sigurne kanale za razmjenu klasificiranih i povjerljivih informacija s Parlamentom, obrambenom industrijom i nacionalnim tijelima;</w:t>
      </w:r>
    </w:p>
    <w:p w14:paraId="1EC440C1" w14:textId="77777777" w:rsidR="00C92841" w:rsidRPr="004E0076" w:rsidRDefault="00C92841" w:rsidP="00C92841">
      <w:pPr>
        <w:pStyle w:val="NormalCenter12a"/>
      </w:pPr>
      <w:r w:rsidRPr="004E0076">
        <w:t>°</w:t>
      </w:r>
    </w:p>
    <w:p w14:paraId="69F4DC84" w14:textId="77777777" w:rsidR="00C92841" w:rsidRPr="004E0076" w:rsidRDefault="00C92841" w:rsidP="00C92841">
      <w:pPr>
        <w:pStyle w:val="NormalCenter12a"/>
      </w:pPr>
      <w:r w:rsidRPr="004E0076">
        <w:t>°</w:t>
      </w:r>
      <w:r w:rsidRPr="004E0076">
        <w:tab/>
        <w:t>°</w:t>
      </w:r>
    </w:p>
    <w:p w14:paraId="71BC9AD4" w14:textId="75BBD3C2" w:rsidR="00AB1D34" w:rsidRPr="004E0076" w:rsidRDefault="00C92841" w:rsidP="00AB1D34">
      <w:pPr>
        <w:pStyle w:val="NormalHanging12a"/>
      </w:pPr>
      <w:r w:rsidRPr="004E0076">
        <w:t>37.</w:t>
      </w:r>
      <w:r w:rsidRPr="004E0076">
        <w:tab/>
        <w:t>nalaže svojoj predsjednici da ovu Rezoluciju proslijedi Vijeću i Komisiji.</w:t>
      </w:r>
    </w:p>
    <w:p w14:paraId="1B818CB9" w14:textId="549AD0BB" w:rsidR="00E365E1" w:rsidRPr="004E0076" w:rsidRDefault="00E365E1" w:rsidP="00815528"/>
    <w:sectPr w:rsidR="00E365E1" w:rsidRPr="004E0076" w:rsidSect="00AB1D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EA75D" w14:textId="77777777" w:rsidR="00815528" w:rsidRPr="00AB1D34" w:rsidRDefault="00815528">
      <w:r w:rsidRPr="00AB1D34">
        <w:separator/>
      </w:r>
    </w:p>
  </w:endnote>
  <w:endnote w:type="continuationSeparator" w:id="0">
    <w:p w14:paraId="70023202" w14:textId="77777777" w:rsidR="00815528" w:rsidRPr="00AB1D34" w:rsidRDefault="00815528">
      <w:r w:rsidRPr="00AB1D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3FD24" w14:textId="77777777" w:rsidR="00064002" w:rsidRPr="00AB1D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963D3" w14:textId="77777777" w:rsidR="00064002" w:rsidRPr="00AB1D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4936C" w14:textId="77777777" w:rsidR="00064002" w:rsidRPr="00AB1D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0A286" w14:textId="77777777" w:rsidR="00815528" w:rsidRPr="00AB1D34" w:rsidRDefault="00815528">
      <w:r w:rsidRPr="00AB1D34">
        <w:separator/>
      </w:r>
    </w:p>
  </w:footnote>
  <w:footnote w:type="continuationSeparator" w:id="0">
    <w:p w14:paraId="049BEDBD" w14:textId="77777777" w:rsidR="00815528" w:rsidRPr="00AB1D34" w:rsidRDefault="00815528">
      <w:r w:rsidRPr="00AB1D34">
        <w:continuationSeparator/>
      </w:r>
    </w:p>
  </w:footnote>
  <w:footnote w:id="1">
    <w:p w14:paraId="0CDFB93D" w14:textId="2C3BC5F9" w:rsidR="00C92841" w:rsidRPr="00AB1D34" w:rsidRDefault="00C92841" w:rsidP="00AB1D34">
      <w:pPr>
        <w:pStyle w:val="FootnoteText"/>
        <w:ind w:left="567" w:hanging="567"/>
        <w:rPr>
          <w:sz w:val="24"/>
          <w:lang w:val="hr-HR"/>
        </w:rPr>
      </w:pPr>
      <w:r w:rsidRPr="00AB1D34">
        <w:rPr>
          <w:sz w:val="24"/>
          <w:vertAlign w:val="superscript"/>
          <w:lang w:val="hr-HR"/>
        </w:rPr>
        <w:t>1</w:t>
      </w:r>
      <w:r w:rsidR="00AB1D34" w:rsidRPr="00AB1D34">
        <w:rPr>
          <w:sz w:val="24"/>
          <w:vertAlign w:val="superscript"/>
          <w:lang w:val="hr-HR"/>
        </w:rPr>
        <w:t xml:space="preserve"> </w:t>
      </w:r>
      <w:r w:rsidR="00AB1D34" w:rsidRPr="00AB1D34">
        <w:rPr>
          <w:sz w:val="24"/>
          <w:vertAlign w:val="superscript"/>
          <w:lang w:val="hr-HR"/>
        </w:rPr>
        <w:tab/>
      </w:r>
      <w:r w:rsidRPr="00AB1D34">
        <w:rPr>
          <w:sz w:val="24"/>
          <w:lang w:val="hr-HR"/>
        </w:rPr>
        <w:t xml:space="preserve">SL L 331, 14.12.2017., str. 57., ELI: </w:t>
      </w:r>
      <w:hyperlink r:id="rId1" w:tgtFrame="http://data.europa.eu/eli/dec/2017/2315/oj" w:history="1">
        <w:r w:rsidRPr="00AB1D34">
          <w:rPr>
            <w:rStyle w:val="Hyperlink"/>
            <w:sz w:val="24"/>
            <w:lang w:val="hr-HR"/>
          </w:rPr>
          <w:t>http://data.europa.eu/eli/dec/2017/2315/oj</w:t>
        </w:r>
      </w:hyperlink>
      <w:r w:rsidRPr="00AB1D34">
        <w:rPr>
          <w:sz w:val="24"/>
          <w:lang w:val="hr-HR"/>
        </w:rPr>
        <w:t>.</w:t>
      </w:r>
    </w:p>
  </w:footnote>
  <w:footnote w:id="2">
    <w:p w14:paraId="7DD21BEB" w14:textId="43F37F78" w:rsidR="00C92841" w:rsidRPr="00AB1D34" w:rsidRDefault="00C92841" w:rsidP="00AB1D34">
      <w:pPr>
        <w:pStyle w:val="FootnoteText"/>
        <w:ind w:left="567" w:hanging="567"/>
        <w:rPr>
          <w:sz w:val="24"/>
          <w:lang w:val="hr-HR"/>
        </w:rPr>
      </w:pPr>
      <w:r w:rsidRPr="00AB1D34">
        <w:rPr>
          <w:sz w:val="24"/>
          <w:vertAlign w:val="superscript"/>
          <w:lang w:val="hr-HR"/>
        </w:rPr>
        <w:t>2</w:t>
      </w:r>
      <w:r w:rsidR="00AB1D34" w:rsidRPr="00AB1D34">
        <w:rPr>
          <w:sz w:val="24"/>
          <w:vertAlign w:val="superscript"/>
          <w:lang w:val="hr-HR"/>
        </w:rPr>
        <w:t xml:space="preserve"> </w:t>
      </w:r>
      <w:r w:rsidR="00AB1D34" w:rsidRPr="00AB1D34">
        <w:rPr>
          <w:sz w:val="24"/>
          <w:vertAlign w:val="superscript"/>
          <w:lang w:val="hr-HR"/>
        </w:rPr>
        <w:tab/>
      </w:r>
      <w:r w:rsidRPr="00AB1D34">
        <w:rPr>
          <w:sz w:val="24"/>
          <w:lang w:val="hr-HR"/>
        </w:rPr>
        <w:t>SL L 146, 10.6.2009., str. </w:t>
      </w:r>
      <w:r w:rsidRPr="00AB1D34">
        <w:rPr>
          <w:sz w:val="24"/>
          <w:lang w:val="hr-HR"/>
        </w:rPr>
        <w:t xml:space="preserve">1., ELI: </w:t>
      </w:r>
      <w:hyperlink r:id="rId2" w:tgtFrame="http://data.europa.eu/eli/dir/2009/43/oj" w:history="1">
        <w:r w:rsidRPr="00AB1D34">
          <w:rPr>
            <w:rStyle w:val="Hyperlink"/>
            <w:sz w:val="24"/>
            <w:lang w:val="hr-HR"/>
          </w:rPr>
          <w:t>http://data.europa.eu/eli/dir/2009/43/oj</w:t>
        </w:r>
      </w:hyperlink>
      <w:r w:rsidRPr="00AB1D34">
        <w:rPr>
          <w:sz w:val="24"/>
          <w:lang w:val="hr-HR"/>
        </w:rPr>
        <w:t>.</w:t>
      </w:r>
    </w:p>
  </w:footnote>
  <w:footnote w:id="3">
    <w:p w14:paraId="00860082" w14:textId="679D2A95" w:rsidR="00C92841" w:rsidRPr="00AB1D34" w:rsidRDefault="00C92841" w:rsidP="00AB1D34">
      <w:pPr>
        <w:pStyle w:val="FootnoteText"/>
        <w:ind w:left="567" w:hanging="567"/>
        <w:rPr>
          <w:sz w:val="24"/>
          <w:lang w:val="hr-HR"/>
        </w:rPr>
      </w:pPr>
      <w:r w:rsidRPr="00AB1D34">
        <w:rPr>
          <w:sz w:val="24"/>
          <w:vertAlign w:val="superscript"/>
          <w:lang w:val="hr-HR"/>
        </w:rPr>
        <w:t>3</w:t>
      </w:r>
      <w:r w:rsidR="00AB1D34" w:rsidRPr="00AB1D34">
        <w:rPr>
          <w:sz w:val="24"/>
          <w:vertAlign w:val="superscript"/>
          <w:lang w:val="hr-HR"/>
        </w:rPr>
        <w:t xml:space="preserve"> </w:t>
      </w:r>
      <w:r w:rsidR="00AB1D34" w:rsidRPr="00AB1D34">
        <w:rPr>
          <w:sz w:val="24"/>
          <w:vertAlign w:val="superscript"/>
          <w:lang w:val="hr-HR"/>
        </w:rPr>
        <w:tab/>
      </w:r>
      <w:r w:rsidRPr="00AB1D34">
        <w:rPr>
          <w:sz w:val="24"/>
          <w:lang w:val="hr-HR"/>
        </w:rPr>
        <w:t>SL L 216, 20.8.2009., str. </w:t>
      </w:r>
      <w:r w:rsidRPr="00AB1D34">
        <w:rPr>
          <w:sz w:val="24"/>
          <w:lang w:val="hr-HR"/>
        </w:rPr>
        <w:t xml:space="preserve">76., ELI: </w:t>
      </w:r>
      <w:hyperlink r:id="rId3" w:tgtFrame="http://data.europa.eu/eli/dir/2009/81/oj" w:history="1">
        <w:r w:rsidRPr="00AB1D34">
          <w:rPr>
            <w:rStyle w:val="Hyperlink"/>
            <w:sz w:val="24"/>
            <w:lang w:val="hr-HR"/>
          </w:rPr>
          <w:t>http://data.europa.eu/eli/dir/2009/81/oj</w:t>
        </w:r>
      </w:hyperlink>
      <w:r w:rsidRPr="00AB1D34">
        <w:rPr>
          <w:sz w:val="24"/>
          <w:lang w:val="hr-HR"/>
        </w:rPr>
        <w:t>.</w:t>
      </w:r>
    </w:p>
  </w:footnote>
  <w:footnote w:id="4">
    <w:p w14:paraId="2FCE31B3" w14:textId="6900C3E6" w:rsidR="00C92841" w:rsidRPr="00AB1D34" w:rsidRDefault="00C92841" w:rsidP="00AB1D34">
      <w:pPr>
        <w:pStyle w:val="FootnoteText"/>
        <w:ind w:left="567" w:hanging="567"/>
        <w:rPr>
          <w:sz w:val="24"/>
          <w:lang w:val="hr-HR"/>
        </w:rPr>
      </w:pPr>
      <w:r w:rsidRPr="00AB1D34">
        <w:rPr>
          <w:sz w:val="24"/>
          <w:vertAlign w:val="superscript"/>
          <w:lang w:val="hr-HR"/>
        </w:rPr>
        <w:t>4</w:t>
      </w:r>
      <w:r w:rsidR="00AB1D34" w:rsidRPr="00AB1D34">
        <w:rPr>
          <w:sz w:val="24"/>
          <w:vertAlign w:val="superscript"/>
          <w:lang w:val="hr-HR"/>
        </w:rPr>
        <w:t xml:space="preserve"> </w:t>
      </w:r>
      <w:r w:rsidR="00AB1D34" w:rsidRPr="00AB1D34">
        <w:rPr>
          <w:sz w:val="24"/>
          <w:vertAlign w:val="superscript"/>
          <w:lang w:val="hr-HR"/>
        </w:rPr>
        <w:tab/>
      </w:r>
      <w:r w:rsidRPr="00AB1D34">
        <w:rPr>
          <w:sz w:val="24"/>
          <w:lang w:val="hr-HR"/>
        </w:rPr>
        <w:t xml:space="preserve">SL L 170, 12.5.2021., str. </w:t>
      </w:r>
      <w:r w:rsidRPr="00AB1D34">
        <w:rPr>
          <w:sz w:val="24"/>
          <w:lang w:val="hr-HR"/>
        </w:rPr>
        <w:t xml:space="preserve">149., ELI: </w:t>
      </w:r>
      <w:hyperlink r:id="rId4" w:tgtFrame="http://data.europa.eu/eli/reg/2021/697/oj" w:history="1">
        <w:r w:rsidRPr="00AB1D34">
          <w:rPr>
            <w:rStyle w:val="Hyperlink"/>
            <w:sz w:val="24"/>
            <w:lang w:val="hr-HR"/>
          </w:rPr>
          <w:t>http://data.europa.eu/eli/reg/2021/697/oj</w:t>
        </w:r>
      </w:hyperlink>
      <w:r w:rsidRPr="00AB1D34">
        <w:rPr>
          <w:sz w:val="24"/>
          <w:lang w:val="hr-HR"/>
        </w:rPr>
        <w:t>.</w:t>
      </w:r>
    </w:p>
  </w:footnote>
  <w:footnote w:id="5">
    <w:p w14:paraId="14557BE5" w14:textId="056E7C7B" w:rsidR="00C92841" w:rsidRPr="00AB1D34" w:rsidRDefault="00C92841" w:rsidP="00AB1D34">
      <w:pPr>
        <w:pStyle w:val="FootnoteText"/>
        <w:ind w:left="567" w:hanging="567"/>
        <w:rPr>
          <w:sz w:val="24"/>
          <w:lang w:val="hr-HR"/>
        </w:rPr>
      </w:pPr>
      <w:r w:rsidRPr="00AB1D34">
        <w:rPr>
          <w:sz w:val="24"/>
          <w:vertAlign w:val="superscript"/>
          <w:lang w:val="hr-HR"/>
        </w:rPr>
        <w:t>5</w:t>
      </w:r>
      <w:r w:rsidR="00AB1D34" w:rsidRPr="00AB1D34">
        <w:rPr>
          <w:sz w:val="24"/>
          <w:vertAlign w:val="superscript"/>
          <w:lang w:val="hr-HR"/>
        </w:rPr>
        <w:t xml:space="preserve"> </w:t>
      </w:r>
      <w:r w:rsidR="00AB1D34" w:rsidRPr="00AB1D34">
        <w:rPr>
          <w:sz w:val="24"/>
          <w:vertAlign w:val="superscript"/>
          <w:lang w:val="hr-HR"/>
        </w:rPr>
        <w:tab/>
      </w:r>
      <w:r w:rsidRPr="00AB1D34">
        <w:rPr>
          <w:sz w:val="24"/>
          <w:lang w:val="hr-HR"/>
        </w:rPr>
        <w:t>SL L 185, 24.7.2023., str. </w:t>
      </w:r>
      <w:r w:rsidRPr="00AB1D34">
        <w:rPr>
          <w:sz w:val="24"/>
          <w:lang w:val="hr-HR"/>
        </w:rPr>
        <w:t xml:space="preserve">7., ELI: </w:t>
      </w:r>
      <w:hyperlink r:id="rId5" w:tgtFrame="http://data.europa.eu/eli/reg/2023/1525/oj" w:history="1">
        <w:r w:rsidRPr="00AB1D34">
          <w:rPr>
            <w:rStyle w:val="Hyperlink"/>
            <w:sz w:val="24"/>
            <w:lang w:val="hr-HR"/>
          </w:rPr>
          <w:t>http://data.europa.eu/eli/reg/2023/1525/oj</w:t>
        </w:r>
      </w:hyperlink>
      <w:r w:rsidRPr="00AB1D34">
        <w:rPr>
          <w:sz w:val="24"/>
          <w:lang w:val="hr-HR"/>
        </w:rPr>
        <w:t>.</w:t>
      </w:r>
    </w:p>
  </w:footnote>
  <w:footnote w:id="6">
    <w:p w14:paraId="2E7EB355" w14:textId="6D46B1BD" w:rsidR="00C92841" w:rsidRPr="00AB1D34" w:rsidRDefault="00C92841" w:rsidP="00AB1D34">
      <w:pPr>
        <w:pStyle w:val="FootnoteText"/>
        <w:ind w:left="567" w:hanging="567"/>
        <w:rPr>
          <w:sz w:val="24"/>
          <w:lang w:val="hr-HR"/>
        </w:rPr>
      </w:pPr>
      <w:r w:rsidRPr="00AB1D34">
        <w:rPr>
          <w:sz w:val="24"/>
          <w:vertAlign w:val="superscript"/>
          <w:lang w:val="hr-HR"/>
        </w:rPr>
        <w:t>6</w:t>
      </w:r>
      <w:r w:rsidR="00AB1D34" w:rsidRPr="00AB1D34">
        <w:rPr>
          <w:sz w:val="24"/>
          <w:vertAlign w:val="superscript"/>
          <w:lang w:val="hr-HR"/>
        </w:rPr>
        <w:t xml:space="preserve"> </w:t>
      </w:r>
      <w:r w:rsidR="00AB1D34" w:rsidRPr="00AB1D34">
        <w:rPr>
          <w:sz w:val="24"/>
          <w:vertAlign w:val="superscript"/>
          <w:lang w:val="hr-HR"/>
        </w:rPr>
        <w:tab/>
      </w:r>
      <w:r w:rsidRPr="00AB1D34">
        <w:rPr>
          <w:sz w:val="24"/>
          <w:lang w:val="hr-HR"/>
        </w:rPr>
        <w:t xml:space="preserve">SL L, 2023/2418, 26.10.2023., ELI: </w:t>
      </w:r>
      <w:hyperlink r:id="rId6" w:tgtFrame="http://data.europa.eu/eli/reg/2023/2418/oj" w:history="1">
        <w:r w:rsidRPr="00AB1D34">
          <w:rPr>
            <w:rStyle w:val="Hyperlink"/>
            <w:sz w:val="24"/>
            <w:lang w:val="hr-HR"/>
          </w:rPr>
          <w:t>http://data.europa.eu/eli/reg/2023/2418/oj</w:t>
        </w:r>
      </w:hyperlink>
      <w:r w:rsidRPr="00AB1D34">
        <w:rPr>
          <w:sz w:val="24"/>
          <w:lang w:val="hr-HR"/>
        </w:rPr>
        <w:t>.</w:t>
      </w:r>
    </w:p>
  </w:footnote>
  <w:footnote w:id="7">
    <w:p w14:paraId="4DB28960" w14:textId="2374621C" w:rsidR="00C92841" w:rsidRPr="00AB1D34" w:rsidRDefault="00C92841" w:rsidP="00AB1D34">
      <w:pPr>
        <w:pStyle w:val="FootnoteText"/>
        <w:ind w:left="567" w:hanging="567"/>
        <w:rPr>
          <w:sz w:val="24"/>
          <w:lang w:val="hr-HR"/>
        </w:rPr>
      </w:pPr>
      <w:r w:rsidRPr="00AB1D34">
        <w:rPr>
          <w:sz w:val="24"/>
          <w:vertAlign w:val="superscript"/>
          <w:lang w:val="hr-HR"/>
        </w:rPr>
        <w:t>7</w:t>
      </w:r>
      <w:r w:rsidR="00AB1D34" w:rsidRPr="00AB1D34">
        <w:rPr>
          <w:sz w:val="24"/>
          <w:vertAlign w:val="superscript"/>
          <w:lang w:val="hr-HR"/>
        </w:rPr>
        <w:t xml:space="preserve"> </w:t>
      </w:r>
      <w:r w:rsidR="00AB1D34" w:rsidRPr="00AB1D34">
        <w:rPr>
          <w:sz w:val="24"/>
          <w:vertAlign w:val="superscript"/>
          <w:lang w:val="hr-HR"/>
        </w:rPr>
        <w:tab/>
      </w:r>
      <w:r w:rsidRPr="00AB1D34">
        <w:rPr>
          <w:sz w:val="24"/>
          <w:lang w:val="hr-HR"/>
        </w:rPr>
        <w:t xml:space="preserve">SL L, 2025/2643, 29.12.2025., ELI: </w:t>
      </w:r>
      <w:hyperlink r:id="rId7" w:tgtFrame="http://data.europa.eu/eli/reg/2025/2643/oj" w:history="1">
        <w:r w:rsidRPr="00AB1D34">
          <w:rPr>
            <w:rStyle w:val="Hyperlink"/>
            <w:sz w:val="24"/>
            <w:lang w:val="hr-HR"/>
          </w:rPr>
          <w:t>http://data.europa.eu/eli/reg/2025/2643/oj</w:t>
        </w:r>
      </w:hyperlink>
      <w:r w:rsidRPr="00AB1D34">
        <w:rPr>
          <w:sz w:val="24"/>
          <w:lang w:val="hr-HR"/>
        </w:rPr>
        <w:t>.</w:t>
      </w:r>
    </w:p>
  </w:footnote>
  <w:footnote w:id="8">
    <w:p w14:paraId="554D00A0" w14:textId="54916300" w:rsidR="00C92841" w:rsidRPr="00AB1D34" w:rsidRDefault="00C92841" w:rsidP="00AB1D34">
      <w:pPr>
        <w:pStyle w:val="FootnoteText"/>
        <w:ind w:left="567" w:hanging="567"/>
        <w:rPr>
          <w:sz w:val="24"/>
          <w:lang w:val="hr-HR"/>
        </w:rPr>
      </w:pPr>
      <w:r w:rsidRPr="00AB1D34">
        <w:rPr>
          <w:sz w:val="24"/>
          <w:vertAlign w:val="superscript"/>
          <w:lang w:val="hr-HR"/>
        </w:rPr>
        <w:t>8</w:t>
      </w:r>
      <w:r w:rsidR="00AB1D34" w:rsidRPr="00AB1D34">
        <w:rPr>
          <w:sz w:val="24"/>
          <w:vertAlign w:val="superscript"/>
          <w:lang w:val="hr-HR"/>
        </w:rPr>
        <w:t xml:space="preserve"> </w:t>
      </w:r>
      <w:r w:rsidR="00AB1D34" w:rsidRPr="00AB1D34">
        <w:rPr>
          <w:sz w:val="24"/>
          <w:vertAlign w:val="superscript"/>
          <w:lang w:val="hr-HR"/>
        </w:rPr>
        <w:tab/>
      </w:r>
      <w:r w:rsidRPr="00AB1D34">
        <w:rPr>
          <w:sz w:val="24"/>
          <w:lang w:val="hr-HR"/>
        </w:rPr>
        <w:t xml:space="preserve">SL L, 2025/2653, 22.12.2025., ELI: </w:t>
      </w:r>
      <w:hyperlink r:id="rId8" w:tgtFrame="http://data.europa.eu/eli/reg/2025/2653/oj" w:history="1">
        <w:r w:rsidRPr="00AB1D34">
          <w:rPr>
            <w:rStyle w:val="Hyperlink"/>
            <w:sz w:val="24"/>
            <w:lang w:val="hr-HR"/>
          </w:rPr>
          <w:t>http://data.europa.eu/eli/reg/2025/2653/oj</w:t>
        </w:r>
      </w:hyperlink>
      <w:r w:rsidRPr="00AB1D34">
        <w:rPr>
          <w:sz w:val="24"/>
          <w:lang w:val="hr-HR"/>
        </w:rPr>
        <w:t>.</w:t>
      </w:r>
    </w:p>
  </w:footnote>
  <w:footnote w:id="9">
    <w:p w14:paraId="061DED12" w14:textId="709EF606" w:rsidR="00C92841" w:rsidRPr="00AB1D34" w:rsidRDefault="00C92841" w:rsidP="00AB1D34">
      <w:pPr>
        <w:pStyle w:val="FootnoteText"/>
        <w:ind w:left="567" w:hanging="567"/>
        <w:rPr>
          <w:sz w:val="24"/>
          <w:lang w:val="hr-HR"/>
        </w:rPr>
      </w:pPr>
      <w:r w:rsidRPr="00AB1D34">
        <w:rPr>
          <w:sz w:val="24"/>
          <w:vertAlign w:val="superscript"/>
          <w:lang w:val="hr-HR"/>
        </w:rPr>
        <w:t>9</w:t>
      </w:r>
      <w:r w:rsidR="00AB1D34" w:rsidRPr="00AB1D34">
        <w:rPr>
          <w:sz w:val="24"/>
          <w:vertAlign w:val="superscript"/>
          <w:lang w:val="hr-HR"/>
        </w:rPr>
        <w:t xml:space="preserve"> </w:t>
      </w:r>
      <w:r w:rsidR="00AB1D34" w:rsidRPr="00AB1D34">
        <w:rPr>
          <w:sz w:val="24"/>
          <w:vertAlign w:val="superscript"/>
          <w:lang w:val="hr-HR"/>
        </w:rPr>
        <w:tab/>
      </w:r>
      <w:r w:rsidRPr="00AB1D34">
        <w:rPr>
          <w:sz w:val="24"/>
          <w:lang w:val="hr-HR"/>
        </w:rPr>
        <w:t xml:space="preserve">SL L, 2025/1106, 28.5.2025., ELI: </w:t>
      </w:r>
      <w:hyperlink r:id="rId9" w:tgtFrame="http://data.europa.eu/eli/reg/2025/1106/oj" w:history="1">
        <w:r w:rsidRPr="00AB1D34">
          <w:rPr>
            <w:rStyle w:val="Hyperlink"/>
            <w:sz w:val="24"/>
            <w:lang w:val="hr-HR"/>
          </w:rPr>
          <w:t>http://data.europa.eu/eli/reg/2025/1106/oj</w:t>
        </w:r>
      </w:hyperlink>
      <w:r w:rsidRPr="00AB1D34">
        <w:rPr>
          <w:sz w:val="24"/>
          <w:lang w:val="hr-HR"/>
        </w:rPr>
        <w:t>.</w:t>
      </w:r>
    </w:p>
  </w:footnote>
  <w:footnote w:id="10">
    <w:p w14:paraId="451C7114" w14:textId="50FE5DD4" w:rsidR="00C92841" w:rsidRPr="00AB1D34" w:rsidRDefault="00C92841" w:rsidP="00AB1D34">
      <w:pPr>
        <w:pStyle w:val="FootnoteText"/>
        <w:ind w:left="567" w:hanging="567"/>
        <w:rPr>
          <w:sz w:val="24"/>
          <w:lang w:val="hr-HR"/>
        </w:rPr>
      </w:pPr>
      <w:r w:rsidRPr="00AB1D34">
        <w:rPr>
          <w:sz w:val="24"/>
          <w:vertAlign w:val="superscript"/>
          <w:lang w:val="hr-HR"/>
        </w:rPr>
        <w:t>10</w:t>
      </w:r>
      <w:r w:rsidR="00AB1D34" w:rsidRPr="00AB1D34">
        <w:rPr>
          <w:sz w:val="24"/>
          <w:vertAlign w:val="superscript"/>
          <w:lang w:val="hr-HR"/>
        </w:rPr>
        <w:t xml:space="preserve"> </w:t>
      </w:r>
      <w:r w:rsidR="00AB1D34" w:rsidRPr="00AB1D34">
        <w:rPr>
          <w:sz w:val="24"/>
          <w:vertAlign w:val="superscript"/>
          <w:lang w:val="hr-HR"/>
        </w:rPr>
        <w:tab/>
      </w:r>
      <w:r w:rsidRPr="00AB1D34">
        <w:rPr>
          <w:sz w:val="24"/>
          <w:lang w:val="hr-HR"/>
        </w:rPr>
        <w:t>SL C 494, 8.12.2021., str. 54.</w:t>
      </w:r>
    </w:p>
  </w:footnote>
  <w:footnote w:id="11">
    <w:p w14:paraId="6F2AE62D" w14:textId="6122981D" w:rsidR="00C92841" w:rsidRPr="00AB1D34" w:rsidRDefault="00C92841" w:rsidP="00AB1D34">
      <w:pPr>
        <w:pStyle w:val="FootnoteText"/>
        <w:ind w:left="567" w:hanging="567"/>
        <w:rPr>
          <w:sz w:val="24"/>
          <w:lang w:val="hr-HR"/>
        </w:rPr>
      </w:pPr>
      <w:r w:rsidRPr="00AB1D34">
        <w:rPr>
          <w:sz w:val="24"/>
          <w:vertAlign w:val="superscript"/>
          <w:lang w:val="hr-HR"/>
        </w:rPr>
        <w:t>11</w:t>
      </w:r>
      <w:r w:rsidR="00AB1D34" w:rsidRPr="00AB1D34">
        <w:rPr>
          <w:sz w:val="24"/>
          <w:vertAlign w:val="superscript"/>
          <w:lang w:val="hr-HR"/>
        </w:rPr>
        <w:t xml:space="preserve"> </w:t>
      </w:r>
      <w:r w:rsidR="00AB1D34" w:rsidRPr="00AB1D34">
        <w:rPr>
          <w:sz w:val="24"/>
          <w:vertAlign w:val="superscript"/>
          <w:lang w:val="hr-HR"/>
        </w:rPr>
        <w:tab/>
      </w:r>
      <w:r w:rsidRPr="00AB1D34">
        <w:rPr>
          <w:sz w:val="24"/>
          <w:lang w:val="hr-HR"/>
        </w:rPr>
        <w:t xml:space="preserve">SL C, C/2025/4388, 9.9.2025., ELI: </w:t>
      </w:r>
      <w:hyperlink r:id="rId10" w:tgtFrame="http://data.europa.eu/eli/C/2025/4388/oj" w:history="1">
        <w:r w:rsidRPr="00AB1D34">
          <w:rPr>
            <w:rStyle w:val="Hyperlink"/>
            <w:sz w:val="24"/>
            <w:lang w:val="hr-HR"/>
          </w:rPr>
          <w:t>http://data.europa.eu/eli/C/2025/4388/oj</w:t>
        </w:r>
      </w:hyperlink>
      <w:r w:rsidRPr="00AB1D34">
        <w:rPr>
          <w:sz w:val="24"/>
          <w:lang w:val="hr-HR"/>
        </w:rPr>
        <w:t>.</w:t>
      </w:r>
    </w:p>
  </w:footnote>
  <w:footnote w:id="12">
    <w:p w14:paraId="5BCD4B5A" w14:textId="37B6ED8D" w:rsidR="00C92841" w:rsidRPr="00AB1D34" w:rsidRDefault="00C92841" w:rsidP="00AB1D34">
      <w:pPr>
        <w:pStyle w:val="FootnoteText"/>
        <w:ind w:left="567" w:hanging="567"/>
        <w:rPr>
          <w:sz w:val="24"/>
          <w:lang w:val="hr-HR"/>
        </w:rPr>
      </w:pPr>
      <w:r w:rsidRPr="00AB1D34">
        <w:rPr>
          <w:sz w:val="24"/>
          <w:vertAlign w:val="superscript"/>
          <w:lang w:val="hr-HR"/>
        </w:rPr>
        <w:t>12</w:t>
      </w:r>
      <w:r w:rsidR="00AB1D34" w:rsidRPr="00AB1D34">
        <w:rPr>
          <w:sz w:val="24"/>
          <w:vertAlign w:val="superscript"/>
          <w:lang w:val="hr-HR"/>
        </w:rPr>
        <w:t xml:space="preserve"> </w:t>
      </w:r>
      <w:r w:rsidR="00AB1D34" w:rsidRPr="00AB1D34">
        <w:rPr>
          <w:sz w:val="24"/>
          <w:vertAlign w:val="superscript"/>
          <w:lang w:val="hr-HR"/>
        </w:rPr>
        <w:tab/>
      </w:r>
      <w:r w:rsidRPr="00AB1D34">
        <w:rPr>
          <w:sz w:val="24"/>
          <w:lang w:val="hr-HR"/>
        </w:rPr>
        <w:t>Usvojeni tekstovi, P10_TA(2025)0285.</w:t>
      </w:r>
    </w:p>
  </w:footnote>
  <w:footnote w:id="13">
    <w:p w14:paraId="6DD09109" w14:textId="1115290C" w:rsidR="00C92841" w:rsidRPr="00AB1D34" w:rsidRDefault="00C92841" w:rsidP="00AB1D34">
      <w:pPr>
        <w:pStyle w:val="FootnoteText"/>
        <w:ind w:left="567" w:hanging="567"/>
        <w:rPr>
          <w:sz w:val="24"/>
          <w:lang w:val="hr-HR"/>
        </w:rPr>
      </w:pPr>
      <w:r w:rsidRPr="00AB1D34">
        <w:rPr>
          <w:sz w:val="24"/>
          <w:vertAlign w:val="superscript"/>
          <w:lang w:val="hr-HR"/>
        </w:rPr>
        <w:t>13</w:t>
      </w:r>
      <w:r w:rsidR="00AB1D34" w:rsidRPr="00AB1D34">
        <w:rPr>
          <w:sz w:val="24"/>
          <w:vertAlign w:val="superscript"/>
          <w:lang w:val="hr-HR"/>
        </w:rPr>
        <w:t xml:space="preserve"> </w:t>
      </w:r>
      <w:r w:rsidR="00AB1D34" w:rsidRPr="00AB1D34">
        <w:rPr>
          <w:sz w:val="24"/>
          <w:vertAlign w:val="superscript"/>
          <w:lang w:val="hr-HR"/>
        </w:rPr>
        <w:tab/>
      </w:r>
      <w:r w:rsidRPr="00AB1D34">
        <w:rPr>
          <w:sz w:val="24"/>
          <w:lang w:val="hr-HR"/>
        </w:rPr>
        <w:t>Zajedničko stajalište Vijeća 2008/944/ZVSP od 8. prosinca 2008. o definiranju zajedničkih pravila kojima se uređuje kontrola izvoza vojne tehnologije i opreme (SL L 335, 13.12.2008., str. </w:t>
      </w:r>
      <w:r w:rsidRPr="00AB1D34">
        <w:rPr>
          <w:sz w:val="24"/>
          <w:lang w:val="hr-HR"/>
        </w:rPr>
        <w:t xml:space="preserve">99., ELI: </w:t>
      </w:r>
      <w:hyperlink r:id="rId11" w:history="1">
        <w:r w:rsidRPr="004E0076">
          <w:rPr>
            <w:rStyle w:val="Hyperlink"/>
            <w:sz w:val="24"/>
            <w:lang w:val="hr-HR"/>
          </w:rPr>
          <w:t>http://data.europa.eu/eli/compos/2008/944/oj</w:t>
        </w:r>
      </w:hyperlink>
      <w:r w:rsidRPr="00AB1D34">
        <w:rPr>
          <w:sz w:val="24"/>
          <w:lang w:val="hr-HR"/>
        </w:rPr>
        <w:t>).</w:t>
      </w:r>
    </w:p>
  </w:footnote>
  <w:footnote w:id="14">
    <w:p w14:paraId="75590233" w14:textId="4DE45A5A" w:rsidR="00C92841" w:rsidRPr="00AB1D34" w:rsidRDefault="00C92841" w:rsidP="00AB1D34">
      <w:pPr>
        <w:pStyle w:val="FootnoteText"/>
        <w:ind w:left="567" w:hanging="567"/>
        <w:rPr>
          <w:sz w:val="24"/>
          <w:lang w:val="hr-HR"/>
        </w:rPr>
      </w:pPr>
      <w:r w:rsidRPr="00AB1D34">
        <w:rPr>
          <w:sz w:val="24"/>
          <w:vertAlign w:val="superscript"/>
          <w:lang w:val="hr-HR"/>
        </w:rPr>
        <w:t>14</w:t>
      </w:r>
      <w:r w:rsidR="00AB1D34" w:rsidRPr="00AB1D34">
        <w:rPr>
          <w:sz w:val="24"/>
          <w:vertAlign w:val="superscript"/>
          <w:lang w:val="hr-HR"/>
        </w:rPr>
        <w:t xml:space="preserve"> </w:t>
      </w:r>
      <w:r w:rsidR="00AB1D34" w:rsidRPr="00AB1D34">
        <w:rPr>
          <w:sz w:val="24"/>
          <w:vertAlign w:val="superscript"/>
          <w:lang w:val="hr-HR"/>
        </w:rPr>
        <w:tab/>
      </w:r>
      <w:r w:rsidRPr="00AB1D34">
        <w:rPr>
          <w:sz w:val="24"/>
          <w:lang w:val="hr-HR"/>
        </w:rPr>
        <w:t>Direktiva 2014/24/EU Europskog parlamenta i Vijeća od 26. veljače 2014. o javnoj nabavi i o stavljanju izvan snage Direktive 2004/18/EZ (SL L 94, 28.3.2014., str. </w:t>
      </w:r>
      <w:r w:rsidRPr="00AB1D34">
        <w:rPr>
          <w:sz w:val="24"/>
          <w:lang w:val="hr-HR"/>
        </w:rPr>
        <w:t xml:space="preserve">65., ELI: </w:t>
      </w:r>
      <w:hyperlink r:id="rId12" w:history="1">
        <w:r w:rsidRPr="00672792">
          <w:rPr>
            <w:rStyle w:val="Hyperlink"/>
            <w:sz w:val="24"/>
            <w:lang w:val="hr-HR"/>
          </w:rPr>
          <w:t>http://data.europa.eu/eli/dir/2014/24/oj</w:t>
        </w:r>
      </w:hyperlink>
      <w:r w:rsidRPr="00672792">
        <w:rPr>
          <w:sz w:val="24"/>
          <w:lang w:val="hr-HR"/>
        </w:rPr>
        <w:t>).</w:t>
      </w:r>
    </w:p>
  </w:footnote>
  <w:footnote w:id="15">
    <w:p w14:paraId="72B64926" w14:textId="765C01BA" w:rsidR="00C92841" w:rsidRPr="00AB1D34" w:rsidRDefault="00C92841" w:rsidP="00AB1D34">
      <w:pPr>
        <w:pStyle w:val="FootnoteText"/>
        <w:ind w:left="567" w:hanging="567"/>
        <w:rPr>
          <w:sz w:val="24"/>
          <w:lang w:val="hr-HR"/>
        </w:rPr>
      </w:pPr>
      <w:r w:rsidRPr="00AB1D34">
        <w:rPr>
          <w:sz w:val="24"/>
          <w:vertAlign w:val="superscript"/>
          <w:lang w:val="hr-HR"/>
        </w:rPr>
        <w:t>15</w:t>
      </w:r>
      <w:r w:rsidR="00AB1D34" w:rsidRPr="00AB1D34">
        <w:rPr>
          <w:sz w:val="24"/>
          <w:vertAlign w:val="superscript"/>
          <w:lang w:val="hr-HR"/>
        </w:rPr>
        <w:t xml:space="preserve"> </w:t>
      </w:r>
      <w:r w:rsidR="00AB1D34" w:rsidRPr="00AB1D34">
        <w:rPr>
          <w:sz w:val="24"/>
          <w:vertAlign w:val="superscript"/>
          <w:lang w:val="hr-HR"/>
        </w:rPr>
        <w:tab/>
      </w:r>
      <w:r w:rsidRPr="00AB1D34">
        <w:rPr>
          <w:sz w:val="24"/>
          <w:lang w:val="hr-HR"/>
        </w:rPr>
        <w:t>Direktiva 2014/66/EU Europskog parlamenta i Vijeća od 15. svibnja 2014. o uvjetima za ulazak i boravak državljana trećih zemalja u okviru premještaja unutar društva (SL L 157, 27.5.2014., str. </w:t>
      </w:r>
      <w:r w:rsidRPr="00AB1D34">
        <w:rPr>
          <w:sz w:val="24"/>
          <w:lang w:val="hr-HR"/>
        </w:rPr>
        <w:t xml:space="preserve">1., ELI: </w:t>
      </w:r>
      <w:hyperlink r:id="rId13" w:history="1">
        <w:r w:rsidRPr="004E0076">
          <w:rPr>
            <w:rStyle w:val="Hyperlink"/>
            <w:sz w:val="24"/>
            <w:lang w:val="hr-HR"/>
          </w:rPr>
          <w:t>http://data.europa.eu/eli/dir/2014/66/oj</w:t>
        </w:r>
      </w:hyperlink>
      <w:r w:rsidRPr="00AB1D34">
        <w:rPr>
          <w:sz w:val="24"/>
          <w:lang w:val="hr-HR"/>
        </w:rPr>
        <w:t>).</w:t>
      </w:r>
    </w:p>
  </w:footnote>
  <w:footnote w:id="16">
    <w:p w14:paraId="562122ED" w14:textId="64731C38" w:rsidR="00C92841" w:rsidRPr="00AB1D34" w:rsidRDefault="00C92841" w:rsidP="00AB1D34">
      <w:pPr>
        <w:pStyle w:val="FootnoteText"/>
        <w:ind w:left="567" w:hanging="567"/>
        <w:rPr>
          <w:sz w:val="24"/>
          <w:lang w:val="hr-HR"/>
        </w:rPr>
      </w:pPr>
      <w:r w:rsidRPr="00AB1D34">
        <w:rPr>
          <w:sz w:val="24"/>
          <w:vertAlign w:val="superscript"/>
          <w:lang w:val="hr-HR"/>
        </w:rPr>
        <w:t>16</w:t>
      </w:r>
      <w:r w:rsidR="00AB1D34" w:rsidRPr="00AB1D34">
        <w:rPr>
          <w:sz w:val="24"/>
          <w:vertAlign w:val="superscript"/>
          <w:lang w:val="hr-HR"/>
        </w:rPr>
        <w:t xml:space="preserve"> </w:t>
      </w:r>
      <w:r w:rsidR="00AB1D34" w:rsidRPr="00AB1D34">
        <w:rPr>
          <w:sz w:val="24"/>
          <w:vertAlign w:val="superscript"/>
          <w:lang w:val="hr-HR"/>
        </w:rPr>
        <w:tab/>
      </w:r>
      <w:r w:rsidRPr="00AB1D34">
        <w:rPr>
          <w:sz w:val="24"/>
          <w:lang w:val="hr-HR"/>
        </w:rPr>
        <w:t xml:space="preserve">Uredba (EU) 2024/1252 Europskog parlamenta i Vijeća od 11. travnja 2024. o uspostavi okvira za osiguravanje sigurne i održive opskrbe kritičnim sirovinama i o izmjeni uredbi (EU) br. </w:t>
      </w:r>
      <w:r w:rsidRPr="00AB1D34">
        <w:rPr>
          <w:sz w:val="24"/>
          <w:lang w:val="hr-HR"/>
        </w:rPr>
        <w:t xml:space="preserve">168/2013, (EU) 2018/858, (EU) 2018/1724 i (EU) 2019/1020 (SL L, 2024/1252, 3.5.2024., ELI: </w:t>
      </w:r>
      <w:hyperlink r:id="rId14" w:history="1">
        <w:r w:rsidRPr="00672792">
          <w:rPr>
            <w:rStyle w:val="Hyperlink"/>
            <w:sz w:val="24"/>
            <w:lang w:val="hr-HR"/>
          </w:rPr>
          <w:t>http://data.europa.eu/eli/reg/2024/1252/oj</w:t>
        </w:r>
      </w:hyperlink>
      <w:r w:rsidRPr="00672792">
        <w:rPr>
          <w:sz w:val="24"/>
          <w:lang w:val="hr-HR"/>
        </w:rPr>
        <w:t>)</w:t>
      </w:r>
      <w:r w:rsidRPr="00AB1D34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F1AFC" w14:textId="77777777" w:rsidR="00064002" w:rsidRPr="00AB1D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906EC" w14:textId="77777777" w:rsidR="00064002" w:rsidRPr="00AB1D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65E7F" w14:textId="77777777" w:rsidR="00064002" w:rsidRPr="00AB1D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85325196">
    <w:abstractNumId w:val="9"/>
  </w:num>
  <w:num w:numId="2" w16cid:durableId="794370535">
    <w:abstractNumId w:val="9"/>
  </w:num>
  <w:num w:numId="3" w16cid:durableId="1546678874">
    <w:abstractNumId w:val="7"/>
  </w:num>
  <w:num w:numId="4" w16cid:durableId="1105347820">
    <w:abstractNumId w:val="7"/>
  </w:num>
  <w:num w:numId="5" w16cid:durableId="1187913528">
    <w:abstractNumId w:val="6"/>
  </w:num>
  <w:num w:numId="6" w16cid:durableId="926646060">
    <w:abstractNumId w:val="6"/>
  </w:num>
  <w:num w:numId="7" w16cid:durableId="1543128815">
    <w:abstractNumId w:val="5"/>
  </w:num>
  <w:num w:numId="8" w16cid:durableId="443619800">
    <w:abstractNumId w:val="5"/>
  </w:num>
  <w:num w:numId="9" w16cid:durableId="1370371380">
    <w:abstractNumId w:val="4"/>
  </w:num>
  <w:num w:numId="10" w16cid:durableId="317416459">
    <w:abstractNumId w:val="4"/>
  </w:num>
  <w:num w:numId="11" w16cid:durableId="1451168794">
    <w:abstractNumId w:val="8"/>
  </w:num>
  <w:num w:numId="12" w16cid:durableId="1649434990">
    <w:abstractNumId w:val="8"/>
  </w:num>
  <w:num w:numId="13" w16cid:durableId="1476146604">
    <w:abstractNumId w:val="3"/>
  </w:num>
  <w:num w:numId="14" w16cid:durableId="642852012">
    <w:abstractNumId w:val="3"/>
  </w:num>
  <w:num w:numId="15" w16cid:durableId="158927586">
    <w:abstractNumId w:val="2"/>
  </w:num>
  <w:num w:numId="16" w16cid:durableId="446244995">
    <w:abstractNumId w:val="2"/>
  </w:num>
  <w:num w:numId="17" w16cid:durableId="158081488">
    <w:abstractNumId w:val="1"/>
  </w:num>
  <w:num w:numId="18" w16cid:durableId="1363821107">
    <w:abstractNumId w:val="1"/>
  </w:num>
  <w:num w:numId="19" w16cid:durableId="163513335">
    <w:abstractNumId w:val="0"/>
  </w:num>
  <w:num w:numId="20" w16cid:durableId="1161505669">
    <w:abstractNumId w:val="0"/>
  </w:num>
  <w:num w:numId="21" w16cid:durableId="919293781">
    <w:abstractNumId w:val="9"/>
  </w:num>
  <w:num w:numId="22" w16cid:durableId="1014284">
    <w:abstractNumId w:val="7"/>
  </w:num>
  <w:num w:numId="23" w16cid:durableId="164321687">
    <w:abstractNumId w:val="6"/>
  </w:num>
  <w:num w:numId="24" w16cid:durableId="1853177650">
    <w:abstractNumId w:val="5"/>
  </w:num>
  <w:num w:numId="25" w16cid:durableId="219632423">
    <w:abstractNumId w:val="4"/>
  </w:num>
  <w:num w:numId="26" w16cid:durableId="961157303">
    <w:abstractNumId w:val="8"/>
  </w:num>
  <w:num w:numId="27" w16cid:durableId="471674190">
    <w:abstractNumId w:val="3"/>
  </w:num>
  <w:num w:numId="28" w16cid:durableId="1701013125">
    <w:abstractNumId w:val="2"/>
  </w:num>
  <w:num w:numId="29" w16cid:durableId="954485423">
    <w:abstractNumId w:val="1"/>
  </w:num>
  <w:num w:numId="30" w16cid:durableId="1729693194">
    <w:abstractNumId w:val="0"/>
  </w:num>
  <w:num w:numId="31" w16cid:durableId="476336111">
    <w:abstractNumId w:val="9"/>
  </w:num>
  <w:num w:numId="32" w16cid:durableId="470828661">
    <w:abstractNumId w:val="7"/>
  </w:num>
  <w:num w:numId="33" w16cid:durableId="301079900">
    <w:abstractNumId w:val="6"/>
  </w:num>
  <w:num w:numId="34" w16cid:durableId="1002783790">
    <w:abstractNumId w:val="5"/>
  </w:num>
  <w:num w:numId="35" w16cid:durableId="1263145180">
    <w:abstractNumId w:val="4"/>
  </w:num>
  <w:num w:numId="36" w16cid:durableId="1362975424">
    <w:abstractNumId w:val="8"/>
  </w:num>
  <w:num w:numId="37" w16cid:durableId="2079747518">
    <w:abstractNumId w:val="3"/>
  </w:num>
  <w:num w:numId="38" w16cid:durableId="537818226">
    <w:abstractNumId w:val="2"/>
  </w:num>
  <w:num w:numId="39" w16cid:durableId="1507482339">
    <w:abstractNumId w:val="1"/>
  </w:num>
  <w:num w:numId="40" w16cid:durableId="1319117842">
    <w:abstractNumId w:val="0"/>
  </w:num>
  <w:num w:numId="41" w16cid:durableId="1778519519">
    <w:abstractNumId w:val="10"/>
  </w:num>
  <w:num w:numId="42" w16cid:durableId="1612784943">
    <w:abstractNumId w:val="10"/>
  </w:num>
  <w:num w:numId="43" w16cid:durableId="978847838">
    <w:abstractNumId w:val="10"/>
  </w:num>
  <w:num w:numId="44" w16cid:durableId="6453525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7/2026"/>
    <w:docVar w:name="dvlangue" w:val="HR"/>
    <w:docVar w:name="dvnumam" w:val="0"/>
    <w:docVar w:name="dvpe" w:val="778.252"/>
    <w:docVar w:name="dvrapporteur" w:val="Izvjestitelj: "/>
    <w:docVar w:name="dvtitre" w:val="Rezolucija Europskog parlamenta od .... 2026. o uklanjanju prepreka za jedinstveno tržište u području obrane(2025/2143(INI))"/>
  </w:docVars>
  <w:rsids>
    <w:rsidRoot w:val="00815528"/>
    <w:rsid w:val="00002272"/>
    <w:rsid w:val="00003A7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0076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2792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52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D34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2841"/>
    <w:rsid w:val="00C941CB"/>
    <w:rsid w:val="00CB74B6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CF7F2E"/>
  <w15:chartTrackingRefBased/>
  <w15:docId w15:val="{6DE26B4F-9BA7-4192-91C4-9B272F1D6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C92841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C92841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C92841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C92841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C92841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C9284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007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6727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5/2653/oj" TargetMode="External"/><Relationship Id="rId13" Type="http://schemas.openxmlformats.org/officeDocument/2006/relationships/hyperlink" Target="http://data.europa.eu/eli/dir/2014/66/oj" TargetMode="External"/><Relationship Id="rId3" Type="http://schemas.openxmlformats.org/officeDocument/2006/relationships/hyperlink" Target="http://data.europa.eu/eli/dir/2009/81/oj" TargetMode="External"/><Relationship Id="rId7" Type="http://schemas.openxmlformats.org/officeDocument/2006/relationships/hyperlink" Target="http://data.europa.eu/eli/reg/2025/2643/oj" TargetMode="External"/><Relationship Id="rId12" Type="http://schemas.openxmlformats.org/officeDocument/2006/relationships/hyperlink" Target="http://data.europa.eu/eli/dir/2014/24/oj" TargetMode="External"/><Relationship Id="rId2" Type="http://schemas.openxmlformats.org/officeDocument/2006/relationships/hyperlink" Target="http://data.europa.eu/eli/dir/2009/43/oj" TargetMode="External"/><Relationship Id="rId1" Type="http://schemas.openxmlformats.org/officeDocument/2006/relationships/hyperlink" Target="http://data.europa.eu/eli/dec/2017/2315/oj" TargetMode="External"/><Relationship Id="rId6" Type="http://schemas.openxmlformats.org/officeDocument/2006/relationships/hyperlink" Target="http://data.europa.eu/eli/reg/2023/2418/oj" TargetMode="External"/><Relationship Id="rId11" Type="http://schemas.openxmlformats.org/officeDocument/2006/relationships/hyperlink" Target="http://data.europa.eu/eli/compos/2008/944/oj" TargetMode="External"/><Relationship Id="rId5" Type="http://schemas.openxmlformats.org/officeDocument/2006/relationships/hyperlink" Target="http://data.europa.eu/eli/reg/2023/1525/oj" TargetMode="External"/><Relationship Id="rId10" Type="http://schemas.openxmlformats.org/officeDocument/2006/relationships/hyperlink" Target="http://data.europa.eu/eli/C/2025/4388/oj" TargetMode="External"/><Relationship Id="rId4" Type="http://schemas.openxmlformats.org/officeDocument/2006/relationships/hyperlink" Target="http://data.europa.eu/eli/reg/2021/697/oj" TargetMode="External"/><Relationship Id="rId9" Type="http://schemas.openxmlformats.org/officeDocument/2006/relationships/hyperlink" Target="http://data.europa.eu/eli/reg/2025/1106/oj" TargetMode="External"/><Relationship Id="rId14" Type="http://schemas.openxmlformats.org/officeDocument/2006/relationships/hyperlink" Target="http://data.europa.eu/eli/reg/2024/12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6158</Words>
  <Characters>38619</Characters>
  <Application>Microsoft Office Word</Application>
  <DocSecurity>0</DocSecurity>
  <Lines>321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2026-03-11T15:30:00Z</dcterms:created>
  <dcterms:modified xsi:type="dcterms:W3CDTF">2026-03-11T15:30:00Z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A10-0017/2026</vt:lpwstr>
  </property>
  <property fmtid="{D5CDD505-2E9C-101B-9397-08002B2CF9AE}" pid="4" name="&lt;Type&gt;">
    <vt:lpwstr>RR</vt:lpwstr>
  </property>
</Properties>
</file>