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CA9" w14:paraId="0B7A3B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6F5B92" w14:textId="77777777" w:rsidR="00751A4A" w:rsidRPr="00DC2CA9" w:rsidRDefault="00A43671" w:rsidP="0010095E">
            <w:pPr>
              <w:pStyle w:val="EPName"/>
            </w:pPr>
            <w:r w:rsidRPr="00DC2CA9">
              <w:t>Parlament Europejski</w:t>
            </w:r>
          </w:p>
          <w:p w14:paraId="3418E946" w14:textId="77777777" w:rsidR="00751A4A" w:rsidRPr="00DC2C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CA9">
              <w:t>2024</w:t>
            </w:r>
            <w:r w:rsidR="00817416" w:rsidRPr="00DC2CA9">
              <w:t>-202</w:t>
            </w:r>
            <w:r w:rsidRPr="00DC2CA9">
              <w:t>9</w:t>
            </w:r>
          </w:p>
        </w:tc>
        <w:tc>
          <w:tcPr>
            <w:tcW w:w="2268" w:type="dxa"/>
            <w:shd w:val="clear" w:color="auto" w:fill="auto"/>
          </w:tcPr>
          <w:p w14:paraId="3AB9F860" w14:textId="77777777" w:rsidR="00751A4A" w:rsidRPr="00DC2CA9" w:rsidRDefault="00187494" w:rsidP="0010095E">
            <w:pPr>
              <w:pStyle w:val="EPLogo"/>
            </w:pPr>
            <w:r w:rsidRPr="00DC2CA9">
              <w:rPr>
                <w:noProof/>
                <w:lang w:eastAsia="ja-JP"/>
              </w:rPr>
              <w:drawing>
                <wp:inline distT="0" distB="0" distL="0" distR="0" wp14:anchorId="533F54E7" wp14:editId="3FA8F9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80DBC" w14:textId="77777777" w:rsidR="00D058B8" w:rsidRPr="00DC2CA9" w:rsidRDefault="00D058B8" w:rsidP="004C5D52">
      <w:pPr>
        <w:pStyle w:val="LineTop"/>
      </w:pPr>
    </w:p>
    <w:p w14:paraId="4643C667" w14:textId="77777777" w:rsidR="00680577" w:rsidRPr="00DC2CA9" w:rsidRDefault="00A43671" w:rsidP="00680577">
      <w:pPr>
        <w:pStyle w:val="EPBodyTA1"/>
      </w:pPr>
      <w:r w:rsidRPr="00DC2CA9">
        <w:t>TEKSTY PRZYJĘTE</w:t>
      </w:r>
    </w:p>
    <w:p w14:paraId="311F46D8" w14:textId="77777777" w:rsidR="00D058B8" w:rsidRPr="00DC2CA9" w:rsidRDefault="00D058B8" w:rsidP="00D058B8">
      <w:pPr>
        <w:pStyle w:val="LineBottom"/>
      </w:pPr>
    </w:p>
    <w:p w14:paraId="17ED95C0" w14:textId="42571D5A" w:rsidR="00A43671" w:rsidRPr="00DC2CA9" w:rsidRDefault="00A43671" w:rsidP="00A43671">
      <w:pPr>
        <w:pStyle w:val="ATHeading1"/>
      </w:pPr>
      <w:bookmarkStart w:id="0" w:name="TANumber"/>
      <w:r w:rsidRPr="00DC2CA9">
        <w:t>P10_TA(2026)00</w:t>
      </w:r>
      <w:bookmarkEnd w:id="0"/>
      <w:r w:rsidR="00834ACA">
        <w:t>79</w:t>
      </w:r>
    </w:p>
    <w:p w14:paraId="1096B2F5" w14:textId="77777777" w:rsidR="00A43671" w:rsidRPr="00DC2CA9" w:rsidRDefault="00A43671" w:rsidP="00A43671">
      <w:pPr>
        <w:pStyle w:val="ATHeading2"/>
      </w:pPr>
      <w:bookmarkStart w:id="1" w:name="title"/>
      <w:r w:rsidRPr="00DC2CA9">
        <w:t>Usuwanie barier na jednolitym rynku obrony</w:t>
      </w:r>
      <w:bookmarkEnd w:id="1"/>
    </w:p>
    <w:p w14:paraId="005C0A12" w14:textId="77777777" w:rsidR="00A43671" w:rsidRPr="00DC2CA9" w:rsidRDefault="00A43671" w:rsidP="00A43671">
      <w:pPr>
        <w:rPr>
          <w:i/>
          <w:vanish/>
        </w:rPr>
      </w:pPr>
      <w:r w:rsidRPr="00DC2CA9">
        <w:rPr>
          <w:i/>
        </w:rPr>
        <w:fldChar w:fldCharType="begin"/>
      </w:r>
      <w:r w:rsidRPr="00DC2CA9">
        <w:rPr>
          <w:i/>
        </w:rPr>
        <w:instrText xml:space="preserve"> TC"(</w:instrText>
      </w:r>
      <w:bookmarkStart w:id="2" w:name="DocNumber"/>
      <w:r w:rsidRPr="00DC2CA9">
        <w:rPr>
          <w:i/>
        </w:rPr>
        <w:instrText>A10-0017/2026</w:instrText>
      </w:r>
      <w:bookmarkEnd w:id="2"/>
      <w:r w:rsidRPr="00DC2CA9">
        <w:rPr>
          <w:i/>
        </w:rPr>
        <w:instrText xml:space="preserve"> - Sprawozdawca: Tobias Cremer)"\l3 \n&gt; \* MERGEFORMAT </w:instrText>
      </w:r>
      <w:r w:rsidRPr="00DC2CA9">
        <w:rPr>
          <w:i/>
        </w:rPr>
        <w:fldChar w:fldCharType="end"/>
      </w:r>
    </w:p>
    <w:p w14:paraId="65FAF654" w14:textId="77777777" w:rsidR="00A43671" w:rsidRPr="00DC2CA9" w:rsidRDefault="00A43671" w:rsidP="00A43671">
      <w:pPr>
        <w:rPr>
          <w:vanish/>
        </w:rPr>
      </w:pPr>
      <w:bookmarkStart w:id="3" w:name="Commission"/>
      <w:r w:rsidRPr="00DC2CA9">
        <w:rPr>
          <w:vanish/>
        </w:rPr>
        <w:t>Komisja Bezpieczeństwa i Obrony</w:t>
      </w:r>
      <w:bookmarkEnd w:id="3"/>
    </w:p>
    <w:p w14:paraId="67C8F1A5" w14:textId="77777777" w:rsidR="00A43671" w:rsidRPr="00DC2CA9" w:rsidRDefault="00A43671" w:rsidP="00A43671">
      <w:pPr>
        <w:rPr>
          <w:vanish/>
        </w:rPr>
      </w:pPr>
      <w:bookmarkStart w:id="4" w:name="PE"/>
      <w:r w:rsidRPr="00DC2CA9">
        <w:rPr>
          <w:vanish/>
        </w:rPr>
        <w:t>PE778.252</w:t>
      </w:r>
      <w:bookmarkEnd w:id="4"/>
    </w:p>
    <w:p w14:paraId="22EB3C35" w14:textId="21E4E208" w:rsidR="00A43671" w:rsidRPr="00DC2CA9" w:rsidRDefault="00A43671" w:rsidP="00A43671">
      <w:pPr>
        <w:pStyle w:val="ATHeading3"/>
      </w:pPr>
      <w:bookmarkStart w:id="5" w:name="Sujet"/>
      <w:r w:rsidRPr="00DC2CA9">
        <w:t xml:space="preserve">Rezolucja Parlamentu Europejskiego z dnia </w:t>
      </w:r>
      <w:r w:rsidR="00834ACA">
        <w:t xml:space="preserve">11 </w:t>
      </w:r>
      <w:r w:rsidR="00145163">
        <w:t>marca</w:t>
      </w:r>
      <w:r w:rsidRPr="00DC2CA9">
        <w:t xml:space="preserve"> 2026 r. w sprawie eliminowania barier na jednolitym rynku obrony</w:t>
      </w:r>
      <w:bookmarkEnd w:id="5"/>
      <w:r w:rsidRPr="00DC2CA9">
        <w:t xml:space="preserve"> </w:t>
      </w:r>
      <w:bookmarkStart w:id="6" w:name="References"/>
      <w:r w:rsidRPr="00DC2CA9">
        <w:t>(2025/2143(INI))</w:t>
      </w:r>
      <w:bookmarkEnd w:id="6"/>
    </w:p>
    <w:p w14:paraId="30868975" w14:textId="77777777" w:rsidR="00025F1F" w:rsidRPr="00AE2BFA" w:rsidRDefault="00025F1F" w:rsidP="00AE2BFA">
      <w:pPr>
        <w:pStyle w:val="Normal12"/>
        <w:spacing w:before="360"/>
        <w:rPr>
          <w:i/>
          <w:iCs/>
        </w:rPr>
      </w:pPr>
      <w:r w:rsidRPr="00AE2BFA">
        <w:rPr>
          <w:i/>
          <w:iCs/>
        </w:rPr>
        <w:t>Parlament Europejski,</w:t>
      </w:r>
    </w:p>
    <w:p w14:paraId="3454082D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Traktat o funkcjonowaniu Unii Europejskiej (TFUE),</w:t>
      </w:r>
    </w:p>
    <w:p w14:paraId="16CA7972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deklarację wersalską przyjętą na nieformalnym posiedzeniu szefów państw i rządów 11 marca 2022 r.,</w:t>
      </w:r>
    </w:p>
    <w:p w14:paraId="70A1CEBF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„Strategiczny kompas na rzecz bezpieczeństwa i obrony – dla Unii Europejskiej, która chroni swoich obywateli, swoje wartości i interesy oraz przyczynia się do międzynarodowego pokoju i bezpieczeństwa”, zatwierdzony przez Radę 21 marca 2022 r. i poparty przez Radę Europejską 25 marca 2022 r.,</w:t>
      </w:r>
    </w:p>
    <w:p w14:paraId="0A856868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decyzję Rady (</w:t>
      </w:r>
      <w:proofErr w:type="spellStart"/>
      <w:r w:rsidRPr="00DC2CA9">
        <w:t>WPZiB</w:t>
      </w:r>
      <w:proofErr w:type="spellEnd"/>
      <w:r w:rsidRPr="00DC2CA9">
        <w:t>) 2017/2315 z 11 grudnia 2017 r. w sprawie ustanowienia stałej współpracy strukturalnej (PESCO) oraz ustalenia listy uczestniczących w niej państw członkowskich</w:t>
      </w:r>
      <w:r w:rsidRPr="00DC2CA9">
        <w:rPr>
          <w:rStyle w:val="FootnoteReference"/>
        </w:rPr>
        <w:footnoteReference w:customMarkFollows="1" w:id="1"/>
        <w:t>1</w:t>
      </w:r>
      <w:r w:rsidRPr="00DC2CA9">
        <w:t>,</w:t>
      </w:r>
    </w:p>
    <w:p w14:paraId="3B030A5D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dyrektywę Parlamentu Europejskiego i Rady 2009/43/WE z dnia 6 maja 2009 r. w sprawie uproszczenia warunków transferów produktów związanych z obronnością we Wspólnocie</w:t>
      </w:r>
      <w:r w:rsidRPr="00DC2CA9">
        <w:rPr>
          <w:rStyle w:val="FootnoteReference"/>
        </w:rPr>
        <w:footnoteReference w:customMarkFollows="1" w:id="2"/>
        <w:t>2</w:t>
      </w:r>
      <w:r w:rsidRPr="00DC2CA9">
        <w:t>,</w:t>
      </w:r>
    </w:p>
    <w:p w14:paraId="7EB16E8B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dyrektywę Parlamentu Europejskiego i Rady 2009/81/WE z dnia 13 lipca 2009 r. w sprawie koordynacji procedur udzielania niektórych zamówień na roboty budowlane, dostawy i usługi przez instytucje lub podmioty zamawiające w dziedzinie obronności i bezpieczeństwa i zmieniającą dyrektywy 2004/17/WE i 2004/18/WE</w:t>
      </w:r>
      <w:r w:rsidRPr="00DC2CA9">
        <w:rPr>
          <w:rStyle w:val="FootnoteReference"/>
        </w:rPr>
        <w:footnoteReference w:customMarkFollows="1" w:id="3"/>
        <w:t>3</w:t>
      </w:r>
      <w:r w:rsidRPr="00DC2CA9">
        <w:t>,</w:t>
      </w:r>
    </w:p>
    <w:p w14:paraId="77EAC5C0" w14:textId="77777777" w:rsidR="00025F1F" w:rsidRPr="00DC2CA9" w:rsidRDefault="00025F1F" w:rsidP="00025F1F">
      <w:pPr>
        <w:pStyle w:val="NormalHanging"/>
      </w:pPr>
      <w:r w:rsidRPr="00DC2CA9">
        <w:lastRenderedPageBreak/>
        <w:t>–</w:t>
      </w:r>
      <w:r w:rsidRPr="00DC2CA9">
        <w:tab/>
        <w:t>uwzględniając rozporządzenie Parlamentu Europejskiego i Rady (UE) 2021/697 z 29 kwietnia 2021 r. ustanawiające Europejski Fundusz Obronny i uchylające rozporządzenie (UE) 2018/1092</w:t>
      </w:r>
      <w:r w:rsidRPr="00DC2CA9">
        <w:rPr>
          <w:rStyle w:val="FootnoteReference"/>
        </w:rPr>
        <w:footnoteReference w:customMarkFollows="1" w:id="4"/>
        <w:t>4</w:t>
      </w:r>
      <w:r w:rsidRPr="00DC2CA9">
        <w:t>,</w:t>
      </w:r>
    </w:p>
    <w:p w14:paraId="04B14F50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rozporządzenie Parlamentu Europejskiego i Rady (UE) 2023/1525 z 20 lipca 2023 r. w sprawie wspierania produkcji amunicji</w:t>
      </w:r>
      <w:r w:rsidRPr="00DC2CA9">
        <w:rPr>
          <w:rStyle w:val="FootnoteReference"/>
        </w:rPr>
        <w:footnoteReference w:customMarkFollows="1" w:id="5"/>
        <w:t>5</w:t>
      </w:r>
      <w:r w:rsidRPr="00DC2CA9">
        <w:t>,</w:t>
      </w:r>
    </w:p>
    <w:p w14:paraId="213C6D95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rozporządzenie Parlamentu Europejskiego i Rady (UE) 2023/2418 z 18 października 2023 r. w sprawie ustanowienia instrumentu na rzecz wzmocnienia europejskiego przemysłu obronnego przez zamówienia realizowane na zasadzie współpracy (EDIRPA)</w:t>
      </w:r>
      <w:r w:rsidRPr="00DC2CA9">
        <w:rPr>
          <w:rStyle w:val="FootnoteReference"/>
        </w:rPr>
        <w:footnoteReference w:customMarkFollows="1" w:id="6"/>
        <w:t>6</w:t>
      </w:r>
      <w:r w:rsidRPr="00DC2CA9">
        <w:t>,</w:t>
      </w:r>
    </w:p>
    <w:p w14:paraId="2644A57A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rozporządzenie Parlamentu Europejskiego i Rady (UE) 2025/2643 z 16 grudnia 2025 r. ustanawiające program na rzecz europejskiego przemysłu obronnego oraz ramy środków w celu zapewnienia terminowej dostępności i dostaw produktów związanych z obronnością (rozporządzenie EDIP)</w:t>
      </w:r>
      <w:r w:rsidRPr="00DC2CA9">
        <w:rPr>
          <w:rStyle w:val="FootnoteReference"/>
        </w:rPr>
        <w:footnoteReference w:customMarkFollows="1" w:id="7"/>
        <w:t>7</w:t>
      </w:r>
      <w:r w:rsidRPr="00DC2CA9">
        <w:t>,</w:t>
      </w:r>
    </w:p>
    <w:p w14:paraId="328D0393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 xml:space="preserve">uwzględniając rozporządzenie Parlamentu Europejskiego i Rady (UE) 2025/2653 z 19 grudnia 2025 r. zmieniające rozporządzenia (UE) 2021/694, (UE) 2021/695, (UE) 2021/697, (UE) 2021/1153 i (UE) 2024/795 w odniesieniu do tworzenia zachęt do inwestycji związanych z obronnością w budżecie UE w celu wdrożenia planu </w:t>
      </w:r>
      <w:proofErr w:type="spellStart"/>
      <w:r w:rsidRPr="00DC2CA9">
        <w:t>ReArm</w:t>
      </w:r>
      <w:proofErr w:type="spellEnd"/>
      <w:r w:rsidRPr="00DC2CA9">
        <w:t xml:space="preserve"> Europe</w:t>
      </w:r>
      <w:r w:rsidRPr="00DC2CA9">
        <w:rPr>
          <w:rStyle w:val="FootnoteReference"/>
        </w:rPr>
        <w:footnoteReference w:customMarkFollows="1" w:id="8"/>
        <w:t>8</w:t>
      </w:r>
      <w:r w:rsidRPr="00DC2CA9">
        <w:t>,</w:t>
      </w:r>
    </w:p>
    <w:p w14:paraId="66CEF877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rozporządzenie Rady (UE) 2025/1106 z 27 maja 2025 r. ustanawiające Instrument na rzecz Zwiększenia Bezpieczeństwa Europy (SAFE) poprzez Wzmocnienie Europejskiego Przemysłu Obronnego</w:t>
      </w:r>
      <w:r w:rsidRPr="00DC2CA9">
        <w:rPr>
          <w:rStyle w:val="FootnoteReference"/>
        </w:rPr>
        <w:footnoteReference w:customMarkFollows="1" w:id="9"/>
        <w:t>9</w:t>
      </w:r>
      <w:r w:rsidRPr="00DC2CA9">
        <w:t>,</w:t>
      </w:r>
    </w:p>
    <w:p w14:paraId="2D1ED3CF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wniosek Komisji z 17 czerwca 2025 r. dotyczący rozporządzenia Parlamentu Europejskiego i Rady w sprawie przyspieszenia wydawania zezwoleń na projekty w zakresie gotowości obronnej (COM(2025)0821), wniosek Komisji z 17 czerwca 2025 r. dotyczący rozporządzenia Parlamentu Europejskiego i Rady zmieniającego rozporządzenia: (WE) nr 1907/2006, (WE) nr 1272/2008, (UE) nr 528/2012, (UE) 2019/1021 i (UE) 2021/697 w odniesieniu do gotowości obronnej oraz ułatwienia realizacji inwestycji w obronność i poprawy warunków dla przemysłu obronnego (COM(2025)0822), a także wniosek Komisji z 17 czerwca 2025 r. dotyczący dyrektywy Parlamentu Europejskiego i Rady zmieniającej dyrektywy: 2009/43/WE i 2009/81/WE w odniesieniu do uproszczenia wewnątrzunijnych transferów produktów związanych z obronnością oraz uproszczenia zamówień publicznych w dziedzinie bezpieczeństwa i obronności (COM(2025)0823) w ramach pakietu zbiorczego dotyczącego gotowości obronnej z 17 czerwca 2025 r.,</w:t>
      </w:r>
    </w:p>
    <w:p w14:paraId="12B0793B" w14:textId="123A0BE5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konkluzje z posiedzenia Rady Europejskiej poświęconego europejskiej obronności, w szczególności konkluzje z 6 i 20 marca, 26 czerwca i 23 października 2025 r.,</w:t>
      </w:r>
    </w:p>
    <w:p w14:paraId="1727756C" w14:textId="77777777" w:rsidR="00025F1F" w:rsidRPr="00DC2CA9" w:rsidRDefault="00025F1F" w:rsidP="00025F1F">
      <w:pPr>
        <w:pStyle w:val="NormalHanging"/>
      </w:pPr>
      <w:r w:rsidRPr="00DC2CA9">
        <w:lastRenderedPageBreak/>
        <w:t>–</w:t>
      </w:r>
      <w:r w:rsidRPr="00DC2CA9">
        <w:tab/>
        <w:t>uwzględniając swoją rezolucję z 25 marca 2021 r. w sprawie wdrożenia dyrektywy 2009/81/WE dotyczącej zamówień w dziedzinie obronności i bezpieczeństwa oraz dyrektywy 2009/43/WE dotyczącej transferu produktów związanych z obronnością</w:t>
      </w:r>
      <w:r w:rsidRPr="00DC2CA9">
        <w:rPr>
          <w:rStyle w:val="FootnoteReference"/>
        </w:rPr>
        <w:footnoteReference w:customMarkFollows="1" w:id="10"/>
        <w:t>10</w:t>
      </w:r>
      <w:r w:rsidRPr="00DC2CA9">
        <w:t>,</w:t>
      </w:r>
    </w:p>
    <w:p w14:paraId="5FD0716C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swoją rezolucję z 2 kwietnia 2025 r. w sprawie realizacji wspólnej polityki zagranicznej i bezpieczeństwa – sprawozdanie roczne za 2024 r.</w:t>
      </w:r>
      <w:r w:rsidRPr="00DC2CA9">
        <w:rPr>
          <w:rStyle w:val="FootnoteReference"/>
        </w:rPr>
        <w:footnoteReference w:customMarkFollows="1" w:id="11"/>
        <w:t>11</w:t>
      </w:r>
      <w:r w:rsidRPr="00DC2CA9">
        <w:t>,</w:t>
      </w:r>
    </w:p>
    <w:p w14:paraId="5A9C171F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 xml:space="preserve">uwzględniając swoją rezolucję z 25 listopada 2025 r. w sprawie aspektów instytucjonalnych sprawozdania poświęconego przyszłości europejskiej konkurencyjności (sprawozdanie </w:t>
      </w:r>
      <w:proofErr w:type="spellStart"/>
      <w:r w:rsidRPr="00DC2CA9">
        <w:t>Draghiego</w:t>
      </w:r>
      <w:proofErr w:type="spellEnd"/>
      <w:r w:rsidRPr="00DC2CA9">
        <w:t>)</w:t>
      </w:r>
      <w:r w:rsidRPr="00DC2CA9">
        <w:rPr>
          <w:rStyle w:val="FootnoteReference"/>
        </w:rPr>
        <w:footnoteReference w:customMarkFollows="1" w:id="12"/>
        <w:t>12</w:t>
      </w:r>
      <w:r w:rsidRPr="00DC2CA9">
        <w:t>,</w:t>
      </w:r>
    </w:p>
    <w:p w14:paraId="312FE6C4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wspólny komunikat Komisji i wysokiego przedstawiciela Unii do spraw zagranicznych i polityki bezpieczeństwa z 5 marca 2024 r. pt. „Nowa Strategia na rzecz europejskiego przemysłu obronnego – osiągnięcie gotowości UE dzięki zdolnemu do reagowania i odpornemu europejskiemu przemysłowi obronnemu” (JOIN(2024)0010),</w:t>
      </w:r>
    </w:p>
    <w:p w14:paraId="15B4B344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 xml:space="preserve">uwzględniając wytyczne polityczne na następną kadencję Komisji Europejskiej w latach 2024–2029 pt. „Wybór Europy”, przedstawione 18 lipca 2025 r. przez ówczesną kandydatkę na urząd przewodniczącego Komisji Europejskiej Ursulę von der </w:t>
      </w:r>
      <w:proofErr w:type="spellStart"/>
      <w:r w:rsidRPr="00DC2CA9">
        <w:t>Leyen</w:t>
      </w:r>
      <w:proofErr w:type="spellEnd"/>
      <w:r w:rsidRPr="00DC2CA9">
        <w:t>,</w:t>
      </w:r>
    </w:p>
    <w:p w14:paraId="504DE4CF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sprawozdanie M. </w:t>
      </w:r>
      <w:proofErr w:type="spellStart"/>
      <w:r w:rsidRPr="00DC2CA9">
        <w:t>Draghiego</w:t>
      </w:r>
      <w:proofErr w:type="spellEnd"/>
      <w:r w:rsidRPr="00DC2CA9">
        <w:t xml:space="preserve"> z 9 września 2024 r. pt. „Przyszłość europejskiej konkurencyjności”, a w szczególności jego rozdział czwarty dotyczący poprawy bezpieczeństwa i zmniejszenia zależności,</w:t>
      </w:r>
    </w:p>
    <w:p w14:paraId="574FC060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sprawozdanie S. </w:t>
      </w:r>
      <w:proofErr w:type="spellStart"/>
      <w:r w:rsidRPr="00DC2CA9">
        <w:t>Niinistö</w:t>
      </w:r>
      <w:proofErr w:type="spellEnd"/>
      <w:r w:rsidRPr="00DC2CA9">
        <w:t xml:space="preserve"> z 30 października 2024 r. pt. „Razem bezpieczniej – wzmocnienie gotowości cywilnej i wojskowej oraz przygotowania w Europie”,</w:t>
      </w:r>
    </w:p>
    <w:p w14:paraId="29940149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sprawozdanie E. </w:t>
      </w:r>
      <w:proofErr w:type="spellStart"/>
      <w:r w:rsidRPr="00DC2CA9">
        <w:t>Letty</w:t>
      </w:r>
      <w:proofErr w:type="spellEnd"/>
      <w:r w:rsidRPr="00DC2CA9">
        <w:t xml:space="preserve"> z 10 kwietnia 2024 r. pt. „Znacznie więcej niż rynek. Szybkość, bezpieczeństwo, solidarność – wzmocnienie jednolitego rynku w celu zapewnienia zrównoważonej przyszłości i dobrobytu wszystkim obywatelom UE”,</w:t>
      </w:r>
    </w:p>
    <w:p w14:paraId="2E022244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wspólną białą księgę Komisji i wysokiej przedstawiciel Unii do spraw zagranicznych i polityki bezpieczeństwa z 19 marca 2025 r. pt. „Wspólna biała księga w sprawie obronności europejskiej – Gotowość 2030” (JOIN(2025)0120),</w:t>
      </w:r>
    </w:p>
    <w:p w14:paraId="22E94EE4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art. 55 Regulaminu,</w:t>
      </w:r>
    </w:p>
    <w:p w14:paraId="6B843F8A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opinie Komisji Gospodarczej i Monetarnej oraz Komisji Rynku Wewnętrznego i Ochrony Konsumentów,</w:t>
      </w:r>
    </w:p>
    <w:p w14:paraId="4B86929C" w14:textId="77777777" w:rsidR="00025F1F" w:rsidRPr="00DC2CA9" w:rsidRDefault="00025F1F" w:rsidP="00025F1F">
      <w:pPr>
        <w:pStyle w:val="NormalHanging"/>
      </w:pPr>
      <w:r w:rsidRPr="00DC2CA9">
        <w:t>–</w:t>
      </w:r>
      <w:r w:rsidRPr="00DC2CA9">
        <w:tab/>
        <w:t>uwzględniając sprawozdanie Komisji Bezpieczeństwa i Obrony (A10-0017/2026),</w:t>
      </w:r>
    </w:p>
    <w:p w14:paraId="04B33FB8" w14:textId="77777777" w:rsidR="00025F1F" w:rsidRPr="00DC2CA9" w:rsidRDefault="00025F1F" w:rsidP="00025F1F">
      <w:pPr>
        <w:pStyle w:val="NormalHanging"/>
      </w:pPr>
      <w:r w:rsidRPr="00DC2CA9">
        <w:t>A.</w:t>
      </w:r>
      <w:r w:rsidRPr="00DC2CA9">
        <w:tab/>
        <w:t xml:space="preserve">mając na uwadze, że przez dziesięciolecia zamówienia publiczne w dziedzinie obronności były domeną szczebla krajowego, co oznaczało fragmentację przemysłu, bariery regulacyjne, niedoinwestowanie, rozbieżne oceny zagrożeń i cele polityki zagranicznej, brak zintegrowanego planowania zdolności, brak zagregowanego popytu i konkurowanie o własność intelektualną oraz uniemożliwiło powstanie efektywnego i w </w:t>
      </w:r>
      <w:r w:rsidRPr="00DC2CA9">
        <w:lastRenderedPageBreak/>
        <w:t>pełni zintegrowanego jednolitego rynku obrony i osłabiło interoperacyjność systemów obronnych państw członkowskich, a tym samym powoduje znaczne dodatkowe koszty ponoszone przez podatników, osłabia zdolność UE do dbania o bezpieczeństwo swoich obywateli i europejską bazę technologiczno-przemysłową sektora obronnego oraz uniemożliwia pełną autonomię strategiczną Europy, jej odporność i jej konkurencyjność;</w:t>
      </w:r>
    </w:p>
    <w:p w14:paraId="6BA02F89" w14:textId="77777777" w:rsidR="00025F1F" w:rsidRPr="00DC2CA9" w:rsidRDefault="00025F1F" w:rsidP="00025F1F">
      <w:pPr>
        <w:pStyle w:val="NormalHanging"/>
      </w:pPr>
      <w:r w:rsidRPr="00DC2CA9">
        <w:t>B.</w:t>
      </w:r>
      <w:r w:rsidRPr="00DC2CA9">
        <w:tab/>
        <w:t xml:space="preserve">mając na uwadze, że w sprawozdaniach </w:t>
      </w:r>
      <w:proofErr w:type="spellStart"/>
      <w:r w:rsidRPr="00DC2CA9">
        <w:t>Letty</w:t>
      </w:r>
      <w:proofErr w:type="spellEnd"/>
      <w:r w:rsidRPr="00DC2CA9">
        <w:t xml:space="preserve"> i </w:t>
      </w:r>
      <w:proofErr w:type="spellStart"/>
      <w:r w:rsidRPr="00DC2CA9">
        <w:t>Draghiego</w:t>
      </w:r>
      <w:proofErr w:type="spellEnd"/>
      <w:r w:rsidRPr="00DC2CA9">
        <w:t xml:space="preserve"> w kontekście największych wyzwań podkreślono szereg słabości strukturalnych wpływających na konkurencyjność europejskiej bazy technologiczno-przemysłowej sektora obronnego oraz wskazano na rozdrobnienie, niewystarczające wydatki publiczne na obronność, ograniczony dostęp do finansowania i potrzebę stworzenia prawdziwego jednolitego rynku obrony; mając na uwadze, że w białej księdze w sprawie przyszłości obronności europejskiej podkreślono, iż działania powinny koncentrować się na zasadach i procedurach dotyczących zamówień publicznych w dziedzinie obronności, transferach produktów związanych z obronnością wewnątrz UE i wzajemnym uznawaniu krajowych zezwoleń certyfikacyjnych; mając na uwadze, że w sprawozdaniu </w:t>
      </w:r>
      <w:proofErr w:type="spellStart"/>
      <w:r w:rsidRPr="00DC2CA9">
        <w:t>Niinistö</w:t>
      </w:r>
      <w:proofErr w:type="spellEnd"/>
      <w:r w:rsidRPr="00DC2CA9">
        <w:t xml:space="preserve"> podkreślono również potrzebę zwiększenia ogólnej gotowości Europy, w tym integracji odporności cywilnej i wojskowej, a także zwrócono uwagę, że również te potrzeby efektywniej może zaspokoić jednolity rynek obrony;</w:t>
      </w:r>
    </w:p>
    <w:p w14:paraId="7B4C95B9" w14:textId="77777777" w:rsidR="00025F1F" w:rsidRPr="00DC2CA9" w:rsidRDefault="00025F1F" w:rsidP="00025F1F">
      <w:pPr>
        <w:pStyle w:val="NormalHanging"/>
      </w:pPr>
      <w:r w:rsidRPr="00DC2CA9">
        <w:t>C.</w:t>
      </w:r>
      <w:r w:rsidRPr="00DC2CA9">
        <w:tab/>
        <w:t xml:space="preserve">mając na uwadze, że odporna, konkurencyjna i innowacyjna europejska baza przemysłowa sektora obronnego ma zasadnicze znaczenie dla realizacji Strategicznego kompasu oraz zapewnienia UE zdolności odstraszania i obrony w świetle agendy „Gotowość 2030”; mając na uwadze, że wymaga to spójnej polityki przemysłowej i technologicznej, która wspiera zdolności </w:t>
      </w:r>
      <w:proofErr w:type="spellStart"/>
      <w:r w:rsidRPr="00DC2CA9">
        <w:t>interoperacyjne</w:t>
      </w:r>
      <w:proofErr w:type="spellEnd"/>
      <w:r w:rsidRPr="00DC2CA9">
        <w:t>, zabezpiecza krytyczne łańcuchy dostaw, wspiera małe i średnie przedsiębiorstwa oraz propaguje innowacje podwójnego zastosowania;</w:t>
      </w:r>
    </w:p>
    <w:p w14:paraId="4418DD42" w14:textId="77777777" w:rsidR="00025F1F" w:rsidRPr="00DC2CA9" w:rsidRDefault="00025F1F" w:rsidP="00025F1F">
      <w:pPr>
        <w:pStyle w:val="NormalHanging"/>
      </w:pPr>
      <w:r w:rsidRPr="00DC2CA9">
        <w:t>D.</w:t>
      </w:r>
      <w:r w:rsidRPr="00DC2CA9">
        <w:tab/>
        <w:t>mając na uwadze, że w przeszłości nadmiernie rygorystyczne podejście państw członkowskich do kwestii transferów wewnątrz UE i kontroli wywozu miało szczególnie niekorzystny wpływ na przedsiębiorstwa z sektora obronnego pochodzące z mniejszych państw członkowskich, co pokazuje, w jaki sposób jeden punkt newralgiczny może zakłócić funkcjonowanie łańcuchów dostaw w całej UE; mając na uwadze, że MŚP napotykają szczególne bariery wejścia na rynki obrony; mając na uwadze, że w obecnych unijnych regułach konkurencji i ramach w zakresie pomocy państwa brakuje szczegółowych przepisów dotyczących wspólnych transgranicznych projektów obronnych, co może utrudniać współpracę przemysłową i konsolidację; mając na uwadze, że nie istnieje żadne szczególne wyłączenie grupowe ani podobny mechanizm ułatwiający realizację projektów obronnych finansowanych przy pomocy unijnych instrumentów finansowych, co skutkuje niepewnością prawną w przypadku przedsiębiorstw zaangażowanych we wspólne prace badawcze i rozwojowe; mając na uwadze, że brak odpowiednich ram własności intelektualnej i zasad wydawania licencji na badania i rozwój w dziedzinie obronności finansowane ze środków publicznych ogranicza produkcję certyfikowanych modeli europejskich i pogarsza skuteczność instrumentów wspólnego udzielania zamówień;</w:t>
      </w:r>
    </w:p>
    <w:p w14:paraId="08ECFAFB" w14:textId="77777777" w:rsidR="00025F1F" w:rsidRPr="00DC2CA9" w:rsidRDefault="00025F1F" w:rsidP="00025F1F">
      <w:pPr>
        <w:pStyle w:val="NormalHanging"/>
      </w:pPr>
      <w:r w:rsidRPr="00DC2CA9">
        <w:t>E.</w:t>
      </w:r>
      <w:r w:rsidRPr="00DC2CA9">
        <w:tab/>
        <w:t xml:space="preserve">mając na uwadze, że europejski przemysł obronny boryka się z poważnym niedoborem wykwalifikowanych pracowników i starzejącą się siłą roboczą, co grozi utrudnieniami w produkcji i zahamowaniem rozwoju; mając na uwadze, że różne krajowe wymogi w zakresie postępowań sprawdzających dla pracowników i przedsiębiorstw przemysłu </w:t>
      </w:r>
      <w:r w:rsidRPr="00DC2CA9">
        <w:lastRenderedPageBreak/>
        <w:t>obronnego uniemożliwiają zacieśnianie współpracy transgranicznej, ponieważ przedsiębiorstwa lub inżynierowie posiadający zezwolenie na dostęp do informacji niejawnych w jednym państwie członkowskim muszą przechodzić długotrwałą podwójną weryfikację w innych państwach członkowskich; mając na uwadze, że szybkie przyjmowanie i stosowanie innowacyjnych technologii przez europejskie siły zbrojne jest utrudnione ze względu na długie cykle rozwoju i wysoką awersję do ryzyka;</w:t>
      </w:r>
    </w:p>
    <w:p w14:paraId="06652609" w14:textId="77777777" w:rsidR="00025F1F" w:rsidRPr="00DC2CA9" w:rsidRDefault="00025F1F" w:rsidP="00025F1F">
      <w:pPr>
        <w:pStyle w:val="NormalHanging"/>
      </w:pPr>
      <w:r w:rsidRPr="00DC2CA9">
        <w:t>F.</w:t>
      </w:r>
      <w:r w:rsidRPr="00DC2CA9">
        <w:tab/>
        <w:t>mając na uwadze, że aby zwiększyć wsparcie publiczne dla tych inwestycji, zyski i korzyści gospodarcze należy rozłożyć w sposób zrównoważony i proporcjonalny w całej UE, uwzględniając specyfikę krajowych baz przemysłowych w dziedzinie obronności; mając na uwadze, że współpraca transgraniczna powinna również zapewniać sprawiedliwy i pełny udział MŚP i spółek o średniej kapitalizacji w łańcuchu wartości w dziedzinie obronności oraz wzmacniać spójność regionalną w całej UE; mając na uwadze, że inwestycje w dziedzinie obronności mogą przyczynić się do tworzenia wysokiej jakości miejsc pracy w wielu regionach, a tym samym pomóc w realizacji celów spójności;</w:t>
      </w:r>
    </w:p>
    <w:p w14:paraId="7170D93E" w14:textId="77777777" w:rsidR="00025F1F" w:rsidRPr="00DC2CA9" w:rsidRDefault="00025F1F" w:rsidP="00025F1F">
      <w:pPr>
        <w:pStyle w:val="NormalHanging"/>
      </w:pPr>
      <w:r w:rsidRPr="00DC2CA9">
        <w:t>G.</w:t>
      </w:r>
      <w:r w:rsidRPr="00DC2CA9">
        <w:tab/>
        <w:t>mając na uwadze, że ostatnie wydarzenia ujawniły ryzyko koncentracji łańcucha dostaw w europejskim sektorze obronnym, a krytyczne produkty związane z obronnością i nakłady na obronę często zależą od jednego dostawcy lub bardzo ograniczonej liczby dostawców; mając na uwadze, że taka koncentracja stwarza pojedyncze punkty niepowodzenia i podatności na zagrożenia w czasach kryzysu, co podkreśla pilną potrzebę dywersyfikacji i redundancji źródeł dostaw;</w:t>
      </w:r>
    </w:p>
    <w:p w14:paraId="114B25A6" w14:textId="77777777" w:rsidR="00025F1F" w:rsidRPr="00DC2CA9" w:rsidRDefault="00025F1F" w:rsidP="00025F1F">
      <w:pPr>
        <w:pStyle w:val="NormalHanging"/>
      </w:pPr>
      <w:r w:rsidRPr="00DC2CA9">
        <w:t>H.</w:t>
      </w:r>
      <w:r w:rsidRPr="00DC2CA9">
        <w:tab/>
        <w:t xml:space="preserve">mając na uwadze, że zgodnie ze sprawozdaniem </w:t>
      </w:r>
      <w:proofErr w:type="spellStart"/>
      <w:r w:rsidRPr="00DC2CA9">
        <w:t>Draghiego</w:t>
      </w:r>
      <w:proofErr w:type="spellEnd"/>
      <w:r w:rsidRPr="00DC2CA9">
        <w:t xml:space="preserve"> w 2022 r. europejskie zamówienia realizowane na zasadzie współpracy stanowiły jedynie 18% wydatków na zamówienia na sprzęt obronny, czyli znacznie poniżej poziomu odniesienia wynoszącego 35%, uzgodnionego w ramach Europejskiej Agencji Obrony; mając na uwadze, że celem politycznym UE jest, aby do 2030 r. co najmniej połowa jej sprzętu obronnego pochodziła z produkcji europejskiej;</w:t>
      </w:r>
    </w:p>
    <w:p w14:paraId="0AF00A2E" w14:textId="77777777" w:rsidR="00025F1F" w:rsidRPr="00DC2CA9" w:rsidRDefault="00025F1F" w:rsidP="00025F1F">
      <w:pPr>
        <w:pStyle w:val="NormalHanging"/>
      </w:pPr>
      <w:r w:rsidRPr="00DC2CA9">
        <w:t>I.</w:t>
      </w:r>
      <w:r w:rsidRPr="00DC2CA9">
        <w:tab/>
        <w:t>mając na uwadze, że utworzenie jednolitego rynku obrony jest docelowo środkiem służącym zagwarantowaniu Europie bezpieczeństwa i strategicznej autonomii, a nie celem samym w sobie; mając na uwadze, że integracja przemysłowa w dziedzinie obronności powinna służyć zdolności UE do ochrony jej obywateli i wartości, zapewnienia odporności i odstraszania oraz utrzymania swobody działania; mając na uwadze, że należy znaleźć równowagę między efektywnością rynku a koniecznością zagwarantowania suwerenności i solidarności;</w:t>
      </w:r>
    </w:p>
    <w:p w14:paraId="35C33504" w14:textId="77777777" w:rsidR="00025F1F" w:rsidRPr="00DC2CA9" w:rsidRDefault="00025F1F" w:rsidP="00025F1F">
      <w:pPr>
        <w:pStyle w:val="NormalHanging"/>
      </w:pPr>
      <w:r w:rsidRPr="00DC2CA9">
        <w:t>J.</w:t>
      </w:r>
      <w:r w:rsidRPr="00DC2CA9">
        <w:tab/>
        <w:t>mając na uwadze, że wspólne unijne planowanie zdolności, rozwój, produkcja i zamówienia w dziedzinie obronności umożliwiłyby poprawę wydajności i skuteczności inwestycji publicznych oraz zwiększyły korzyści przemysłowe i operacyjne, a tym samym wzrosłaby społeczna i polityczna akceptacja dla niezbędnego podwyższenia inwestycji w obronność w czasach ograniczonych środków budżetowych oraz znacznie poprawiłaby się zdolność UE i jej państw członkowskich do osiągnięcia pełnej gotowości obronnej przed 2030 r. i do utworzenia prawdziwej europejskiej unii obrony; mając na uwadze, że takie wspólne działania w UE powinny być skoordynowane z procesami planowania NATO i że należy unikać niepotrzebnego powielania działań;</w:t>
      </w:r>
    </w:p>
    <w:p w14:paraId="1CD5BE09" w14:textId="77777777" w:rsidR="00025F1F" w:rsidRPr="00DC2CA9" w:rsidRDefault="00025F1F" w:rsidP="00025F1F">
      <w:pPr>
        <w:pStyle w:val="NormalHanging"/>
      </w:pPr>
      <w:r w:rsidRPr="00DC2CA9">
        <w:lastRenderedPageBreak/>
        <w:t>K.</w:t>
      </w:r>
      <w:r w:rsidRPr="00DC2CA9">
        <w:tab/>
        <w:t>mając na uwadze, że państwa członkowskie rozważą zwiększenie inwestycji i zacieśnienie współpracy w ramach wspólnych projektów obronnych tylko wtedy, gdy projekty te będą dotyczyć rozwoju zdolności wojskowych będących przedmiotem wspólnego zainteresowania dla ich sił zbrojnych;</w:t>
      </w:r>
    </w:p>
    <w:p w14:paraId="4EE8221B" w14:textId="77777777" w:rsidR="00025F1F" w:rsidRPr="00DC2CA9" w:rsidRDefault="00025F1F" w:rsidP="00025F1F">
      <w:pPr>
        <w:pStyle w:val="NormalHanging"/>
      </w:pPr>
      <w:r w:rsidRPr="00DC2CA9">
        <w:t>L.</w:t>
      </w:r>
      <w:r w:rsidRPr="00DC2CA9">
        <w:tab/>
        <w:t>mając na uwadze, że UE przedstawiła szereg inicjatyw mających na celu wzmocnienie jej gotowości obronnej, poprawę warunków inwestycyjnych i zachęcanie do wspólnych działań, ale jak dotąd nie zaproponowała działań transformacyjnych niezbędnych do utworzenia prawdziwego jednolitego rynku produktów związanych z obronnością; mając na uwadze, że unijne przepisy dotyczące zamówień publicznych w dziedzinie obronności (dyrektywa 2009/81/WE) i transferów wewnątrz UE (dyrektywa 2009/43/WE) nie zostały jeszcze kompleksowo zaktualizowane pomimo znaczących zmian w kwestii bezpieczeństwa; mając na uwadze, że zainteresowane strony często uważają obie dyrektywy za zbyt złożone, a transpozycję w państwach członkowskich za powolną i problematyczną, co wymaga nieproporcjonalnych wysiłków administracyjnych i prowadzi do fragmentacji rynku wewnętrznego;</w:t>
      </w:r>
    </w:p>
    <w:p w14:paraId="3A71408C" w14:textId="77777777" w:rsidR="00025F1F" w:rsidRPr="00DC2CA9" w:rsidRDefault="00025F1F" w:rsidP="00025F1F">
      <w:pPr>
        <w:pStyle w:val="NormalHanging"/>
      </w:pPr>
      <w:r w:rsidRPr="00DC2CA9">
        <w:t>M.</w:t>
      </w:r>
      <w:r w:rsidRPr="00DC2CA9">
        <w:tab/>
        <w:t>mając na uwadze, że w kontekście rosnących zagrożeń geopolitycznych, w szczególności trwającej wojny napastniczej Rosji przeciwko Ukrainie, ataków hybrydowych i prowokacji wymierzonych w UE, a także terroryzmu i niestabilności na Bliskim Wschodzie i w Afryce 90% obywateli UE słusznie oczekuje zacieśnienia współpracy w UE w dziedzinie bezpieczeństwa i obrony, w tym również w ramach NATO oraz z innymi partnerami o podobnych poglądach, w celu ochrony obywateli oraz obrony interesów i wartości UE na arenie międzynarodowej; mając na uwadze, że coraz bardziej niestabilna sytuacja w zakresie bezpieczeństwa w bezpośrednim sąsiedztwie UE wymaga spójnej i skoordynowanej reakcji, w szczególności w celu zapewnienia nieograniczonego przepływu produktów i usług związanych z obronnością;</w:t>
      </w:r>
    </w:p>
    <w:p w14:paraId="25C6136D" w14:textId="77777777" w:rsidR="00025F1F" w:rsidRPr="00DC2CA9" w:rsidRDefault="00025F1F" w:rsidP="00025F1F">
      <w:pPr>
        <w:pStyle w:val="Normal12a"/>
      </w:pPr>
      <w:r w:rsidRPr="00DC2CA9">
        <w:rPr>
          <w:b/>
          <w:i/>
        </w:rPr>
        <w:t>Wizja jednolitego rynku obrony w Unii</w:t>
      </w:r>
    </w:p>
    <w:p w14:paraId="3AE40AE6" w14:textId="77777777" w:rsidR="00025F1F" w:rsidRPr="00DC2CA9" w:rsidRDefault="00025F1F" w:rsidP="00025F1F">
      <w:pPr>
        <w:pStyle w:val="NormalHanging12a"/>
      </w:pPr>
      <w:r w:rsidRPr="00DC2CA9">
        <w:t>1.</w:t>
      </w:r>
      <w:r w:rsidRPr="00DC2CA9">
        <w:tab/>
        <w:t xml:space="preserve">przypomina, że zgodnie ze sprawozdaniem </w:t>
      </w:r>
      <w:proofErr w:type="spellStart"/>
      <w:r w:rsidRPr="00DC2CA9">
        <w:t>Draghiego</w:t>
      </w:r>
      <w:proofErr w:type="spellEnd"/>
      <w:r w:rsidRPr="00DC2CA9">
        <w:t xml:space="preserve"> ściślejsza współpraca mogłaby doprowadzić do ogromnych oszczędności w zakresie efektywności, sięgających nawet 30% rocznych wydatków na obronność w całej UE, i znacznie poprawić skuteczność obecnych wydatków na obronność; podkreśla wynikające stąd szeroko rozumiane korzyści w zakresie konkurencyjności, odporności i suwerenności strategicznej UE, gdyż wiążą się z tym znaczące możliwości zatrudnienia, rozwój gospodarczy i wiodąca pozycja technologiczna całej UE; podkreśla, że prawdziwy jednolity rynek obrony ma kluczowe znaczenie dla wspierania konkurencyjności europejskich przedsiębiorstw nie tylko w UE, ale także na rynku światowym, gdzie muszą one konkurować m.in. z amerykańskimi potentatami;</w:t>
      </w:r>
    </w:p>
    <w:p w14:paraId="5982EC46" w14:textId="77777777" w:rsidR="00025F1F" w:rsidRPr="00DC2CA9" w:rsidRDefault="00025F1F" w:rsidP="00025F1F">
      <w:pPr>
        <w:pStyle w:val="NormalHanging12a"/>
      </w:pPr>
      <w:r w:rsidRPr="00DC2CA9">
        <w:t>2.</w:t>
      </w:r>
      <w:r w:rsidRPr="00DC2CA9">
        <w:tab/>
        <w:t xml:space="preserve">uważa, że dramatyczne wyzwania i zagrożenia stojące przed UE i jej państwami członkowskimi wymagają radykalnej zmiany myślenia, jeśli chodzi o współpracę i koordynację w kwestiach obronnych; podkreśla, że UE i jej państwa członkowskie muszą zasadniczo zmienić swoje rozumienie produkcji w przemyśle obronnym poprzez rozwój prawdziwie jednolitego rynku obrony, o co zaapelowano w sprawozdaniach </w:t>
      </w:r>
      <w:proofErr w:type="spellStart"/>
      <w:r w:rsidRPr="00DC2CA9">
        <w:t>Letty</w:t>
      </w:r>
      <w:proofErr w:type="spellEnd"/>
      <w:r w:rsidRPr="00DC2CA9">
        <w:t xml:space="preserve">, </w:t>
      </w:r>
      <w:proofErr w:type="spellStart"/>
      <w:r w:rsidRPr="00DC2CA9">
        <w:t>Draghiego</w:t>
      </w:r>
      <w:proofErr w:type="spellEnd"/>
      <w:r w:rsidRPr="00DC2CA9">
        <w:t xml:space="preserve"> i </w:t>
      </w:r>
      <w:proofErr w:type="spellStart"/>
      <w:r w:rsidRPr="00DC2CA9">
        <w:t>Niinistö</w:t>
      </w:r>
      <w:proofErr w:type="spellEnd"/>
      <w:r w:rsidRPr="00DC2CA9">
        <w:t xml:space="preserve">, a także w białej księdze w sprawie przyszłości obronności europejskiej; wzywa państwa członkowskie do przezwyciężenia nacjonalistycznych odruchów, jeśli chodzi o ich krajową bazę przemysłową, do głębszego zastanowienia się nad korzyściami współpracy obronnej na szczeblu UE podczas krajowego planowania obronnego oraz do uznania zasadniczej roli aktywnego wsparcia ze strony </w:t>
      </w:r>
      <w:r w:rsidRPr="00DC2CA9">
        <w:lastRenderedPageBreak/>
        <w:t>instytucji i agencji UE na rzecz ułatwiania i koordynacji takiej współpracy przy jednoczesnym wzmacnianiu wzajemnego zaufania między wszystkimi zainteresowanymi stronami;</w:t>
      </w:r>
    </w:p>
    <w:p w14:paraId="0EAF27A7" w14:textId="77777777" w:rsidR="00025F1F" w:rsidRPr="00DC2CA9" w:rsidRDefault="00025F1F" w:rsidP="00025F1F">
      <w:pPr>
        <w:pStyle w:val="NormalHanging12a"/>
      </w:pPr>
      <w:r w:rsidRPr="00DC2CA9">
        <w:t>3.</w:t>
      </w:r>
      <w:r w:rsidRPr="00DC2CA9">
        <w:tab/>
        <w:t>podkreśla, że jedynie prawdziwy jednolity rynek obrony może zapewnić środki niezbędne do rzeczywistego ustanowienia i utrzymania konkurencyjnej, innowacyjnej i odpornej europejskiej bazy technologiczno-przemysłowej sektora obronnego, która będzie w stanie dostarczać potrzebny sprzęt w wymaganych terminach i na wymaganą skalę oraz uwolnić swój pełny potencjał gospodarczy, przemysłowy i finansowy; podkreśla, że prawdziwy jednolity rynek obrony ma zasadnicze znaczenie, aby wyeliminować braki w zdolnościach i przywrócić zdolność odstraszania, wobec czego jest niezbędnym fundamentem silnej, suwerennej i konkurencyjnej Unii;</w:t>
      </w:r>
    </w:p>
    <w:p w14:paraId="7090EC8F" w14:textId="77777777" w:rsidR="00025F1F" w:rsidRPr="00DC2CA9" w:rsidRDefault="00025F1F" w:rsidP="00025F1F">
      <w:pPr>
        <w:pStyle w:val="NormalHanging12a"/>
      </w:pPr>
      <w:r w:rsidRPr="00DC2CA9">
        <w:t>4.</w:t>
      </w:r>
      <w:r w:rsidRPr="00DC2CA9">
        <w:tab/>
        <w:t xml:space="preserve">wzywa państwa członkowskie i Komisję do szybkiego działania i stworzenia prawdziwego jednolitego rynku obrony przy uwzględnieniu zarówno strony podaży, jak i strony popytu; przypomina, że pilnie potrzebna jest agregacja popytu poprzez wspólne zamówienia i zarządzanie cyklem życia, uproszczenie przepisów i transgraniczna integracja przemysłowa na szczeblu UE, aby wyeliminować takie bariery i zmniejszyć zależność od państw spoza UE, na co wskazano w sprawozdaniach </w:t>
      </w:r>
      <w:proofErr w:type="spellStart"/>
      <w:r w:rsidRPr="00DC2CA9">
        <w:t>Letty</w:t>
      </w:r>
      <w:proofErr w:type="spellEnd"/>
      <w:r w:rsidRPr="00DC2CA9">
        <w:t xml:space="preserve"> i </w:t>
      </w:r>
      <w:proofErr w:type="spellStart"/>
      <w:r w:rsidRPr="00DC2CA9">
        <w:t>Draghiego</w:t>
      </w:r>
      <w:proofErr w:type="spellEnd"/>
      <w:r w:rsidRPr="00DC2CA9">
        <w:t>;</w:t>
      </w:r>
    </w:p>
    <w:p w14:paraId="02D02150" w14:textId="77777777" w:rsidR="00025F1F" w:rsidRPr="00DC2CA9" w:rsidRDefault="00025F1F" w:rsidP="00025F1F">
      <w:pPr>
        <w:pStyle w:val="NormalHanging12a"/>
      </w:pPr>
      <w:r w:rsidRPr="00DC2CA9">
        <w:t>5.</w:t>
      </w:r>
      <w:r w:rsidRPr="00DC2CA9">
        <w:tab/>
        <w:t>przypomina, jak ważna jest legitymacja demokratyczna, zaufanie publiczne do instytucji, rozliczalność i przejrzystość w celu uzyskania niezbędnego poparcia publicznego dla zwiększonych wydatków w dziedzinie obronności; podkreśla, jak ważne jest zagwarantowanie sprawiedliwego i zrównoważonego podziału w całej UE kosztów i korzyści wynikających z gwałtownego wzrostu europejskich wydatków na obronność;</w:t>
      </w:r>
    </w:p>
    <w:p w14:paraId="059ABB2E" w14:textId="77777777" w:rsidR="00025F1F" w:rsidRPr="00AE2BFA" w:rsidRDefault="00025F1F" w:rsidP="00025F1F">
      <w:pPr>
        <w:pStyle w:val="Normal12a"/>
        <w:rPr>
          <w:b/>
          <w:bCs/>
        </w:rPr>
      </w:pPr>
      <w:r w:rsidRPr="00AE2BFA">
        <w:rPr>
          <w:b/>
          <w:bCs/>
          <w:i/>
        </w:rPr>
        <w:t>Bariery na drodze ku jednolitemu rynkowi obronnemu</w:t>
      </w:r>
    </w:p>
    <w:p w14:paraId="1C0B8146" w14:textId="77777777" w:rsidR="00025F1F" w:rsidRPr="00DC2CA9" w:rsidRDefault="00025F1F" w:rsidP="00025F1F">
      <w:pPr>
        <w:pStyle w:val="NormalHanging12a"/>
      </w:pPr>
      <w:r w:rsidRPr="00DC2CA9">
        <w:t>6.</w:t>
      </w:r>
      <w:r w:rsidRPr="00DC2CA9">
        <w:tab/>
        <w:t>podkreśla, że obecna struktura przemysłu obronnego prowadzi do niepotrzebnego powielania, zewnętrznej zależności i nieefektywności oraz utrudnia wzmocnienie europejskiej bazy technologiczno-przemysłowej sektora obronnego i poprawę gotowości obronnej UE; podkreśla, że w połączeniu z niedoinwestowaniem i brakiem programowania w zakresie długoterminowych wydatków obronnych fragmentacja ta uniemożliwia osiągnięcie korzyści skali, jakie mogłyby wyniknąć z połączenia zamówień na sprzęt obronny i jego produkcji w przedsiębiorstwach europejskich; podkreśla zasadniczą potrzebę zaradzenia rozdrobnieniu w przemyśle obronnym UE, wykorzystania potencjalnych korzyści skali oraz lepszego zrozumienia barier utrudniających funkcjonowanie jednolitego rynku obrony; podkreśla, że jednolity rynek obrony musi gwarantować równe możliwości uczestnictwa dla przemysłu i organizacji badawczych, w tym przedsiębiorstw typu start-</w:t>
      </w:r>
      <w:proofErr w:type="spellStart"/>
      <w:r w:rsidRPr="00DC2CA9">
        <w:t>up</w:t>
      </w:r>
      <w:proofErr w:type="spellEnd"/>
      <w:r w:rsidRPr="00DC2CA9">
        <w:t>, ze wszystkich państw członkowskich, w tym mniejszych gospodarek, i nie powinien skutkować nadmiernie scentralizowanym modelem przemysłu obronnego; podkreśla, że taka struktura rynku przyczynia się do spójności gospodarczej poprzez tworzenie wysokiej jakości miejsc pracy w produkcji oraz w dziedzinie badań i rozwoju w różnych regionach UE, w tym w regionach słabiej rozwiniętych gospodarczo; zauważa ponadto, że taka dywersyfikacja geograficzna przyczynia się do odporności i bezpieczeństwa dostaw, a także pomaga uniknąć monopoli i niekorzystnej sytuacji dla MŚP i spółek o średniej kapitalizacji;</w:t>
      </w:r>
    </w:p>
    <w:p w14:paraId="006B0F53" w14:textId="77777777" w:rsidR="00025F1F" w:rsidRPr="00DC2CA9" w:rsidRDefault="00025F1F" w:rsidP="00025F1F">
      <w:pPr>
        <w:pStyle w:val="NormalHanging12a"/>
      </w:pPr>
      <w:r w:rsidRPr="00DC2CA9">
        <w:lastRenderedPageBreak/>
        <w:t>7.</w:t>
      </w:r>
      <w:r w:rsidRPr="00DC2CA9">
        <w:tab/>
        <w:t>ubolewa nad brakiem wyników obecnego skoordynowanego planowania zdolności i skoordynowanych wydatków na produkty związane z obronnością w całej UE, co doprowadziło do rozbieżnych zasad i kryteriów kwalifikowalności oraz nieefektywnego wydatkowania środków, spowodowało niepewność prawa i często skłania państwa członkowskie do priorytetowego traktowania współpracy dwustronnej z państwami spoza UE; ubolewa, że priorytety ustalane na szczeblu krajowym często uniemożliwiają owocną współpracę na szczeblu UE;</w:t>
      </w:r>
    </w:p>
    <w:p w14:paraId="26379086" w14:textId="77777777" w:rsidR="00025F1F" w:rsidRPr="00DC2CA9" w:rsidRDefault="00025F1F" w:rsidP="00025F1F">
      <w:pPr>
        <w:pStyle w:val="NormalHanging12a"/>
      </w:pPr>
      <w:r w:rsidRPr="00DC2CA9">
        <w:t>8.</w:t>
      </w:r>
      <w:r w:rsidRPr="00DC2CA9">
        <w:tab/>
        <w:t>ubolewa nad utrzymującym się brakiem wzajemnego zaufania między państwami członkowskimi, czego wyrazem jest m.in. niechęć do tworzenia regionalnych centrów kompetencji przemysłowych, ograniczona współpraca transgraniczna i ograniczone wspólne planowanie zdolności, niewystarczający poziom wewnątrzunijnych zamówień na towary i usługi związane z obronnością oraz powielane lub ostrożnościowe ograniczenia w odniesieniu do wewnątrzunijnych transferów wyposażenia obronnego, co utrudnia rozwój w pełni zintegrowanych europejskich łańcuchów dostaw i stanowi istotną przeszkodę dla rozwoju prawdziwego jednolitego rynku obrony;</w:t>
      </w:r>
    </w:p>
    <w:p w14:paraId="3CB02AB4" w14:textId="77777777" w:rsidR="00025F1F" w:rsidRPr="00DC2CA9" w:rsidRDefault="00025F1F" w:rsidP="00025F1F">
      <w:pPr>
        <w:pStyle w:val="NormalHanging12a"/>
      </w:pPr>
      <w:r w:rsidRPr="00DC2CA9">
        <w:t>9.</w:t>
      </w:r>
      <w:r w:rsidRPr="00DC2CA9">
        <w:tab/>
        <w:t>uważa, że obecne ramy prawne UE nie stwarzają warunków dla zamówień na towary o szybkich cyklach innowacji, np. w dziedzinie rozwoju dronów; wyraża zaniepokojenie, że jednolitemu rynkowi obrony nadal szkodzi niewystarczająca harmonizacja, jeśli chodzi o stosowanie jego przepisów przez państwa członkowskie, oraz zbyt częste stosowanie wyłączenia przewidzianego w art. 346 TFUE, co utrudnia wspólne unijne zamówienia w dziedzinie obronności; podkreśla potrzebę specjalnego wsparcia dla małych i średnich przedsiębiorstw oraz małych spółek o średniej kapitalizacji w celu ułatwienia im współpracy w ramach łańcucha dostaw przemysłu obronnego w celu zwiększenia innowacji przy jednoczesnym tworzeniu nadmiarowych zdolności w przemyśle, które zwiększają odporność UE i bezpieczeństwo dostaw;</w:t>
      </w:r>
    </w:p>
    <w:p w14:paraId="4D6303B2" w14:textId="77777777" w:rsidR="00025F1F" w:rsidRPr="00DC2CA9" w:rsidRDefault="00025F1F" w:rsidP="00025F1F">
      <w:pPr>
        <w:pStyle w:val="NormalHanging12a"/>
      </w:pPr>
      <w:r w:rsidRPr="00DC2CA9">
        <w:t>10.</w:t>
      </w:r>
      <w:r w:rsidRPr="00DC2CA9">
        <w:tab/>
        <w:t>wyraża zaniepokojenie, że jednolitemu rynkowi obrony nadal szkodzi niewystarczająca harmonizacja, jeśli chodzi o stosowanie jego przepisów przez państwa członkowskie; jest zaniepokojony w szczególności częstym stosowaniem art. 346 TFUE, w związku z czym Trybunał Sprawiedliwości Unii Europejskiej w kilku sprawach orzekł, że jest on wykorzystywany w sposób nieuzasadniony, a tym samym nadużywany; podkreśla potrzebę przyjęcia podejścia polegającego na ochronie istotnych interesów bezpieczeństwa UE z uwagi na obecną sytuację geopolityczną i zagrożenia dla jedności UE;</w:t>
      </w:r>
    </w:p>
    <w:p w14:paraId="6A91A85E" w14:textId="77777777" w:rsidR="00025F1F" w:rsidRPr="00DC2CA9" w:rsidRDefault="00025F1F" w:rsidP="00025F1F">
      <w:pPr>
        <w:pStyle w:val="NormalHanging12a"/>
      </w:pPr>
      <w:r w:rsidRPr="00DC2CA9">
        <w:t>11.</w:t>
      </w:r>
      <w:r w:rsidRPr="00DC2CA9">
        <w:tab/>
        <w:t>uważa, że pełne przestrzeganie przez państwa członkowskie wspólnego stanowiska UE w sprawie wywozu broni</w:t>
      </w:r>
      <w:r w:rsidRPr="00DC2CA9">
        <w:rPr>
          <w:rStyle w:val="FootnoteReference"/>
        </w:rPr>
        <w:footnoteReference w:customMarkFollows="1" w:id="13"/>
        <w:t>13</w:t>
      </w:r>
      <w:r w:rsidRPr="00DC2CA9">
        <w:t xml:space="preserve"> stanowi ważny element sprawnie działającego jednolitego rynku obrony; uważa, że brak zharmonizowanego unijnego systemu kontroli wywozu oraz brak procedur wzajemnego uznawania różnych zezwoleń, licencji, certyfikatów i poświadczeń bezpieczeństwa nadal utrudnia funkcjonowanie jednolitego rynku obrony, gdyż ma to wpływ na transfery wewnątrzunijne; przypomina, że obecnie produkcja obronna w dużym stopniu opiera się na zintegrowanych transgranicznych łańcuchach dostaw w UE, w ramach których komponenty pochodzą z wielu państw członkowskich, co w przypadku zablokowania eksportu powoduje niepewność w przemyśle i w obrębie łańcuchów dostaw; podkreśla potrzebę praktycznego rozwiązania uwzględniającego </w:t>
      </w:r>
      <w:r w:rsidRPr="00DC2CA9">
        <w:lastRenderedPageBreak/>
        <w:t>rzeczywistość obecnej zależności od państw spoza UE, także z uwagi na rosnące znaczenie surowców krytycznych dla europejskiej bazy technologiczno-przemysłowej sektora obronnego oraz potencjalne narażenie na środki przymusu stosowane przez państwa spoza UE; podkreśla, że bez zagwarantowania i zaplanowania dostępu do surowców, takich jak metale ziem rzadkich, półprzewodniki i metale wysokiej jakości, nie będzie możliwe osiągnięcie ambitnych celów Europy w zakresie wzmocnienia obronności i autonomii strategicznej;</w:t>
      </w:r>
    </w:p>
    <w:p w14:paraId="70F4FCC8" w14:textId="77777777" w:rsidR="00025F1F" w:rsidRPr="00DC2CA9" w:rsidRDefault="00025F1F" w:rsidP="00025F1F">
      <w:pPr>
        <w:pStyle w:val="NormalHanging12a"/>
      </w:pPr>
      <w:r w:rsidRPr="00DC2CA9">
        <w:t>12.</w:t>
      </w:r>
      <w:r w:rsidRPr="00DC2CA9">
        <w:tab/>
        <w:t>podkreśla, że koordynacja procesów rozwoju zdolności obronnych UE i państw członkowskich oraz procesu planowania i przeglądu obrony NATO ma zasadnicze znaczenie dla zapewnienia spójności i interoperacyjności między państwami członkowskimi a sojusznikami NATO nienależącymi do UE; ubolewa z powodu braku umowy o współpracy między NATO a UE, poświęconej wymianie informacji na temat standardów NATO (porozumienia standaryzacyjne), którą UE mogłaby egzekwować dzięki wiążącym instrumentom; podkreśla, że w ostatnich dziesięcioleciach niewydolność egzekwowania standardów prowadziła do nieefektywności, powielania działań i braku interoperacyjności i nadal stanowi problem;</w:t>
      </w:r>
    </w:p>
    <w:p w14:paraId="01926E4F" w14:textId="77777777" w:rsidR="00025F1F" w:rsidRPr="00DC2CA9" w:rsidRDefault="00025F1F" w:rsidP="00025F1F">
      <w:pPr>
        <w:pStyle w:val="Normal12a"/>
      </w:pPr>
      <w:r w:rsidRPr="00DC2CA9">
        <w:rPr>
          <w:b/>
          <w:i/>
        </w:rPr>
        <w:t>Eliminowanie barier</w:t>
      </w:r>
    </w:p>
    <w:p w14:paraId="699E84AB" w14:textId="77777777" w:rsidR="00025F1F" w:rsidRPr="00DC2CA9" w:rsidRDefault="00025F1F" w:rsidP="00025F1F">
      <w:pPr>
        <w:pStyle w:val="NormalHanging12a"/>
      </w:pPr>
      <w:r w:rsidRPr="00DC2CA9">
        <w:t>13.</w:t>
      </w:r>
      <w:r w:rsidRPr="00DC2CA9">
        <w:tab/>
        <w:t xml:space="preserve">wzywa Radę i Komisję do przeznaczenia w kolejnych wieloletnich ramach finansowych wystarczających środków finansowych na unijne programy obronne, aby skutecznie zachęcić państwa członkowskie do wspólnego rozwijania zdolności i do wspólnych zamówień, a ich przemysł obronny skłonić do ściślejszej współpracy transgranicznej; podkreśla potencjał nowych ram, takich jak europejskie projekty obronne będące przedmiotem wspólnego zainteresowania, w tym cztery sztandarowe projekty zaproponowane w Planie działania na rzecz gotowości obronnej do 2030 r., i struktury na potrzeby europejskich programów w dziedzinie uzbrojenia, w zakresie realizacji tych celów przy pomocy wystarczającego finansowania długoterminowego; podkreśla, że środki finansowe w pierwszej kolejności należy przeznaczać na projekty o wyraźnej europejskiej wartości dodanej, a także na interoperacyjność, długoterminową </w:t>
      </w:r>
      <w:proofErr w:type="spellStart"/>
      <w:r w:rsidRPr="00DC2CA9">
        <w:t>zrównoważoność</w:t>
      </w:r>
      <w:proofErr w:type="spellEnd"/>
      <w:r w:rsidRPr="00DC2CA9">
        <w:t xml:space="preserve"> przemysłową i w celu osiągnięcia skutków operacyjnych;</w:t>
      </w:r>
    </w:p>
    <w:p w14:paraId="01548844" w14:textId="77777777" w:rsidR="00025F1F" w:rsidRPr="00DC2CA9" w:rsidRDefault="00025F1F" w:rsidP="00025F1F">
      <w:pPr>
        <w:pStyle w:val="NormalHanging12a"/>
      </w:pPr>
      <w:r w:rsidRPr="00DC2CA9">
        <w:t>14.</w:t>
      </w:r>
      <w:r w:rsidRPr="00DC2CA9">
        <w:tab/>
        <w:t>zwraca uwagę na obecne ograniczone zdolności produkcyjne europejskiego przemysłu obronnego, które się jednak powiększają, i wzywa państwa członkowskie do dokonywania zakupów na rynku europejskim, czyli do podejścia, w ramach którego priorytet mają wspólne zamówienia i większa produkcja produktów obronnych w ramach europejskiej bazy technologiczno-przemysłowej sektora obronnego, w Ukrainie, w państwach Europejskiego Obszaru Gospodarczego i Europejskiego Stowarzyszenia Wolnego Handlu (EFTA), a w drugiej kolejności dodatkowo w innych państwach spoza UE, z którymi UE podpisała partnerstwo na rzecz bezpieczeństwa i obrony, ponieważ zapewniłoby to europejskiej bazie technologiczno-przemysłowej sektora obronnego przewidywalną wielkość zamówień, pobudziło prywatne inwestycje w badania i rozwój w zakresie produktów związanych z obronnością oraz pomogło europejskiej bazie technologiczno-przemysłowej sektora obronnego dostarczać innowacyjne produkty obronne w wystarczających ilościach; wzywa państwa członkowskie do podpisywania umów, które sygnalizowałyby stabilny średnio- i długoterminowy zagregowany popyt na produkty europejskie, tak aby zagwarantować pewność inwestycyjną, której europejska baza technologiczno-przemysłowa sektora obronnego potrzebuje, aby się rozwijać;</w:t>
      </w:r>
    </w:p>
    <w:p w14:paraId="22FC461D" w14:textId="77777777" w:rsidR="00025F1F" w:rsidRPr="00DC2CA9" w:rsidRDefault="00025F1F" w:rsidP="00025F1F">
      <w:pPr>
        <w:pStyle w:val="NormalHanging12a"/>
      </w:pPr>
      <w:r w:rsidRPr="00DC2CA9">
        <w:lastRenderedPageBreak/>
        <w:t>15.</w:t>
      </w:r>
      <w:r w:rsidRPr="00DC2CA9">
        <w:tab/>
        <w:t>wzywa UE i jej państwa członkowskie do traktowania Ukrainy w jak największym stopniu jako integralnej części jednolitego rynku obrony poprzez ułatwianie partnerstw na szczeblu przemysłowym, dostęp do wspólnych mechanizmów zamówień publicznych i udział w unijnych programach takich jak Europejski Fundusz Obronny i specjalny Instrument Wsparcia Ukrainy w ramach programu na rzecz europejskiego przemysłu obronnego, aby umożliwić Ukrainie stopniową integrację z łańcuchami dostaw w obrębie europejskiej bazy technologiczno-przemysłowej sektora obronnego, gdyż przyszłość Ukrainy leży w UE, a jej integracja przyniesie korzyści zarówno europejskiej bazie technologiczno-przemysłowej sektora obronnego, mianowicie dzięki zaawansowanym ukraińskim technologiom obronnym sprawdzonym na polu walki i innowacyjnym zdolnościom przemysłu, jak i ukraińskiej bazie technologiczno-przemysłowej;</w:t>
      </w:r>
    </w:p>
    <w:p w14:paraId="431A7CDC" w14:textId="77777777" w:rsidR="00025F1F" w:rsidRPr="00DC2CA9" w:rsidRDefault="00025F1F" w:rsidP="00025F1F">
      <w:pPr>
        <w:pStyle w:val="NormalHanging12a"/>
      </w:pPr>
      <w:r w:rsidRPr="00DC2CA9">
        <w:t>16.</w:t>
      </w:r>
      <w:r w:rsidRPr="00DC2CA9">
        <w:tab/>
        <w:t>uważa, że należy znacznie usprawnić wdrażanie dyrektywy 2009/81/WE w sprawie zamówień w dziedzinie obronności i newralgicznych zamówień w dziedzinie bezpieczeństwa, i wzywa Komisję do zaproponowania ambitnych zmian; podkreśla, że pożytecznym rozwiązaniem jest umożliwienie państwom członkowskim wzajemnego korzystania z ich umów ramowych w celu poprawy gotowości obronnej UE w perspektywie krótkoterminowej, ponieważ umożliwi im to szybsze i wydajniejsze udzielanie zamówień, a jednocześnie oczekuje, że w perspektywie długoterminowej zamówienia będą od samego początku realizowane na podstawie wspólnych umów ramowych opracowanych zgodnie z europejskimi kryteriami udzielania zamówień;</w:t>
      </w:r>
      <w:r w:rsidRPr="00DC2CA9">
        <w:rPr>
          <w:b/>
        </w:rPr>
        <w:t xml:space="preserve"> </w:t>
      </w:r>
      <w:r w:rsidRPr="00DC2CA9">
        <w:t>wzywa państwa członkowskie do stosowania różnych form umów przewidujących innowacje, konkurencję i prywatne inwestycje kapitałowe przy jednoczesnym zagwarantowaniu pełnej zgodności z zasadami konkurencji, wymogami uczciwości i standardami antykorupcyjnymi, a także przypomina, że europejskie rynki kapitałowe odgrywają kluczową rolę w finansowaniu innowacji obronnych; uważa ponadto, że podczas przeglądów dyrektywy 2014/24/UE w sprawie zamówień publicznych</w:t>
      </w:r>
      <w:r w:rsidRPr="00DC2CA9">
        <w:rPr>
          <w:rStyle w:val="FootnoteReference"/>
        </w:rPr>
        <w:footnoteReference w:customMarkFollows="1" w:id="14"/>
        <w:t>14</w:t>
      </w:r>
      <w:r w:rsidRPr="00DC2CA9">
        <w:t xml:space="preserve"> należy uwzględniać aspekty związane z bezpieczeństwem i obroną, takie jak obecność komponentów cywilnych w towarach wojskowych; w tym kontekście wzywa Komisję do przedstawienia zaktualizowanej wersji partnerstw na rzecz innowacji w dziedzinie obronności w ramach planowanego kompleksowego przeglądu dyrektywy 2009/81/WE, aby lepiej dostosować ten instrument do specyfiki rynku obronnego i obecnej trudnej sytuacji w zakresie bezpieczeństwa;</w:t>
      </w:r>
    </w:p>
    <w:p w14:paraId="6A34DD59" w14:textId="77777777" w:rsidR="00025F1F" w:rsidRPr="00DC2CA9" w:rsidRDefault="00025F1F" w:rsidP="00025F1F">
      <w:pPr>
        <w:pStyle w:val="NormalHanging12a"/>
      </w:pPr>
      <w:r w:rsidRPr="00DC2CA9">
        <w:t>17.</w:t>
      </w:r>
      <w:r w:rsidRPr="00DC2CA9">
        <w:tab/>
        <w:t>podkreśla, że stosując unijne zasady konkurencji i pomocy państwa, Komisja musi priorytetowo traktować jedność i integralność jednolitego rynku, aby nie powodować zakłóceń konkurencji i chronić równe warunki działania i spójność między państwami członkowskimi, a jednocześnie musi zwracać szczególną uwagę na mniejsze państwa członkowskie, których zdolności fiskalne do wspierania krajowego przemysłu obronnego są relatywnie bardziej ograniczone; podkreśla, że szerokie wykorzystanie dotacji krajowych do wspierania inwestycji w dziedzinie obronności grozi fragmentacją jednolitego rynku i erozją równych warunków działania dla przedsiębiorstw, zwłaszcza dla MŚP, w całej UE;</w:t>
      </w:r>
    </w:p>
    <w:p w14:paraId="091C8430" w14:textId="77777777" w:rsidR="00025F1F" w:rsidRPr="00DC2CA9" w:rsidRDefault="00025F1F" w:rsidP="00025F1F">
      <w:pPr>
        <w:pStyle w:val="NormalHanging12a"/>
      </w:pPr>
      <w:r w:rsidRPr="00DC2CA9">
        <w:t>18.</w:t>
      </w:r>
      <w:r w:rsidRPr="00DC2CA9">
        <w:tab/>
        <w:t xml:space="preserve">wzywa Komisję do wydania zalecenia dotyczącego interpretacji art. 346 TFUE w celu wypracowania zharmonizowanego i jednolitego podejścia w całej UE, </w:t>
      </w:r>
      <w:r w:rsidRPr="00DC2CA9">
        <w:lastRenderedPageBreak/>
        <w:t>uwzględniającego potrzebę ścisłej ochrony podstawowych interesów bezpieczeństwa państw członkowskich oraz stosowania art. 346 w drodze wyjątku i stosownie do obecnej rzeczywistości, w której architektura bezpieczeństwa w UE cechuje się współzależnością; uważa, że Komisja powinna mieć możliwość oceny ogólnego wdrożenia art. 346 TFUE w poszczególnych przypadkach, aby zaradzić wszelkim potencjalnym nadużyciom strukturalnym zgodnie z orzecznictwem TSUE i obecną rzeczywistością, w której architektura bezpieczeństwa w UE cechuje się współzależnością;</w:t>
      </w:r>
    </w:p>
    <w:p w14:paraId="2607EBA6" w14:textId="77777777" w:rsidR="00025F1F" w:rsidRPr="00DC2CA9" w:rsidRDefault="00025F1F" w:rsidP="00025F1F">
      <w:pPr>
        <w:pStyle w:val="NormalHanging12a"/>
      </w:pPr>
      <w:r w:rsidRPr="00DC2CA9">
        <w:t>19.</w:t>
      </w:r>
      <w:r w:rsidRPr="00DC2CA9">
        <w:tab/>
        <w:t xml:space="preserve">podkreśla potrzebę zapewnienia ukierunkowanego wsparcia, w szczególności w zakresie testowania prototypów nowych produktów, oraz priorytetowego traktowania inwestycji w technologie powstające i przełomowe; podkreśla wartość dodaną ścisłej współpracy z ukraińskimi podmiotami z sektora obronnego i technologicznego w tych wysoce innowacyjnych dziedzinach; podkreśla znaczenie ochrony rentowności finansowej przedsiębiorstw, w tym MŚP, które inwestują w takie innowacje; podkreśla, że konkretne środki powinny ułatwiać transgraniczną współpracę między MŚP, zwłaszcza w dziedzinie </w:t>
      </w:r>
      <w:proofErr w:type="spellStart"/>
      <w:r w:rsidRPr="00DC2CA9">
        <w:t>cyberbezpieczeństwa</w:t>
      </w:r>
      <w:proofErr w:type="spellEnd"/>
      <w:r w:rsidRPr="00DC2CA9">
        <w:t>, sztucznej inteligencji, technologii bezzałogowych i technologii podwójnego zastosowania, w oparciu o istniejące centra doskonałości w państwach członkowskich;</w:t>
      </w:r>
    </w:p>
    <w:p w14:paraId="18E7FA5A" w14:textId="77777777" w:rsidR="00025F1F" w:rsidRPr="00DC2CA9" w:rsidRDefault="00025F1F" w:rsidP="00025F1F">
      <w:pPr>
        <w:pStyle w:val="NormalHanging12a"/>
      </w:pPr>
      <w:r w:rsidRPr="00DC2CA9">
        <w:t>20.</w:t>
      </w:r>
      <w:r w:rsidRPr="00DC2CA9">
        <w:tab/>
        <w:t>wzywa państwa członkowskie i Komisję do ustanowienia europejskiej inicjatywy „Akcelerator innowacji obronnych”, analogicznie do modeli koncepcyjnych takich jak amerykańska Agencja Zaawansowanych Projektów Badawczych w Obszarze Obronności (DARPA) lub akcelerator innowacji obronnych NATO (DIANA), w ramach której to inicjatywy finansowano by projekty badawcze w dziedzinie obronności charakteryzujące się wysokim ryzykiem i możliwością wysokich zysków oraz umożliwiono szybką ścieżkę testowania i włączania przełomowych technologii do europejskich programów zdolności obronnych; zauważa, że istniejące instrumenty UE w zakresie badań i rozwoju, w tym Europejski Fundusz Obronny, unijny system innowacji w dziedzinie obronności (EUDIS) oraz centrum innowacji w dziedzinie obronności UE, pozostawiają prawo własności do wyników beneficjentom oraz przyznają Komisji i współfinansującym państwom członkowskim jedynie ograniczone prawa niezwiązane z produkcją; wzywa Komisję do opracowania odpowiedniego systemu własności intelektualnej, dostosowanego do poufnego charakteru kwestii związanych z obronnością, a jednocześnie wystarczająco atrakcyjnego zarówno dla krajowych ministerstw obrony, jak i dla przemysłu, aby program ten mógł zaspokajać potrzeby i realizować priorytety w zakresie zdolności;</w:t>
      </w:r>
    </w:p>
    <w:p w14:paraId="167C0745" w14:textId="77777777" w:rsidR="00025F1F" w:rsidRPr="00DC2CA9" w:rsidRDefault="00025F1F" w:rsidP="00025F1F">
      <w:pPr>
        <w:pStyle w:val="NormalHanging12a"/>
      </w:pPr>
      <w:r w:rsidRPr="00DC2CA9">
        <w:t>21.</w:t>
      </w:r>
      <w:r w:rsidRPr="00DC2CA9">
        <w:tab/>
        <w:t xml:space="preserve">podkreśla potrzebę uproszczenia przepisów i potrzebę wyeliminowania przeszkód utrudniających wewnątrzunijny transfer produktów obronnych, co obejmuje wzajemne uznawanie kryteriów i certyfikację oraz uproszczenie wniosków o uprzednią zgodę; ubolewa nad ograniczonym stosowaniem generalnych zezwoleń na transfer na mocy dyrektywy 2009/81/WE i nad powszechnym korzystaniem z indywidualnych zezwoleń oraz wzywa państwa członkowskie do wykorzystania wszystkich możliwości uproszczenia przepisów i zmniejszenia obciążeń administracyjnych w obecnych ramach prawnych; wzywa Komisję do pilnego przedstawienia wniosków mających na celu dalszą harmonizację wewnątrzunijnego transferu produktów związanych z obronnością, aby uprościć obrót takimi produktami w UE, a zwłaszcza do wyeliminowania wymogów dotyczących zezwoleń na komponenty, które już są lub mają być częścią produktu związanego z obronnością i jako takie nie podlegają transferowi ani nie mogą być eksportowane; ponadto wzywa państwa członkowskie do działań na rzecz </w:t>
      </w:r>
      <w:r w:rsidRPr="00DC2CA9">
        <w:lastRenderedPageBreak/>
        <w:t>osiągnięcia tego samego celu oraz do szybkiej transpozycji i wdrożenia środków zaproponowanych w pakiecie zbiorczym dotyczącym gotowości obronnej w odniesieniu do wewnątrzunijnych transferów produktów związanych z obronnością; wzywa państwa członkowskie do ścisłego przestrzegania wspólnego stanowiska UE w sprawie wywozu broni oraz do zbadania, czy możliwa jest dalsza harmonizacja przepisów dotyczących wywozu towarów związanych z obronnością; jako ewentualne punkty wyjścia proponuje harmonizację systemów kontroli wywozu, rozszerzenie zakresu stosowania generalnych zezwoleń na transfer lub stosowanie traktatu z Akwizgranu oraz wzmocnienie dyrektywy ICT</w:t>
      </w:r>
      <w:r w:rsidRPr="00DC2CA9">
        <w:rPr>
          <w:rStyle w:val="FootnoteReference"/>
        </w:rPr>
        <w:footnoteReference w:customMarkFollows="1" w:id="15"/>
        <w:t>15</w:t>
      </w:r>
      <w:r w:rsidRPr="00DC2CA9">
        <w:t xml:space="preserve"> w celu ułatwienia transferu produktów związanych z obronnością w obrębie UE;</w:t>
      </w:r>
    </w:p>
    <w:p w14:paraId="2F2F9ADD" w14:textId="77777777" w:rsidR="00025F1F" w:rsidRPr="00DC2CA9" w:rsidRDefault="00025F1F" w:rsidP="00025F1F">
      <w:pPr>
        <w:pStyle w:val="NormalHanging12a"/>
      </w:pPr>
      <w:r w:rsidRPr="00DC2CA9">
        <w:t>22.</w:t>
      </w:r>
      <w:r w:rsidRPr="00DC2CA9">
        <w:tab/>
        <w:t>wzywa Komisję, Europejską Agencję Obrony i państwa członkowskie do opracowania systemu wzajemnego uznawania poświadczeń i certyfikatów bezpieczeństwa, tak aby poświadczenia wydane w jednym państwie członkowskim były akceptowane również w innych państwach członkowskich; proponuje powołanie dobrowolnej konwencji ds. umów o wzajemnym uznawaniu, poświęconej poświadczeniom bezpieczeństwa między państwami członkowskimi, przy czym na mocy takiej umowy przedsiębiorstwo lub osoba fizyczna posiadająca krajowe poświadczenie bezpieczeństwa w jednym państwie członkowskim uzyskałaby uznanie tego poświadczenia przez inne państwa, które przystąpiłyby do umowy, z zastrzeżeniem odpowiedniej wymiany informacji i nadzoru; zwraca się do Europejskiej Agencji Obrony o ułatwienie opracowania tych ram i wzywa państwa członkowskie do ich szybkiego przyjęcia;</w:t>
      </w:r>
    </w:p>
    <w:p w14:paraId="5054DDFC" w14:textId="77777777" w:rsidR="00025F1F" w:rsidRPr="00DC2CA9" w:rsidRDefault="00025F1F" w:rsidP="00025F1F">
      <w:pPr>
        <w:pStyle w:val="NormalHanging12a"/>
      </w:pPr>
      <w:r w:rsidRPr="00DC2CA9">
        <w:t>23.</w:t>
      </w:r>
      <w:r w:rsidRPr="00DC2CA9">
        <w:tab/>
        <w:t>podkreśla konieczność wzmocnienia odporności europejskich łańcuchów dostaw w dziedzinie obronności oraz ograniczenia liczby pojedynczych punktów grożących niepowodzeniem i narażeniem na potencjalne środki przymusu ze strony państw spoza UE, czego przykładem są groźby Chin dotyczące ograniczenia wywozu surowców; domaga się, aby podczas wdrażania europejskiego aktu w sprawie surowców krytycznych</w:t>
      </w:r>
      <w:r w:rsidRPr="00DC2CA9">
        <w:rPr>
          <w:rStyle w:val="FootnoteReference"/>
        </w:rPr>
        <w:footnoteReference w:customMarkFollows="1" w:id="16"/>
        <w:t>16</w:t>
      </w:r>
      <w:r w:rsidRPr="00DC2CA9">
        <w:t xml:space="preserve"> szczególną uwagę poświęcono potrzebom w zakresie obronności;</w:t>
      </w:r>
    </w:p>
    <w:p w14:paraId="62D4F43F" w14:textId="77777777" w:rsidR="00025F1F" w:rsidRPr="00DC2CA9" w:rsidRDefault="00025F1F" w:rsidP="00025F1F">
      <w:pPr>
        <w:pStyle w:val="NormalHanging12a"/>
      </w:pPr>
      <w:r w:rsidRPr="00DC2CA9">
        <w:t>24.</w:t>
      </w:r>
      <w:r w:rsidRPr="00DC2CA9">
        <w:tab/>
        <w:t xml:space="preserve">wzywa Komisję i państwa członkowskie do tworzenia zachęt do dywersyfikacji łańcuchów dostaw, w tym do udzielania wsparcia nowym podmiotom wchodzącym na rynek i MŚP; podkreśla, że dążenie do efektywności kosztowej nie może zagrażać bezpieczeństwu dostaw na szczeblu krajowym; wzywa Komisję do monitorowania ryzyka związanego z łańcuchem dostaw i identyfikowania obszarów niebezpiecznej koncentracji, a także do regularnego składania sprawozdań z postępów w zakresie dywersyfikacji dostaw; ponadto wzywa Komisję do podjęcia działań w sytuacjach, w których podwykonawcy z krajów spoza UE odmawiają dostawy materiałów, jeśli mają one być wykorzystane do celów wojskowych; podkreśla potrzebę stworzenia ram prawnych zapewniających wiarygodność umów w całym łańcuchu dostaw w dziedzinie obronności; wzywa Komisję do gromadzenia zapasów strategicznych zgodnie z </w:t>
      </w:r>
      <w:r w:rsidRPr="00DC2CA9">
        <w:lastRenderedPageBreak/>
        <w:t>europejską strategią na rzecz unii gotowości; podkreśla w związku z tym znaczenie systemu bezpieczeństwa dostaw ustanowionego w ramach programu na rzecz europejskiego przemysłu obronnego;</w:t>
      </w:r>
    </w:p>
    <w:p w14:paraId="1EAAFDB7" w14:textId="77777777" w:rsidR="00025F1F" w:rsidRPr="00DC2CA9" w:rsidRDefault="00025F1F" w:rsidP="00025F1F">
      <w:pPr>
        <w:pStyle w:val="NormalHanging12a"/>
      </w:pPr>
      <w:r w:rsidRPr="00DC2CA9">
        <w:t>25.</w:t>
      </w:r>
      <w:r w:rsidRPr="00DC2CA9">
        <w:tab/>
        <w:t>podkreśla potrzebę zadbania o to, aby produkcja przemysłu obronnego, inwestycje i tworzenie wartości były zrównoważone geograficznie i przyczyniały się do konwergencji gospodarczej i społecznej w UE, a jednocześnie zwiększały odporność dzięki dywersyfikacji geograficznej i odzwierciedlały realne zagrożenia dla bezpieczeństwa, przed jakimi stoją państwa członkowskie w swoim sąsiedztwie; wzywa do planowania inwestycji w obronność w taki sposób, aby wzmacniać spójność społeczną w regionach i państwach członkowskich oraz między nimi, a jednocześnie zwiększać odporność w czasach kryzysów obronnych, pod warunkiem że nie będzie to sprzeczne z takimi celami jak oszczędność kosztowa, szybkość i konkurencja;</w:t>
      </w:r>
    </w:p>
    <w:p w14:paraId="20D40D61" w14:textId="77777777" w:rsidR="00025F1F" w:rsidRPr="00DC2CA9" w:rsidRDefault="00025F1F" w:rsidP="00025F1F">
      <w:pPr>
        <w:pStyle w:val="NormalHanging12a"/>
      </w:pPr>
      <w:r w:rsidRPr="00DC2CA9">
        <w:t>26.</w:t>
      </w:r>
      <w:r w:rsidRPr="00DC2CA9">
        <w:tab/>
        <w:t>wzywa Komisję do wydania jasnych wytycznych dotyczących sposobu uwzględniania kwestii związanych z obronnością i bezpieczeństwem w decyzjach dotyczących kontroli połączeń przedsiębiorstw mających wpływ na europejską bazę technologiczno-przemysłową sektora obronnego w zgodzie z unijną polityką konkurencji; ponadto zwraca się do Komisji o zbadanie możliwości wprowadzenia konkretnych zmian w unijnych przepisach prawa konkurencji, aby wyjść naprzeciw specyficznym potrzebom przemysłu obronnego, takich jak ukierunkowane wyłączenie grupowe dla projektów badawczo-rozwojowych w dziedzinie obronności finansowanych z programów UE; podkreśla, że bezpieczeństwo dostaw i ograniczenie zależności strategicznych należy traktować jako kryteria dodatnie przy ocenie połączeń lub środków pomocy w sektorze obronnym;</w:t>
      </w:r>
    </w:p>
    <w:p w14:paraId="0212090D" w14:textId="77777777" w:rsidR="00025F1F" w:rsidRPr="00DC2CA9" w:rsidRDefault="00025F1F" w:rsidP="00025F1F">
      <w:pPr>
        <w:pStyle w:val="NormalHanging12a"/>
      </w:pPr>
      <w:r w:rsidRPr="00DC2CA9">
        <w:t>27.</w:t>
      </w:r>
      <w:r w:rsidRPr="00DC2CA9">
        <w:tab/>
        <w:t xml:space="preserve">podkreśla potrzebę bardziej proaktywnej roli UE w podtrzymywaniu inwestycji w technologie i produkty podwójnego zastosowania, w szczególności gdy stanowią one część łańcuchów dostaw produktów związanych z obronnością, w celu poprawy bezpieczeństwa dostaw i odporności UE na zagrożenia hybrydowe i pojawiające się zagrożenia; opowiada się za promowaniem cywilnej komercjalizacji tych technologii jako sposobu na rozszerzenie możliwości rynkowych, wywołanie pozytywnych efektów ubocznych i wzmocnienie europejskiej bazy technologiczno-przemysłowej sektora obronnego, co jednocześnie będzie sprzyjać synergii między rozwojem wojskowym a cywilnym; wzywa Komisję i państwa członkowskie do tworzenia zachęt do ograniczania łańcuchów dostaw najważniejszych czynników produkcji związanych z obronnością do terytorium UE, w tym poprzez wzmocniony instrument kapitałowy w dziedzinie obronności, skoncentrowany na późnym etapie komercjalizacji, finansowaniu rozszerzania działalności oraz dostępie MŚP do korytarzy testowych i </w:t>
      </w:r>
      <w:proofErr w:type="spellStart"/>
      <w:r w:rsidRPr="00DC2CA9">
        <w:t>cyberpoligonów</w:t>
      </w:r>
      <w:proofErr w:type="spellEnd"/>
      <w:r w:rsidRPr="00DC2CA9">
        <w:t>; podkreśla, że należy w pełni wykorzystać potencjał powstającego sektora New Space i jego innowacyjność w zakresie technologii podwójnego zastosowania w odniesieniu do rozwoju w dziedzinie obronności i rozwoju w domenie cywilnej;</w:t>
      </w:r>
    </w:p>
    <w:p w14:paraId="08F1DDCA" w14:textId="77777777" w:rsidR="00025F1F" w:rsidRPr="00DC2CA9" w:rsidRDefault="00025F1F" w:rsidP="00025F1F">
      <w:pPr>
        <w:pStyle w:val="NormalHanging12a"/>
      </w:pPr>
      <w:r w:rsidRPr="00DC2CA9">
        <w:t>28.</w:t>
      </w:r>
      <w:r w:rsidRPr="00DC2CA9">
        <w:tab/>
        <w:t xml:space="preserve">wzywa Komisję do oceny dostosowań prawnych, proceduralnych i regulacyjnych, które byłyby konieczne, aby zapewnić UE i jej państwom członkowskim możliwość szybkiego wdrożenia zasad dotyczących zamówień publicznych i produkcji w dziedzinie obronności w przypadku wojny lub poważnego kryzysu bezpieczeństwa bez zakłóceń na jednolitym rynku; ponadto wzywa Komisję do dopilnowania, aby uwzględniono przy tym kwestię bezpieczeństwa dostaw przewidzianą w programie na rzecz europejskiego przemysłu obronnego; podkreśla znaczenie gotowości w postaci </w:t>
      </w:r>
      <w:r w:rsidRPr="00DC2CA9">
        <w:lastRenderedPageBreak/>
        <w:t>ram awaryjnych dotyczących zamówień publicznych w sytuacjach nadzwyczajnych i zwiększenia produkcji przemysłowej, które to ramy w razie potrzeby można by szybko uruchomić;</w:t>
      </w:r>
    </w:p>
    <w:p w14:paraId="41D64C5A" w14:textId="77777777" w:rsidR="00025F1F" w:rsidRPr="00DC2CA9" w:rsidRDefault="00025F1F" w:rsidP="00025F1F">
      <w:pPr>
        <w:pStyle w:val="NormalHanging12a"/>
      </w:pPr>
      <w:r w:rsidRPr="00DC2CA9">
        <w:t>29.</w:t>
      </w:r>
      <w:r w:rsidRPr="00DC2CA9">
        <w:tab/>
        <w:t>uważa, że instytucje i agencje UE powinny wzmocnić swoją rolę pomocniczą, jeśli chodzi o koordynację między państwami członkowskimi, i z zadowoleniem przyjmuje wkład Europejskiej Agencji Obrony, w szczególności za pośrednictwem planu rozwoju zdolności i skoordynowanego rocznego przeglądu w zakresie obronności, podkreślając, że należy w pełni wykorzystać wiedzę fachową tej agencji; podkreśla kluczową rolę Europejskiej Agencji Obrony w propagowaniu jednolitego rynku obrony i w tym kontekście wzywa państwa członkowskie do wzmocnienia mandatu i zasobów agencji; opowiada się za większym zaangażowaniem agencji w inicjatywy obronne UE oraz w identyfikację utrzymujących się barier dla jednolitego rynku obrony; wzywa do dalszego rozwoju i umiejscowienia centrum innowacji w dziedzinie obronności w regionalnych strukturach agencji w celu rozszerzenia jego roli jako centralnej platformy łączącej MŚP, przedsiębiorstwa typu start-</w:t>
      </w:r>
      <w:proofErr w:type="spellStart"/>
      <w:r w:rsidRPr="00DC2CA9">
        <w:t>up</w:t>
      </w:r>
      <w:proofErr w:type="spellEnd"/>
      <w:r w:rsidRPr="00DC2CA9">
        <w:t>, ośrodki badawcze i głównych wykonawców; jest przekonany, że wzmocnienie agencji pomoże budować wzajemne zaufanie i zacieśniać współpracę, co jest niezbędne do rozwoju jednolitego rynku obrony, ponieważ pozycja Europejskiej Agencji Obrony jest wyjątkowa i umożliwia godzenie interesów krajowych i europejskich; z zadowoleniem przyjmuje również wkład wielostronnych agencji ds. zamówień publicznych, takich jak Organizacja do spraw Współpracy w Zakresie Uzbrojenia, które promują harmonizację sprzętu między państwami członkowskimi a państwami partnerskimi spoza UE;</w:t>
      </w:r>
    </w:p>
    <w:p w14:paraId="553BEB7B" w14:textId="77777777" w:rsidR="00025F1F" w:rsidRPr="00DC2CA9" w:rsidRDefault="00025F1F" w:rsidP="00025F1F">
      <w:pPr>
        <w:pStyle w:val="NormalHanging12a"/>
      </w:pPr>
      <w:r w:rsidRPr="00DC2CA9">
        <w:t>30.</w:t>
      </w:r>
      <w:r w:rsidRPr="00DC2CA9">
        <w:tab/>
        <w:t>podkreśla potrzebę dalszego finansowania europejskiego przeznaczonego na wypełnienie luki komercjalizacyjnej w zakresie innowacji produktów związanych z obronnością; apeluje o solidniejsze instrumenty, aby zapewnić MŚP i spółkom o średniej kapitalizacji rzeczywisty i skalowalny dostęp do kapitału prywatnego i programów obronnych, w tym poprzez usprawnione zamówienia publiczne, przepisy sprzyjające innowacjom i wsparcie na rzecz nawiązywania kontaktów, co umożliwi im większy udział i sprawiedliwszy przydział środków; podkreśla znaczenie utworzenia regionalnych inkubatorów technologii obronnych pod egidą centrum innowacji w dziedzinie obronności w celu wspierania transgranicznych konsorcjów MŚP, zapewnienia mentoringu w zakresie zamówień publicznych w dziedzinie obronności oraz ułatwienia testowania i walidacji innowacyjnych technologii we współpracy z użytkownikami końcowymi z sektora wojskowego;</w:t>
      </w:r>
    </w:p>
    <w:p w14:paraId="76C5B395" w14:textId="77777777" w:rsidR="00025F1F" w:rsidRPr="00DC2CA9" w:rsidRDefault="00025F1F" w:rsidP="00025F1F">
      <w:pPr>
        <w:pStyle w:val="NormalHanging12a"/>
      </w:pPr>
      <w:r w:rsidRPr="00DC2CA9">
        <w:t>31.</w:t>
      </w:r>
      <w:r w:rsidRPr="00DC2CA9">
        <w:tab/>
        <w:t xml:space="preserve">podkreśla, że UE i NATO muszą podpisać kompleksową umowę o współpracy w zakresie planowania i rozwoju zdolności, aby zapewnić spójne i uzupełniające się planowanie oraz </w:t>
      </w:r>
      <w:proofErr w:type="spellStart"/>
      <w:r w:rsidRPr="00DC2CA9">
        <w:t>interoperacyjne</w:t>
      </w:r>
      <w:proofErr w:type="spellEnd"/>
      <w:r w:rsidRPr="00DC2CA9">
        <w:t xml:space="preserve"> zdolności obronne, a także o standaryzacji; podkreśla, że taka współpraca musi odbywać się z poszanowaniem autonomii obu organizacji przy jednoczesnym unikaniu powielania działań i promowaniu sprawiedliwego podziału obciążeń; wzywa Komisję, aby we współpracy z Europejską Agencją Obrony przygotowała wniosek ustawodawczy w sprawie opracowania zharmonizowanych ram UE w zakresie prawnie wiążących norm technicznych i certyfikacji produktów związanych z obronnością, opartych na europejskim systemie referencyjnym norm obronnych oraz – w stosownych przypadkach – poprzez włączenie wybranych porozumień standaryzacyjnych do prawodawstwa UE; ponadto wzywa Komisję do zaproponowania ram na potrzeby wspólnego europejskiego testowania i certyfikacji wyposażenia obronnego zamiast oddzielnej krajowej walidacji każdego produktu związanego z obronnością, w tym do zaproponowania wspólnych obiektów testowych i </w:t>
      </w:r>
      <w:r w:rsidRPr="00DC2CA9">
        <w:lastRenderedPageBreak/>
        <w:t>ośrodków certyfikujących; wzywa państwa członkowskie do dostosowania swoich działań w zakresie zamówień publicznych i rozwoju zdolności do priorytetów planowania obronnego NATO, co zapewni pełną interoperacyjność systemów i zapobiegnie tworzeniu równoległych struktur; podkreśla, że silniejszy i bardziej zintegrowany europejski przemysł obronny powinien zwiększyć wkład Europy w NATO i transatlantycki podział obciążeń przy jednoczesnym utrzymaniu otwartej współpracy z zaufanymi partnerami takimi jak Ukraina, kraje EOG/EFTA oraz państwa uczestniczące w partnerstwie w dziedzinie bezpieczeństwa i obrony; zachęca do wdrożenia natowskiego planu działania na rzecz szybkiego przyjmowania, którego celem jest przyspieszenie krajowych procesów zamówień i działań służących reformie cyklów zakupów, procedur testowania oraz ram certyfikacji, co ma zagwarantować, że innowacje wojskowe będą dotrzymywać kroku zagrożeniom;</w:t>
      </w:r>
    </w:p>
    <w:p w14:paraId="19875C88" w14:textId="77777777" w:rsidR="00025F1F" w:rsidRPr="00DC2CA9" w:rsidRDefault="00025F1F" w:rsidP="00025F1F">
      <w:pPr>
        <w:pStyle w:val="NormalHanging12a"/>
      </w:pPr>
      <w:r w:rsidRPr="00DC2CA9">
        <w:t>32.</w:t>
      </w:r>
      <w:r w:rsidRPr="00DC2CA9">
        <w:tab/>
        <w:t>odnotowuje zalecenia związane z obronnością przedstawione przez byłego premiera Włoch E. </w:t>
      </w:r>
      <w:proofErr w:type="spellStart"/>
      <w:r w:rsidRPr="00DC2CA9">
        <w:t>Lettę</w:t>
      </w:r>
      <w:proofErr w:type="spellEnd"/>
      <w:r w:rsidRPr="00DC2CA9">
        <w:t xml:space="preserve"> w 2024 r. w jego sprawozdaniu pt. „Much </w:t>
      </w:r>
      <w:proofErr w:type="spellStart"/>
      <w:r w:rsidRPr="00DC2CA9">
        <w:t>More</w:t>
      </w:r>
      <w:proofErr w:type="spellEnd"/>
      <w:r w:rsidRPr="00DC2CA9">
        <w:t xml:space="preserve"> </w:t>
      </w:r>
      <w:proofErr w:type="spellStart"/>
      <w:r w:rsidRPr="00DC2CA9">
        <w:t>Than</w:t>
      </w:r>
      <w:proofErr w:type="spellEnd"/>
      <w:r w:rsidRPr="00DC2CA9">
        <w:t xml:space="preserve"> a Market” [Znacznie więcej niż rynek]; zauważa, że przeszkody podatkowe i różne procedury dotyczące podatku od wartości dodanej w programach zamówień realizowanych na zasadzie współpracy utrudniają osiągnięcie celów gotowości obronnej do 2030 r., rozwój przemysłu obronnego i rozszerzenie wspólnych programów; wzywa Komisję do podjęcia działań następczych w związku ze sprawozdaniem </w:t>
      </w:r>
      <w:proofErr w:type="spellStart"/>
      <w:r w:rsidRPr="00DC2CA9">
        <w:t>Letty</w:t>
      </w:r>
      <w:proofErr w:type="spellEnd"/>
      <w:r w:rsidRPr="00DC2CA9">
        <w:t xml:space="preserve"> i do zintensyfikowania wysiłków na rzecz zmniejszenia przeszkód podatkowych;</w:t>
      </w:r>
    </w:p>
    <w:p w14:paraId="78F59B8E" w14:textId="77777777" w:rsidR="00025F1F" w:rsidRPr="00DC2CA9" w:rsidRDefault="00025F1F" w:rsidP="00025F1F">
      <w:pPr>
        <w:pStyle w:val="NormalHanging12a"/>
      </w:pPr>
      <w:r w:rsidRPr="00DC2CA9">
        <w:t>33.</w:t>
      </w:r>
      <w:r w:rsidRPr="00DC2CA9">
        <w:tab/>
        <w:t>wzywa państwa członkowskie do propagowania wśród młodych ludzi kariery w dziedzinie technologii obronnych, w tym poprzez kampanie informacyjne na temat wkładu tego sektora w bezpieczeństwo Europy i innowacje technologiczne; zachęca do tworzenia partnerstw publiczno-prywatnych między przedsiębiorstwami z sektora obrony, instytucjami edukacyjnymi i rządami w celu tworzenia baz talentów; wzywa państwa członkowskie i Komisję do przedstawienia – w porozumieniu z partnerami społecznymi, w tym ze związkami zawodowymi – strategii dotyczących umiejętności w poszczególnych sektorach, takich jak programy szkoleniowe i możliwości uczenia się przez całe życie, aby zaradzić obecnym i przyszłym brakom umiejętności w przemyśle obronnym; w tym celu proponuje, aby agenda unii umiejętności wyraźnie uwzględniała sektor obronny, co ułatwi mobilność wykwalifikowanych pracowników między państwami członkowskimi do miejsc, gdzie są oni najbardziej potrzebni;</w:t>
      </w:r>
    </w:p>
    <w:p w14:paraId="015D81BD" w14:textId="77777777" w:rsidR="00025F1F" w:rsidRPr="00DC2CA9" w:rsidRDefault="00025F1F" w:rsidP="00025F1F">
      <w:pPr>
        <w:pStyle w:val="NormalHanging12a"/>
      </w:pPr>
      <w:r w:rsidRPr="00DC2CA9">
        <w:t>34.</w:t>
      </w:r>
      <w:r w:rsidRPr="00DC2CA9">
        <w:tab/>
        <w:t>wzywa Komisję do dalszego szacowania potencjalnych korzyści finansowych i operacyjnych wynikających z jednolitego rynku obrony, w tym zwiększenia efektywności i zbiorowych zdolności wojskowych, poprzez przeprowadzenie niezależnej oceny skutków; wzywa do utworzenia pojedynczego punktu kontaktowego, w którym zainteresowane strony będą mogły zgłaszać przeszkody, gromadzić dowody i monitorować przestrzeganie przepisów przez państwa członkowskie;</w:t>
      </w:r>
    </w:p>
    <w:p w14:paraId="7B46D98B" w14:textId="77777777" w:rsidR="00025F1F" w:rsidRPr="00DC2CA9" w:rsidRDefault="00025F1F" w:rsidP="00025F1F">
      <w:pPr>
        <w:pStyle w:val="NormalHanging12a"/>
      </w:pPr>
      <w:r w:rsidRPr="00DC2CA9">
        <w:t>35.</w:t>
      </w:r>
      <w:r w:rsidRPr="00DC2CA9">
        <w:tab/>
        <w:t xml:space="preserve">z zadowoleniem przyjmuje konkluzje Rady Europejskiej z października 2025 r., w których wezwano do sporządzania rocznego sprawozdania na temat gotowości przemysłowej UE w dziedzinie obronności, i apeluje, aby zostało ono uzupełnione o tablicę wyników jednolitego rynku obrony, publikowaną przez Komisję we współpracy z Europejską Agencją Obrony; podkreśla, że tablica wyników powinna uwzględniać takie wskaźniki jak udział zamówień publicznych w dziedzinie obronności realizowanych wspólnie lub w ramach otwartej konkurencji w całej UE, poziom transgranicznej współpracy przemysłowej, wskaźniki udziału MŚP oraz ograniczenie powielania systemów; podkreśla, że powinna ona również uwzględniać korzyści </w:t>
      </w:r>
      <w:r w:rsidRPr="00DC2CA9">
        <w:lastRenderedPageBreak/>
        <w:t>społeczno-gospodarcze wynikające z programów obronnych UE we wszystkich państwach członkowskich i regionach, w tym tworzenie miejsc pracy i rozwój przemysłowy, aby ukierunkować udoskonalanie polityki i wzmocnić zaufanie publiczne;</w:t>
      </w:r>
    </w:p>
    <w:p w14:paraId="681497F0" w14:textId="77777777" w:rsidR="00025F1F" w:rsidRPr="00DC2CA9" w:rsidRDefault="00025F1F" w:rsidP="00025F1F">
      <w:pPr>
        <w:pStyle w:val="NormalHanging12a"/>
      </w:pPr>
      <w:r w:rsidRPr="00DC2CA9">
        <w:t>36.</w:t>
      </w:r>
      <w:r w:rsidRPr="00DC2CA9">
        <w:tab/>
        <w:t>jest głęboko przekonany, że aby zagwarantować demokratyczną legitymację i przejrzystość polityki obronnej UE w czasach wojny hybrydowej i kampanii dezinformacyjnych, Parlament musi odgrywać kluczową rolę w planowaniu, nadzorowaniu i kontrolowaniu tej polityki; podkreśla, że należy zapewnić przejrzystość i rozliczalność; wzywa Komisję, Radę, państwa członkowskie i Europejską Agencję Obrony do zapewnienia bezpiecznych kanałów wymiany informacji niejawnych i poufnych z Parlamentem, przemysłem obronnym i organami krajowymi;</w:t>
      </w:r>
    </w:p>
    <w:p w14:paraId="7915D3E3" w14:textId="77777777" w:rsidR="00025F1F" w:rsidRPr="00DC2CA9" w:rsidRDefault="00025F1F" w:rsidP="00025F1F">
      <w:pPr>
        <w:pStyle w:val="NormalCenter12a"/>
      </w:pPr>
      <w:r w:rsidRPr="00DC2CA9">
        <w:t>°</w:t>
      </w:r>
    </w:p>
    <w:p w14:paraId="556E956A" w14:textId="77777777" w:rsidR="00025F1F" w:rsidRPr="00DC2CA9" w:rsidRDefault="00025F1F" w:rsidP="00025F1F">
      <w:pPr>
        <w:pStyle w:val="NormalCenter12a"/>
      </w:pPr>
      <w:r w:rsidRPr="00DC2CA9">
        <w:t>°</w:t>
      </w:r>
      <w:r w:rsidRPr="00DC2CA9">
        <w:tab/>
        <w:t>°</w:t>
      </w:r>
    </w:p>
    <w:p w14:paraId="0E66D75B" w14:textId="3B8E2A3D" w:rsidR="00DC2CA9" w:rsidRPr="00DC2CA9" w:rsidRDefault="00025F1F" w:rsidP="00DC2CA9">
      <w:pPr>
        <w:pStyle w:val="NormalHanging12a"/>
      </w:pPr>
      <w:r w:rsidRPr="00DC2CA9">
        <w:t>37.</w:t>
      </w:r>
      <w:r w:rsidRPr="00DC2CA9">
        <w:tab/>
        <w:t>zobowiązuje swoją przewodniczącą do przekazania niniejszej rezolucji Radzie i Komisji.</w:t>
      </w:r>
    </w:p>
    <w:p w14:paraId="5253C9B8" w14:textId="7C401E5D" w:rsidR="00E365E1" w:rsidRPr="00DC2CA9" w:rsidRDefault="00E365E1" w:rsidP="00A43671"/>
    <w:sectPr w:rsidR="00E365E1" w:rsidRPr="00DC2CA9" w:rsidSect="00DC2C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CB98F" w14:textId="77777777" w:rsidR="00A43671" w:rsidRPr="00DC2CA9" w:rsidRDefault="00A43671">
      <w:r w:rsidRPr="00DC2CA9">
        <w:separator/>
      </w:r>
    </w:p>
  </w:endnote>
  <w:endnote w:type="continuationSeparator" w:id="0">
    <w:p w14:paraId="354BDB80" w14:textId="77777777" w:rsidR="00A43671" w:rsidRPr="00DC2CA9" w:rsidRDefault="00A43671">
      <w:r w:rsidRPr="00DC2C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E94B" w14:textId="77777777" w:rsidR="00064002" w:rsidRPr="00DC2C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7EC31" w14:textId="77777777" w:rsidR="00064002" w:rsidRPr="00DC2C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755A" w14:textId="77777777" w:rsidR="00064002" w:rsidRPr="00DC2C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E0979" w14:textId="77777777" w:rsidR="00A43671" w:rsidRPr="00DC2CA9" w:rsidRDefault="00A43671">
      <w:r w:rsidRPr="00DC2CA9">
        <w:separator/>
      </w:r>
    </w:p>
  </w:footnote>
  <w:footnote w:type="continuationSeparator" w:id="0">
    <w:p w14:paraId="58FBA902" w14:textId="77777777" w:rsidR="00A43671" w:rsidRPr="00DC2CA9" w:rsidRDefault="00A43671">
      <w:r w:rsidRPr="00DC2CA9">
        <w:continuationSeparator/>
      </w:r>
    </w:p>
  </w:footnote>
  <w:footnote w:id="1">
    <w:p w14:paraId="0268F581" w14:textId="08F99752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Dz.U. L 331 z 14.12.2017, s. 57, ELI: </w:t>
      </w:r>
      <w:hyperlink r:id="rId1" w:tgtFrame="http://data.europa.eu/eli/dec/2017/2315/oj" w:history="1">
        <w:r w:rsidRPr="00DC2CA9">
          <w:rPr>
            <w:rStyle w:val="Hyperlink"/>
            <w:sz w:val="24"/>
            <w:lang w:val="pl-PL"/>
          </w:rPr>
          <w:t>http://data.europa.eu/eli/dec/2017/2315/oj</w:t>
        </w:r>
      </w:hyperlink>
      <w:r w:rsidRPr="00DC2CA9">
        <w:rPr>
          <w:sz w:val="24"/>
          <w:lang w:val="pl-PL"/>
        </w:rPr>
        <w:t>.</w:t>
      </w:r>
    </w:p>
  </w:footnote>
  <w:footnote w:id="2">
    <w:p w14:paraId="0F9F061F" w14:textId="20C70A6A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2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Dz.U. L 146 z </w:t>
      </w:r>
      <w:proofErr w:type="gramStart"/>
      <w:r w:rsidRPr="00DC2CA9">
        <w:rPr>
          <w:sz w:val="24"/>
          <w:lang w:val="pl-PL"/>
        </w:rPr>
        <w:t>10.6.2009</w:t>
      </w:r>
      <w:proofErr w:type="gramEnd"/>
      <w:r w:rsidRPr="00DC2CA9">
        <w:rPr>
          <w:sz w:val="24"/>
          <w:lang w:val="pl-PL"/>
        </w:rPr>
        <w:t xml:space="preserve">, s. 1, ELI: </w:t>
      </w:r>
      <w:hyperlink r:id="rId2" w:tgtFrame="http://data.europa.eu/eli/dir/2009/43/oj" w:history="1">
        <w:r w:rsidRPr="00DC2CA9">
          <w:rPr>
            <w:rStyle w:val="Hyperlink"/>
            <w:sz w:val="24"/>
            <w:lang w:val="pl-PL"/>
          </w:rPr>
          <w:t>http://data.europa.eu/eli/dir/2009/43/oj</w:t>
        </w:r>
      </w:hyperlink>
      <w:r w:rsidRPr="00DC2CA9">
        <w:rPr>
          <w:sz w:val="24"/>
          <w:lang w:val="pl-PL"/>
        </w:rPr>
        <w:t>.</w:t>
      </w:r>
    </w:p>
  </w:footnote>
  <w:footnote w:id="3">
    <w:p w14:paraId="62BA85D7" w14:textId="5921BBC9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3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Dz.U. L 216 z 20.8.2009, s. 76, ELI: </w:t>
      </w:r>
      <w:r>
        <w:fldChar w:fldCharType="begin"/>
      </w:r>
      <w:r w:rsidRPr="00AE2BFA">
        <w:rPr>
          <w:lang w:val="pl-PL"/>
        </w:rPr>
        <w:instrText>HYPERLINK "http://data.europa.eu/eli/dir/2009/81/oj" \t "http://data.europa.eu/eli/dir/2009/81/oj"</w:instrText>
      </w:r>
      <w:r>
        <w:fldChar w:fldCharType="separate"/>
      </w:r>
      <w:r w:rsidRPr="00DC2CA9">
        <w:rPr>
          <w:rStyle w:val="Hyperlink"/>
          <w:sz w:val="24"/>
          <w:lang w:val="pl-PL"/>
        </w:rPr>
        <w:t>http://data.europa.eu/eli/dir/2009/81/oj</w:t>
      </w:r>
      <w:r>
        <w:fldChar w:fldCharType="end"/>
      </w:r>
      <w:r w:rsidRPr="00DC2CA9">
        <w:rPr>
          <w:sz w:val="24"/>
          <w:lang w:val="pl-PL"/>
        </w:rPr>
        <w:t>.</w:t>
      </w:r>
    </w:p>
  </w:footnote>
  <w:footnote w:id="4">
    <w:p w14:paraId="28AD6AE3" w14:textId="423BB38F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4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Dz.U. L 170 z 12.5.2021, s. 149, ELI: </w:t>
      </w:r>
      <w:r>
        <w:fldChar w:fldCharType="begin"/>
      </w:r>
      <w:r w:rsidRPr="00AE2BFA">
        <w:rPr>
          <w:lang w:val="pl-PL"/>
        </w:rPr>
        <w:instrText>HYPERLINK "http://data.europa.eu/eli/reg/2021/697/oj" \t "http://data.europa.eu/eli/reg/2021/697/oj"</w:instrText>
      </w:r>
      <w:r>
        <w:fldChar w:fldCharType="separate"/>
      </w:r>
      <w:r w:rsidRPr="00DC2CA9">
        <w:rPr>
          <w:rStyle w:val="Hyperlink"/>
          <w:sz w:val="24"/>
          <w:lang w:val="pl-PL"/>
        </w:rPr>
        <w:t>http://data.europa.eu/eli/reg/2021/697/oj</w:t>
      </w:r>
      <w:r>
        <w:fldChar w:fldCharType="end"/>
      </w:r>
      <w:r w:rsidRPr="00DC2CA9">
        <w:rPr>
          <w:sz w:val="24"/>
          <w:lang w:val="pl-PL"/>
        </w:rPr>
        <w:t>.</w:t>
      </w:r>
    </w:p>
  </w:footnote>
  <w:footnote w:id="5">
    <w:p w14:paraId="1FEA61E1" w14:textId="2EF2E443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5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Dz.U. L 185 z 24.7.2023, s. 7, ELI: </w:t>
      </w:r>
      <w:r>
        <w:fldChar w:fldCharType="begin"/>
      </w:r>
      <w:r w:rsidRPr="00AE2BFA">
        <w:rPr>
          <w:lang w:val="pl-PL"/>
        </w:rPr>
        <w:instrText>HYPERLINK "http://data.europa.eu/eli/reg/2023/1525/oj" \t "http://data.europa.eu/eli/reg/2023/1525/oj"</w:instrText>
      </w:r>
      <w:r>
        <w:fldChar w:fldCharType="separate"/>
      </w:r>
      <w:r w:rsidRPr="00DC2CA9">
        <w:rPr>
          <w:rStyle w:val="Hyperlink"/>
          <w:sz w:val="24"/>
          <w:lang w:val="pl-PL"/>
        </w:rPr>
        <w:t>http://data.europa.eu/eli/reg/2023/1525/oj</w:t>
      </w:r>
      <w:r>
        <w:fldChar w:fldCharType="end"/>
      </w:r>
      <w:r w:rsidRPr="00DC2CA9">
        <w:rPr>
          <w:sz w:val="24"/>
          <w:lang w:val="pl-PL"/>
        </w:rPr>
        <w:t>.</w:t>
      </w:r>
    </w:p>
  </w:footnote>
  <w:footnote w:id="6">
    <w:p w14:paraId="7DB9BF4A" w14:textId="2173E356" w:rsidR="00025F1F" w:rsidRPr="00AE2BFA" w:rsidRDefault="00025F1F" w:rsidP="00DC2CA9">
      <w:pPr>
        <w:pStyle w:val="FootnoteText"/>
        <w:ind w:left="567" w:hanging="567"/>
        <w:rPr>
          <w:sz w:val="24"/>
          <w:lang w:val="fi-FI"/>
        </w:rPr>
      </w:pPr>
      <w:r w:rsidRPr="00AE2BFA">
        <w:rPr>
          <w:sz w:val="24"/>
          <w:vertAlign w:val="superscript"/>
          <w:lang w:val="fi-FI"/>
        </w:rPr>
        <w:t>6</w:t>
      </w:r>
      <w:r w:rsidR="00DC2CA9" w:rsidRPr="00AE2BFA">
        <w:rPr>
          <w:sz w:val="24"/>
          <w:vertAlign w:val="superscript"/>
          <w:lang w:val="fi-FI"/>
        </w:rPr>
        <w:t xml:space="preserve"> </w:t>
      </w:r>
      <w:r w:rsidR="00DC2CA9" w:rsidRPr="00AE2BFA">
        <w:rPr>
          <w:sz w:val="24"/>
          <w:vertAlign w:val="superscript"/>
          <w:lang w:val="fi-FI"/>
        </w:rPr>
        <w:tab/>
      </w:r>
      <w:proofErr w:type="spellStart"/>
      <w:r w:rsidRPr="00AE2BFA">
        <w:rPr>
          <w:sz w:val="24"/>
          <w:lang w:val="fi-FI"/>
        </w:rPr>
        <w:t>Dz.U</w:t>
      </w:r>
      <w:proofErr w:type="spellEnd"/>
      <w:r w:rsidRPr="00AE2BFA">
        <w:rPr>
          <w:sz w:val="24"/>
          <w:lang w:val="fi-FI"/>
        </w:rPr>
        <w:t xml:space="preserve">. L, 2023/2418, 26.10.2023, ELI: </w:t>
      </w:r>
      <w:r>
        <w:fldChar w:fldCharType="begin"/>
      </w:r>
      <w:r w:rsidRPr="00AE2BFA">
        <w:rPr>
          <w:lang w:val="fi-FI"/>
        </w:rPr>
        <w:instrText>HYPERLINK "http://data.europa.eu/eli/reg/2023/2418/oj" \t "http://data.europa.eu/eli/reg/2023/2418/oj"</w:instrText>
      </w:r>
      <w:r>
        <w:fldChar w:fldCharType="separate"/>
      </w:r>
      <w:r w:rsidRPr="00AE2BFA">
        <w:rPr>
          <w:rStyle w:val="Hyperlink"/>
          <w:sz w:val="24"/>
          <w:lang w:val="fi-FI"/>
        </w:rPr>
        <w:t>http://data.europa.eu/eli/reg/2023/2418/oj</w:t>
      </w:r>
      <w:r>
        <w:fldChar w:fldCharType="end"/>
      </w:r>
      <w:r w:rsidRPr="00AE2BFA">
        <w:rPr>
          <w:sz w:val="24"/>
          <w:lang w:val="fi-FI"/>
        </w:rPr>
        <w:t>.</w:t>
      </w:r>
    </w:p>
  </w:footnote>
  <w:footnote w:id="7">
    <w:p w14:paraId="59EC6FD2" w14:textId="718B03A6" w:rsidR="00025F1F" w:rsidRPr="00AE2BFA" w:rsidRDefault="00025F1F" w:rsidP="00DC2CA9">
      <w:pPr>
        <w:pStyle w:val="FootnoteText"/>
        <w:ind w:left="567" w:hanging="567"/>
        <w:rPr>
          <w:sz w:val="24"/>
          <w:lang w:val="fi-FI"/>
        </w:rPr>
      </w:pPr>
      <w:r w:rsidRPr="00AE2BFA">
        <w:rPr>
          <w:sz w:val="24"/>
          <w:vertAlign w:val="superscript"/>
          <w:lang w:val="fi-FI"/>
        </w:rPr>
        <w:t>7</w:t>
      </w:r>
      <w:r w:rsidR="00DC2CA9" w:rsidRPr="00AE2BFA">
        <w:rPr>
          <w:sz w:val="24"/>
          <w:vertAlign w:val="superscript"/>
          <w:lang w:val="fi-FI"/>
        </w:rPr>
        <w:t xml:space="preserve"> </w:t>
      </w:r>
      <w:r w:rsidR="00DC2CA9" w:rsidRPr="00AE2BFA">
        <w:rPr>
          <w:sz w:val="24"/>
          <w:vertAlign w:val="superscript"/>
          <w:lang w:val="fi-FI"/>
        </w:rPr>
        <w:tab/>
      </w:r>
      <w:proofErr w:type="spellStart"/>
      <w:r w:rsidRPr="00AE2BFA">
        <w:rPr>
          <w:sz w:val="24"/>
          <w:lang w:val="fi-FI"/>
        </w:rPr>
        <w:t>Dz.U</w:t>
      </w:r>
      <w:proofErr w:type="spellEnd"/>
      <w:r w:rsidRPr="00AE2BFA">
        <w:rPr>
          <w:sz w:val="24"/>
          <w:lang w:val="fi-FI"/>
        </w:rPr>
        <w:t xml:space="preserve">. L, 2025/2643, 29.12.2025, ELI: </w:t>
      </w:r>
      <w:r>
        <w:fldChar w:fldCharType="begin"/>
      </w:r>
      <w:r w:rsidRPr="00AE2BFA">
        <w:rPr>
          <w:lang w:val="fi-FI"/>
        </w:rPr>
        <w:instrText>HYPERLINK "http://data.europa.eu/eli/reg/2025/2643/oj" \t "http://data.europa.eu/eli/reg/2025/2643/oj"</w:instrText>
      </w:r>
      <w:r>
        <w:fldChar w:fldCharType="separate"/>
      </w:r>
      <w:r w:rsidRPr="00AE2BFA">
        <w:rPr>
          <w:rStyle w:val="Hyperlink"/>
          <w:sz w:val="24"/>
          <w:lang w:val="fi-FI"/>
        </w:rPr>
        <w:t>http://data.europa.eu/eli/reg/2025/2643/oj</w:t>
      </w:r>
      <w:r>
        <w:fldChar w:fldCharType="end"/>
      </w:r>
      <w:r w:rsidRPr="00AE2BFA">
        <w:rPr>
          <w:sz w:val="24"/>
          <w:lang w:val="fi-FI"/>
        </w:rPr>
        <w:t>.</w:t>
      </w:r>
    </w:p>
  </w:footnote>
  <w:footnote w:id="8">
    <w:p w14:paraId="5E8AA188" w14:textId="18AAA891" w:rsidR="00025F1F" w:rsidRPr="00AE2BFA" w:rsidRDefault="00025F1F" w:rsidP="00DC2CA9">
      <w:pPr>
        <w:pStyle w:val="FootnoteText"/>
        <w:ind w:left="567" w:hanging="567"/>
        <w:rPr>
          <w:sz w:val="24"/>
          <w:lang w:val="fi-FI"/>
        </w:rPr>
      </w:pPr>
      <w:r w:rsidRPr="00AE2BFA">
        <w:rPr>
          <w:sz w:val="24"/>
          <w:vertAlign w:val="superscript"/>
          <w:lang w:val="fi-FI"/>
        </w:rPr>
        <w:t>8</w:t>
      </w:r>
      <w:r w:rsidR="00DC2CA9" w:rsidRPr="00AE2BFA">
        <w:rPr>
          <w:sz w:val="24"/>
          <w:vertAlign w:val="superscript"/>
          <w:lang w:val="fi-FI"/>
        </w:rPr>
        <w:t xml:space="preserve"> </w:t>
      </w:r>
      <w:r w:rsidR="00DC2CA9" w:rsidRPr="00AE2BFA">
        <w:rPr>
          <w:sz w:val="24"/>
          <w:vertAlign w:val="superscript"/>
          <w:lang w:val="fi-FI"/>
        </w:rPr>
        <w:tab/>
      </w:r>
      <w:proofErr w:type="spellStart"/>
      <w:r w:rsidRPr="00AE2BFA">
        <w:rPr>
          <w:sz w:val="24"/>
          <w:lang w:val="fi-FI"/>
        </w:rPr>
        <w:t>Dz.U</w:t>
      </w:r>
      <w:proofErr w:type="spellEnd"/>
      <w:r w:rsidRPr="00AE2BFA">
        <w:rPr>
          <w:sz w:val="24"/>
          <w:lang w:val="fi-FI"/>
        </w:rPr>
        <w:t xml:space="preserve">. L, 2025/2653, 22.12.2025, ELI: </w:t>
      </w:r>
      <w:r>
        <w:fldChar w:fldCharType="begin"/>
      </w:r>
      <w:r w:rsidRPr="00AE2BFA">
        <w:rPr>
          <w:lang w:val="fi-FI"/>
        </w:rPr>
        <w:instrText>HYPERLINK "http://data.europa.eu/eli/reg/2025/2653/oj" \t "http://data.europa.eu/eli/reg/2025/2653/oj"</w:instrText>
      </w:r>
      <w:r>
        <w:fldChar w:fldCharType="separate"/>
      </w:r>
      <w:r w:rsidRPr="00AE2BFA">
        <w:rPr>
          <w:rStyle w:val="Hyperlink"/>
          <w:sz w:val="24"/>
          <w:lang w:val="fi-FI"/>
        </w:rPr>
        <w:t>http://data.europa.eu/eli/reg/2025/2653/oj</w:t>
      </w:r>
      <w:r>
        <w:fldChar w:fldCharType="end"/>
      </w:r>
      <w:r w:rsidRPr="00AE2BFA">
        <w:rPr>
          <w:sz w:val="24"/>
          <w:lang w:val="fi-FI"/>
        </w:rPr>
        <w:t>.</w:t>
      </w:r>
    </w:p>
  </w:footnote>
  <w:footnote w:id="9">
    <w:p w14:paraId="0763BADF" w14:textId="4852F7CE" w:rsidR="00025F1F" w:rsidRPr="00AE2BFA" w:rsidRDefault="00025F1F" w:rsidP="00DC2CA9">
      <w:pPr>
        <w:pStyle w:val="FootnoteText"/>
        <w:ind w:left="567" w:hanging="567"/>
        <w:rPr>
          <w:sz w:val="24"/>
          <w:lang w:val="fi-FI"/>
        </w:rPr>
      </w:pPr>
      <w:r w:rsidRPr="00AE2BFA">
        <w:rPr>
          <w:sz w:val="24"/>
          <w:vertAlign w:val="superscript"/>
          <w:lang w:val="fi-FI"/>
        </w:rPr>
        <w:t>9</w:t>
      </w:r>
      <w:r w:rsidR="00DC2CA9" w:rsidRPr="00AE2BFA">
        <w:rPr>
          <w:sz w:val="24"/>
          <w:vertAlign w:val="superscript"/>
          <w:lang w:val="fi-FI"/>
        </w:rPr>
        <w:t xml:space="preserve"> </w:t>
      </w:r>
      <w:r w:rsidR="00DC2CA9" w:rsidRPr="00AE2BFA">
        <w:rPr>
          <w:sz w:val="24"/>
          <w:vertAlign w:val="superscript"/>
          <w:lang w:val="fi-FI"/>
        </w:rPr>
        <w:tab/>
      </w:r>
      <w:proofErr w:type="spellStart"/>
      <w:r w:rsidRPr="00AE2BFA">
        <w:rPr>
          <w:sz w:val="24"/>
          <w:lang w:val="fi-FI"/>
        </w:rPr>
        <w:t>Dz.U</w:t>
      </w:r>
      <w:proofErr w:type="spellEnd"/>
      <w:r w:rsidRPr="00AE2BFA">
        <w:rPr>
          <w:sz w:val="24"/>
          <w:lang w:val="fi-FI"/>
        </w:rPr>
        <w:t xml:space="preserve">. L, 2025/1106, 28.5.2025, ELI: </w:t>
      </w:r>
      <w:r>
        <w:fldChar w:fldCharType="begin"/>
      </w:r>
      <w:r w:rsidRPr="00AE2BFA">
        <w:rPr>
          <w:lang w:val="fi-FI"/>
        </w:rPr>
        <w:instrText>HYPERLINK "http://data.europa.eu/eli/reg/2025/1106/oj" \t "http://data.europa.eu/eli/reg/2025/1106/oj"</w:instrText>
      </w:r>
      <w:r>
        <w:fldChar w:fldCharType="separate"/>
      </w:r>
      <w:r w:rsidRPr="00AE2BFA">
        <w:rPr>
          <w:rStyle w:val="Hyperlink"/>
          <w:sz w:val="24"/>
          <w:lang w:val="fi-FI"/>
        </w:rPr>
        <w:t>http://data.europa.eu/eli/reg/2025/1106/oj</w:t>
      </w:r>
      <w:r>
        <w:fldChar w:fldCharType="end"/>
      </w:r>
      <w:r w:rsidRPr="00AE2BFA">
        <w:rPr>
          <w:sz w:val="24"/>
          <w:lang w:val="fi-FI"/>
        </w:rPr>
        <w:t>.</w:t>
      </w:r>
    </w:p>
  </w:footnote>
  <w:footnote w:id="10">
    <w:p w14:paraId="1804B609" w14:textId="47EEDB81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10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>Dz.U. C 494 z 8.12.2021, s. 54.</w:t>
      </w:r>
    </w:p>
  </w:footnote>
  <w:footnote w:id="11">
    <w:p w14:paraId="07C83384" w14:textId="75556381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11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Dz.U. C, C/2025/4388, 9.9.2025, ELI: </w:t>
      </w:r>
      <w:r>
        <w:fldChar w:fldCharType="begin"/>
      </w:r>
      <w:r w:rsidRPr="00AE2BFA">
        <w:rPr>
          <w:lang w:val="pl-PL"/>
        </w:rPr>
        <w:instrText>HYPERLINK "http://data.europa.eu/eli/C/2025/4388/oj" \t "http://data.europa.eu/eli/C/2025/4388/oj"</w:instrText>
      </w:r>
      <w:r>
        <w:fldChar w:fldCharType="separate"/>
      </w:r>
      <w:r w:rsidRPr="00DC2CA9">
        <w:rPr>
          <w:rStyle w:val="Hyperlink"/>
          <w:sz w:val="24"/>
          <w:lang w:val="pl-PL"/>
        </w:rPr>
        <w:t>http://data.europa.eu/eli/C/2025/4388/oj</w:t>
      </w:r>
      <w:r>
        <w:fldChar w:fldCharType="end"/>
      </w:r>
      <w:r w:rsidRPr="00DC2CA9">
        <w:rPr>
          <w:sz w:val="24"/>
          <w:lang w:val="pl-PL"/>
        </w:rPr>
        <w:t>.</w:t>
      </w:r>
    </w:p>
  </w:footnote>
  <w:footnote w:id="12">
    <w:p w14:paraId="266D03EE" w14:textId="4AECAA25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12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>Teksty przyjęte, P10_TA(2025)0285.</w:t>
      </w:r>
    </w:p>
  </w:footnote>
  <w:footnote w:id="13">
    <w:p w14:paraId="3F3C850C" w14:textId="0A88A9B7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13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>Wspólne stanowisko Rady 2008/944/</w:t>
      </w:r>
      <w:proofErr w:type="spellStart"/>
      <w:r w:rsidRPr="00DC2CA9">
        <w:rPr>
          <w:sz w:val="24"/>
          <w:lang w:val="pl-PL"/>
        </w:rPr>
        <w:t>WPZiB</w:t>
      </w:r>
      <w:proofErr w:type="spellEnd"/>
      <w:r w:rsidRPr="00DC2CA9">
        <w:rPr>
          <w:sz w:val="24"/>
          <w:lang w:val="pl-PL"/>
        </w:rPr>
        <w:t xml:space="preserve"> z dnia 8 grudnia 2008 r. określające wspólne zasady kontroli wywozu technologii wojskowych i sprzętu wojskowego (Dz.U. L 335 z 13.12.2008, s. 99, ELI: </w:t>
      </w:r>
      <w:r w:rsidR="00AE2BFA">
        <w:rPr>
          <w:sz w:val="24"/>
          <w:lang w:val="pl-PL"/>
        </w:rPr>
        <w:fldChar w:fldCharType="begin"/>
      </w:r>
      <w:r w:rsidR="00AE2BFA">
        <w:rPr>
          <w:sz w:val="24"/>
          <w:lang w:val="pl-PL"/>
        </w:rPr>
        <w:instrText>HYPERLINK "http://data.europa.eu/eli/compos/2008/944/oj"</w:instrText>
      </w:r>
      <w:r w:rsidR="00AE2BFA">
        <w:rPr>
          <w:sz w:val="24"/>
          <w:lang w:val="pl-PL"/>
        </w:rPr>
      </w:r>
      <w:r w:rsidR="00AE2BFA">
        <w:rPr>
          <w:sz w:val="24"/>
          <w:lang w:val="pl-PL"/>
        </w:rPr>
        <w:fldChar w:fldCharType="separate"/>
      </w:r>
      <w:r w:rsidRPr="00AE2BFA">
        <w:rPr>
          <w:rStyle w:val="Hyperlink"/>
          <w:sz w:val="24"/>
          <w:lang w:val="pl-PL"/>
        </w:rPr>
        <w:t>http://data.europa.eu/eli/compos/2008/944/oj</w:t>
      </w:r>
      <w:r w:rsidR="00AE2BFA">
        <w:rPr>
          <w:sz w:val="24"/>
          <w:lang w:val="pl-PL"/>
        </w:rPr>
        <w:fldChar w:fldCharType="end"/>
      </w:r>
      <w:r w:rsidRPr="00DC2CA9">
        <w:rPr>
          <w:sz w:val="24"/>
          <w:lang w:val="pl-PL"/>
        </w:rPr>
        <w:t>).</w:t>
      </w:r>
    </w:p>
  </w:footnote>
  <w:footnote w:id="14">
    <w:p w14:paraId="0FC8F10F" w14:textId="27777692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14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Dyrektywa Parlamentu Europejskiego i Rady 2014/24/UE z dnia 26 lutego 2014 r. w sprawie zamówień publicznych, uchylająca dyrektywę 2004/18/WE (Dz.U. L 94 z </w:t>
      </w:r>
      <w:proofErr w:type="gramStart"/>
      <w:r w:rsidRPr="00DC2CA9">
        <w:rPr>
          <w:sz w:val="24"/>
          <w:lang w:val="pl-PL"/>
        </w:rPr>
        <w:t>28.3.2014</w:t>
      </w:r>
      <w:proofErr w:type="gramEnd"/>
      <w:r w:rsidRPr="00DC2CA9">
        <w:rPr>
          <w:sz w:val="24"/>
          <w:lang w:val="pl-PL"/>
        </w:rPr>
        <w:t xml:space="preserve">, s. 65, ELI: </w:t>
      </w:r>
      <w:hyperlink r:id="rId3" w:tgtFrame="http://data.europa.eu/eli/dir/2014/24/oj" w:history="1">
        <w:r w:rsidRPr="00DC2CA9">
          <w:rPr>
            <w:rStyle w:val="Hyperlink"/>
            <w:sz w:val="24"/>
            <w:lang w:val="pl-PL"/>
          </w:rPr>
          <w:t>http://data.europa.eu/eli/dir/2014/24/oj).</w:t>
        </w:r>
      </w:hyperlink>
    </w:p>
  </w:footnote>
  <w:footnote w:id="15">
    <w:p w14:paraId="2AD47BCE" w14:textId="507C34B7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15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Dyrektywa Parlamentu Europejskiego i Rady 2014/66/UE z dnia 15 maja 2014 r. w sprawie warunków wjazdu i pobytu obywateli państw trzecich w ramach przeniesienia wewnątrz przedsiębiorstwa (Dz.U. L 157 z 27.5.2014, s. 1, ELI: </w:t>
      </w:r>
      <w:r w:rsidR="00AE2BFA">
        <w:rPr>
          <w:sz w:val="24"/>
          <w:lang w:val="pl-PL"/>
        </w:rPr>
        <w:fldChar w:fldCharType="begin"/>
      </w:r>
      <w:r w:rsidR="00AE2BFA">
        <w:rPr>
          <w:sz w:val="24"/>
          <w:lang w:val="pl-PL"/>
        </w:rPr>
        <w:instrText>HYPERLINK "http://data.europa.eu/eli/dir/2014/66/oj"</w:instrText>
      </w:r>
      <w:r w:rsidR="00AE2BFA">
        <w:rPr>
          <w:sz w:val="24"/>
          <w:lang w:val="pl-PL"/>
        </w:rPr>
      </w:r>
      <w:r w:rsidR="00AE2BFA">
        <w:rPr>
          <w:sz w:val="24"/>
          <w:lang w:val="pl-PL"/>
        </w:rPr>
        <w:fldChar w:fldCharType="separate"/>
      </w:r>
      <w:r w:rsidRPr="00AE2BFA">
        <w:rPr>
          <w:rStyle w:val="Hyperlink"/>
          <w:sz w:val="24"/>
          <w:lang w:val="pl-PL"/>
        </w:rPr>
        <w:t>http://data.europa.eu/eli/dir/2014/66/oj</w:t>
      </w:r>
      <w:r w:rsidR="00AE2BFA">
        <w:rPr>
          <w:sz w:val="24"/>
          <w:lang w:val="pl-PL"/>
        </w:rPr>
        <w:fldChar w:fldCharType="end"/>
      </w:r>
      <w:r w:rsidRPr="00DC2CA9">
        <w:rPr>
          <w:sz w:val="24"/>
          <w:lang w:val="pl-PL"/>
        </w:rPr>
        <w:t>).</w:t>
      </w:r>
    </w:p>
  </w:footnote>
  <w:footnote w:id="16">
    <w:p w14:paraId="349E5FE2" w14:textId="49662BAE" w:rsidR="00025F1F" w:rsidRPr="00DC2CA9" w:rsidRDefault="00025F1F" w:rsidP="00DC2CA9">
      <w:pPr>
        <w:pStyle w:val="FootnoteText"/>
        <w:ind w:left="567" w:hanging="567"/>
        <w:rPr>
          <w:sz w:val="24"/>
          <w:lang w:val="pl-PL"/>
        </w:rPr>
      </w:pPr>
      <w:r w:rsidRPr="00DC2CA9">
        <w:rPr>
          <w:sz w:val="24"/>
          <w:vertAlign w:val="superscript"/>
          <w:lang w:val="pl-PL"/>
        </w:rPr>
        <w:t>16</w:t>
      </w:r>
      <w:r w:rsidR="00DC2CA9" w:rsidRPr="00DC2CA9">
        <w:rPr>
          <w:sz w:val="24"/>
          <w:vertAlign w:val="superscript"/>
          <w:lang w:val="pl-PL"/>
        </w:rPr>
        <w:t xml:space="preserve"> </w:t>
      </w:r>
      <w:r w:rsidR="00DC2CA9" w:rsidRPr="00DC2CA9">
        <w:rPr>
          <w:sz w:val="24"/>
          <w:vertAlign w:val="superscript"/>
          <w:lang w:val="pl-PL"/>
        </w:rPr>
        <w:tab/>
      </w:r>
      <w:r w:rsidRPr="00DC2CA9">
        <w:rPr>
          <w:sz w:val="24"/>
          <w:lang w:val="pl-PL"/>
        </w:rPr>
        <w:t xml:space="preserve">Rozporządzenie Parlamentu Europejskiego i Rady (UE) 2024/1252 z dnia 11 kwietnia 2024 r. w sprawie ustanowienia ram na potrzeby zapewnienia bezpiecznych i zrównoważonych dostaw surowców krytycznych oraz zmiany rozporządzeń (UE) nr 168/2013, (UE) 2018/858, (UE) 2018/1724 i (UE) 2019/1020 (Dz.U. L, 2024/1252, </w:t>
      </w:r>
      <w:proofErr w:type="gramStart"/>
      <w:r w:rsidRPr="00DC2CA9">
        <w:rPr>
          <w:sz w:val="24"/>
          <w:lang w:val="pl-PL"/>
        </w:rPr>
        <w:t>3.5.2024</w:t>
      </w:r>
      <w:proofErr w:type="gramEnd"/>
      <w:r w:rsidRPr="00DC2CA9">
        <w:rPr>
          <w:sz w:val="24"/>
          <w:lang w:val="pl-PL"/>
        </w:rPr>
        <w:t xml:space="preserve">, ELI: </w:t>
      </w:r>
      <w:hyperlink r:id="rId4" w:tgtFrame="http://data.europa.eu/eli/reg/2024/1252/oj)." w:history="1">
        <w:r w:rsidRPr="00DC2CA9">
          <w:rPr>
            <w:rStyle w:val="Hyperlink"/>
            <w:sz w:val="24"/>
            <w:lang w:val="pl-PL"/>
          </w:rPr>
          <w:t>http://data.europa.eu/eli/reg/2024/1252/oj)</w:t>
        </w:r>
      </w:hyperlink>
      <w:r w:rsidRPr="00DC2CA9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4538" w14:textId="77777777" w:rsidR="00064002" w:rsidRPr="00DC2C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6ED9" w14:textId="77777777" w:rsidR="00064002" w:rsidRPr="00DC2C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71E3" w14:textId="77777777" w:rsidR="00064002" w:rsidRPr="00DC2C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0687942">
    <w:abstractNumId w:val="9"/>
  </w:num>
  <w:num w:numId="2" w16cid:durableId="1276400164">
    <w:abstractNumId w:val="9"/>
  </w:num>
  <w:num w:numId="3" w16cid:durableId="464204755">
    <w:abstractNumId w:val="7"/>
  </w:num>
  <w:num w:numId="4" w16cid:durableId="1103838239">
    <w:abstractNumId w:val="7"/>
  </w:num>
  <w:num w:numId="5" w16cid:durableId="1310984335">
    <w:abstractNumId w:val="6"/>
  </w:num>
  <w:num w:numId="6" w16cid:durableId="931622844">
    <w:abstractNumId w:val="6"/>
  </w:num>
  <w:num w:numId="7" w16cid:durableId="102459024">
    <w:abstractNumId w:val="5"/>
  </w:num>
  <w:num w:numId="8" w16cid:durableId="899629781">
    <w:abstractNumId w:val="5"/>
  </w:num>
  <w:num w:numId="9" w16cid:durableId="232588697">
    <w:abstractNumId w:val="4"/>
  </w:num>
  <w:num w:numId="10" w16cid:durableId="525172034">
    <w:abstractNumId w:val="4"/>
  </w:num>
  <w:num w:numId="11" w16cid:durableId="516886554">
    <w:abstractNumId w:val="8"/>
  </w:num>
  <w:num w:numId="12" w16cid:durableId="1099178739">
    <w:abstractNumId w:val="8"/>
  </w:num>
  <w:num w:numId="13" w16cid:durableId="1134445938">
    <w:abstractNumId w:val="3"/>
  </w:num>
  <w:num w:numId="14" w16cid:durableId="476653546">
    <w:abstractNumId w:val="3"/>
  </w:num>
  <w:num w:numId="15" w16cid:durableId="12195934">
    <w:abstractNumId w:val="2"/>
  </w:num>
  <w:num w:numId="16" w16cid:durableId="827942440">
    <w:abstractNumId w:val="2"/>
  </w:num>
  <w:num w:numId="17" w16cid:durableId="312374647">
    <w:abstractNumId w:val="1"/>
  </w:num>
  <w:num w:numId="18" w16cid:durableId="1414858239">
    <w:abstractNumId w:val="1"/>
  </w:num>
  <w:num w:numId="19" w16cid:durableId="486213788">
    <w:abstractNumId w:val="0"/>
  </w:num>
  <w:num w:numId="20" w16cid:durableId="1828473185">
    <w:abstractNumId w:val="0"/>
  </w:num>
  <w:num w:numId="21" w16cid:durableId="1558278147">
    <w:abstractNumId w:val="9"/>
  </w:num>
  <w:num w:numId="22" w16cid:durableId="1372993176">
    <w:abstractNumId w:val="7"/>
  </w:num>
  <w:num w:numId="23" w16cid:durableId="1567644605">
    <w:abstractNumId w:val="6"/>
  </w:num>
  <w:num w:numId="24" w16cid:durableId="677078091">
    <w:abstractNumId w:val="5"/>
  </w:num>
  <w:num w:numId="25" w16cid:durableId="29960170">
    <w:abstractNumId w:val="4"/>
  </w:num>
  <w:num w:numId="26" w16cid:durableId="1258174985">
    <w:abstractNumId w:val="8"/>
  </w:num>
  <w:num w:numId="27" w16cid:durableId="1584297725">
    <w:abstractNumId w:val="3"/>
  </w:num>
  <w:num w:numId="28" w16cid:durableId="1812012782">
    <w:abstractNumId w:val="2"/>
  </w:num>
  <w:num w:numId="29" w16cid:durableId="2052921268">
    <w:abstractNumId w:val="1"/>
  </w:num>
  <w:num w:numId="30" w16cid:durableId="879978752">
    <w:abstractNumId w:val="0"/>
  </w:num>
  <w:num w:numId="31" w16cid:durableId="150488839">
    <w:abstractNumId w:val="9"/>
  </w:num>
  <w:num w:numId="32" w16cid:durableId="168911993">
    <w:abstractNumId w:val="7"/>
  </w:num>
  <w:num w:numId="33" w16cid:durableId="790628725">
    <w:abstractNumId w:val="6"/>
  </w:num>
  <w:num w:numId="34" w16cid:durableId="553740433">
    <w:abstractNumId w:val="5"/>
  </w:num>
  <w:num w:numId="35" w16cid:durableId="121197690">
    <w:abstractNumId w:val="4"/>
  </w:num>
  <w:num w:numId="36" w16cid:durableId="1704670296">
    <w:abstractNumId w:val="8"/>
  </w:num>
  <w:num w:numId="37" w16cid:durableId="1333605936">
    <w:abstractNumId w:val="3"/>
  </w:num>
  <w:num w:numId="38" w16cid:durableId="1526207144">
    <w:abstractNumId w:val="2"/>
  </w:num>
  <w:num w:numId="39" w16cid:durableId="950741686">
    <w:abstractNumId w:val="1"/>
  </w:num>
  <w:num w:numId="40" w16cid:durableId="1773357032">
    <w:abstractNumId w:val="0"/>
  </w:num>
  <w:num w:numId="41" w16cid:durableId="1663728615">
    <w:abstractNumId w:val="10"/>
  </w:num>
  <w:num w:numId="42" w16cid:durableId="1595548352">
    <w:abstractNumId w:val="10"/>
  </w:num>
  <w:num w:numId="43" w16cid:durableId="2117165380">
    <w:abstractNumId w:val="10"/>
  </w:num>
  <w:num w:numId="44" w16cid:durableId="16473924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7/2026"/>
    <w:docVar w:name="dvlangue" w:val="PL"/>
    <w:docVar w:name="dvnumam" w:val="71"/>
    <w:docVar w:name="dvpe" w:val="778.252"/>
    <w:docVar w:name="dvrapporteur" w:val="Sprawozdawca: "/>
    <w:docVar w:name="dvtitre" w:val="Rezolucja Parlamentu Europejskiego z dnia  2026 r. w sprawie eliminowania barier na jednolitym rynku obrony(2025/2143(INI))"/>
  </w:docVars>
  <w:rsids>
    <w:rsidRoot w:val="00A43671"/>
    <w:rsid w:val="00002272"/>
    <w:rsid w:val="00025F1F"/>
    <w:rsid w:val="00064002"/>
    <w:rsid w:val="000677B9"/>
    <w:rsid w:val="000831BA"/>
    <w:rsid w:val="000A42CC"/>
    <w:rsid w:val="000E7DD9"/>
    <w:rsid w:val="0010095E"/>
    <w:rsid w:val="00125B37"/>
    <w:rsid w:val="00145163"/>
    <w:rsid w:val="00187494"/>
    <w:rsid w:val="001F32AE"/>
    <w:rsid w:val="002767FF"/>
    <w:rsid w:val="002B18FE"/>
    <w:rsid w:val="002B5493"/>
    <w:rsid w:val="00343214"/>
    <w:rsid w:val="00361C00"/>
    <w:rsid w:val="00395FA1"/>
    <w:rsid w:val="003A21A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ACA"/>
    <w:rsid w:val="00842779"/>
    <w:rsid w:val="0085270B"/>
    <w:rsid w:val="00865F67"/>
    <w:rsid w:val="00881A7B"/>
    <w:rsid w:val="008840E5"/>
    <w:rsid w:val="00887B3E"/>
    <w:rsid w:val="008C2AC6"/>
    <w:rsid w:val="00927478"/>
    <w:rsid w:val="00930C23"/>
    <w:rsid w:val="0093193B"/>
    <w:rsid w:val="009509D8"/>
    <w:rsid w:val="00950B64"/>
    <w:rsid w:val="00981893"/>
    <w:rsid w:val="00A1687D"/>
    <w:rsid w:val="00A43671"/>
    <w:rsid w:val="00A43E52"/>
    <w:rsid w:val="00A4678D"/>
    <w:rsid w:val="00A778C7"/>
    <w:rsid w:val="00AB441E"/>
    <w:rsid w:val="00AB6293"/>
    <w:rsid w:val="00AE0928"/>
    <w:rsid w:val="00AE2BF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CA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A7D39"/>
  <w15:chartTrackingRefBased/>
  <w15:docId w15:val="{AE0FC09F-D526-46B2-A778-677455A4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25F1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025F1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025F1F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025F1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025F1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25F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dir/2009/43/oj" TargetMode="External"/><Relationship Id="rId1" Type="http://schemas.openxmlformats.org/officeDocument/2006/relationships/hyperlink" Target="http://data.europa.eu/eli/dec/2017/2315/oj" TargetMode="External"/><Relationship Id="rId4" Type="http://schemas.openxmlformats.org/officeDocument/2006/relationships/hyperlink" Target="http://data.europa.eu/eli/reg/2024/1252/oj)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6069</Words>
  <Characters>42655</Characters>
  <Application>Microsoft Office Word</Application>
  <DocSecurity>4</DocSecurity>
  <Lines>355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ILLY_D</cp:lastModifiedBy>
  <cp:revision>2</cp:revision>
  <cp:lastPrinted>2004-11-19T15:42:00Z</cp:lastPrinted>
  <dcterms:created xsi:type="dcterms:W3CDTF">2026-06-08T17:27:00Z</dcterms:created>
  <dcterms:modified xsi:type="dcterms:W3CDTF">2026-06-08T17:27:00Z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A10-0017/2026</vt:lpwstr>
  </property>
  <property fmtid="{D5CDD505-2E9C-101B-9397-08002B2CF9AE}" pid="4" name="&lt;Type&gt;">
    <vt:lpwstr>RR</vt:lpwstr>
  </property>
</Properties>
</file>