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06A23" w14:paraId="6F78498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E9820C6" w14:textId="77777777" w:rsidR="00751A4A" w:rsidRPr="00406A23" w:rsidRDefault="00705055" w:rsidP="0010095E">
            <w:pPr>
              <w:pStyle w:val="EPName"/>
            </w:pPr>
            <w:r w:rsidRPr="00406A23">
              <w:t>Európsky parlament</w:t>
            </w:r>
          </w:p>
          <w:p w14:paraId="3D2E3D12" w14:textId="77777777" w:rsidR="00751A4A" w:rsidRPr="00406A2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06A23">
              <w:t>2024</w:t>
            </w:r>
            <w:r w:rsidR="00817416" w:rsidRPr="00406A23">
              <w:t>-202</w:t>
            </w:r>
            <w:r w:rsidRPr="00406A23">
              <w:t>9</w:t>
            </w:r>
          </w:p>
        </w:tc>
        <w:tc>
          <w:tcPr>
            <w:tcW w:w="2268" w:type="dxa"/>
            <w:shd w:val="clear" w:color="auto" w:fill="auto"/>
          </w:tcPr>
          <w:p w14:paraId="31E9C005" w14:textId="77777777" w:rsidR="00751A4A" w:rsidRPr="00406A23" w:rsidRDefault="00187494" w:rsidP="0010095E">
            <w:pPr>
              <w:pStyle w:val="EPLogo"/>
            </w:pPr>
            <w:r w:rsidRPr="00406A23">
              <w:rPr>
                <w:noProof/>
                <w:lang w:eastAsia="ja-JP"/>
              </w:rPr>
              <w:drawing>
                <wp:inline distT="0" distB="0" distL="0" distR="0" wp14:anchorId="795AB8DD" wp14:editId="2872EC9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AA4F81" w14:textId="77777777" w:rsidR="00D058B8" w:rsidRPr="00406A23" w:rsidRDefault="00D058B8" w:rsidP="004C5D52">
      <w:pPr>
        <w:pStyle w:val="LineTop"/>
      </w:pPr>
    </w:p>
    <w:p w14:paraId="44B90B5D" w14:textId="77777777" w:rsidR="00680577" w:rsidRPr="00406A23" w:rsidRDefault="00705055" w:rsidP="00680577">
      <w:pPr>
        <w:pStyle w:val="EPBodyTA1"/>
      </w:pPr>
      <w:r w:rsidRPr="00406A23">
        <w:t>PRIJATÉ TEXTY</w:t>
      </w:r>
    </w:p>
    <w:p w14:paraId="09F5C03C" w14:textId="77777777" w:rsidR="00D058B8" w:rsidRPr="00406A23" w:rsidRDefault="00D058B8" w:rsidP="00D058B8">
      <w:pPr>
        <w:pStyle w:val="LineBottom"/>
      </w:pPr>
    </w:p>
    <w:p w14:paraId="33DC8248" w14:textId="60DD8D4F" w:rsidR="00705055" w:rsidRPr="00406A23" w:rsidRDefault="00705055" w:rsidP="00705055">
      <w:pPr>
        <w:pStyle w:val="ATHeading1"/>
      </w:pPr>
      <w:bookmarkStart w:id="0" w:name="TANumber"/>
      <w:r w:rsidRPr="00406A23">
        <w:t>P10_TA(2026)00</w:t>
      </w:r>
      <w:r w:rsidR="00E44961">
        <w:t>79</w:t>
      </w:r>
      <w:bookmarkEnd w:id="0"/>
    </w:p>
    <w:p w14:paraId="2D7EDEBF" w14:textId="77777777" w:rsidR="00705055" w:rsidRPr="00406A23" w:rsidRDefault="00705055" w:rsidP="00705055">
      <w:pPr>
        <w:pStyle w:val="ATHeading2"/>
      </w:pPr>
      <w:bookmarkStart w:id="1" w:name="title"/>
      <w:r w:rsidRPr="00406A23">
        <w:t>Odstraňovanie prekážok jednotného trhu v oblasti obrany</w:t>
      </w:r>
      <w:bookmarkEnd w:id="1"/>
    </w:p>
    <w:p w14:paraId="77341003" w14:textId="77777777" w:rsidR="00705055" w:rsidRPr="00406A23" w:rsidRDefault="00705055" w:rsidP="00705055">
      <w:pPr>
        <w:rPr>
          <w:i/>
          <w:vanish/>
        </w:rPr>
      </w:pPr>
      <w:r w:rsidRPr="00406A23">
        <w:rPr>
          <w:i/>
        </w:rPr>
        <w:fldChar w:fldCharType="begin"/>
      </w:r>
      <w:r w:rsidRPr="00406A23">
        <w:rPr>
          <w:i/>
        </w:rPr>
        <w:instrText xml:space="preserve"> TC"(</w:instrText>
      </w:r>
      <w:bookmarkStart w:id="2" w:name="DocNumber"/>
      <w:r w:rsidRPr="00406A23">
        <w:rPr>
          <w:i/>
        </w:rPr>
        <w:instrText>A10-0017/2026</w:instrText>
      </w:r>
      <w:bookmarkEnd w:id="2"/>
      <w:r w:rsidRPr="00406A23">
        <w:rPr>
          <w:i/>
        </w:rPr>
        <w:instrText xml:space="preserve"> - Spravodajca: Tobias Cremer)"\l3 \n&gt; \* MERGEFORMAT </w:instrText>
      </w:r>
      <w:r w:rsidRPr="00406A23">
        <w:rPr>
          <w:i/>
        </w:rPr>
        <w:fldChar w:fldCharType="end"/>
      </w:r>
    </w:p>
    <w:p w14:paraId="23573FFF" w14:textId="77777777" w:rsidR="00705055" w:rsidRPr="00406A23" w:rsidRDefault="00705055" w:rsidP="00705055">
      <w:pPr>
        <w:rPr>
          <w:vanish/>
        </w:rPr>
      </w:pPr>
      <w:bookmarkStart w:id="3" w:name="Commission"/>
      <w:r w:rsidRPr="00406A23">
        <w:rPr>
          <w:vanish/>
        </w:rPr>
        <w:t>Výbor pre bezpečnosť a obranu</w:t>
      </w:r>
      <w:bookmarkEnd w:id="3"/>
    </w:p>
    <w:p w14:paraId="653EEBAE" w14:textId="77777777" w:rsidR="00705055" w:rsidRPr="00406A23" w:rsidRDefault="00705055" w:rsidP="00705055">
      <w:pPr>
        <w:rPr>
          <w:vanish/>
        </w:rPr>
      </w:pPr>
      <w:bookmarkStart w:id="4" w:name="PE"/>
      <w:r w:rsidRPr="00406A23">
        <w:rPr>
          <w:vanish/>
        </w:rPr>
        <w:t>PE778.252</w:t>
      </w:r>
      <w:bookmarkEnd w:id="4"/>
    </w:p>
    <w:p w14:paraId="39E46E71" w14:textId="560A7144" w:rsidR="00705055" w:rsidRPr="00406A23" w:rsidRDefault="00705055" w:rsidP="00705055">
      <w:pPr>
        <w:pStyle w:val="ATHeading3"/>
      </w:pPr>
      <w:bookmarkStart w:id="5" w:name="Sujet"/>
      <w:r w:rsidRPr="00406A23">
        <w:t xml:space="preserve">Uznesenie Európskeho parlamentu z </w:t>
      </w:r>
      <w:r w:rsidR="00FF5C8B" w:rsidRPr="00406A23">
        <w:t>11</w:t>
      </w:r>
      <w:r w:rsidRPr="00406A23">
        <w:t xml:space="preserve">. </w:t>
      </w:r>
      <w:r w:rsidR="00FF5C8B" w:rsidRPr="00406A23">
        <w:t xml:space="preserve">marca </w:t>
      </w:r>
      <w:r w:rsidRPr="00406A23">
        <w:t>2026 o odstraňovaní prekážok jednotného trhu v oblasti obrany</w:t>
      </w:r>
      <w:bookmarkEnd w:id="5"/>
      <w:r w:rsidRPr="00406A23">
        <w:t xml:space="preserve"> </w:t>
      </w:r>
      <w:bookmarkStart w:id="6" w:name="References"/>
      <w:r w:rsidRPr="00406A23">
        <w:t>(2025/2143(INI))</w:t>
      </w:r>
      <w:bookmarkEnd w:id="6"/>
    </w:p>
    <w:p w14:paraId="0F03FC2D" w14:textId="77777777" w:rsidR="008046FC" w:rsidRPr="00406A23" w:rsidRDefault="008046FC" w:rsidP="008046FC">
      <w:pPr>
        <w:pStyle w:val="Normal12"/>
      </w:pPr>
      <w:r w:rsidRPr="00406A23">
        <w:rPr>
          <w:i/>
        </w:rPr>
        <w:t>Európsky parlament</w:t>
      </w:r>
      <w:r w:rsidRPr="00406A23">
        <w:t>,</w:t>
      </w:r>
    </w:p>
    <w:p w14:paraId="26EDF61C" w14:textId="77777777" w:rsidR="008046FC" w:rsidRPr="00406A23" w:rsidRDefault="008046FC" w:rsidP="008046FC">
      <w:pPr>
        <w:pStyle w:val="NormalHanging"/>
      </w:pPr>
      <w:r w:rsidRPr="00406A23">
        <w:t>–</w:t>
      </w:r>
      <w:r w:rsidRPr="00406A23">
        <w:tab/>
        <w:t>so zreteľom na Zmluvu o fungovaní Európskej únie (ďalej len „ZFEÚ“),</w:t>
      </w:r>
    </w:p>
    <w:p w14:paraId="120746A6" w14:textId="77777777" w:rsidR="008046FC" w:rsidRPr="00406A23" w:rsidRDefault="008046FC" w:rsidP="008046FC">
      <w:pPr>
        <w:pStyle w:val="NormalHanging"/>
      </w:pPr>
      <w:r w:rsidRPr="00406A23">
        <w:t>–</w:t>
      </w:r>
      <w:r w:rsidRPr="00406A23">
        <w:tab/>
        <w:t>so zreteľom na vyhlásenie z Versailles prijaté na neformálnom stretnutí hláv štátov alebo predsedov vlád 11. marca 2022,</w:t>
      </w:r>
    </w:p>
    <w:p w14:paraId="3C2E03CE" w14:textId="77777777" w:rsidR="008046FC" w:rsidRPr="00406A23" w:rsidRDefault="008046FC" w:rsidP="008046FC">
      <w:pPr>
        <w:pStyle w:val="NormalHanging"/>
      </w:pPr>
      <w:r w:rsidRPr="00406A23">
        <w:t>–</w:t>
      </w:r>
      <w:r w:rsidRPr="00406A23">
        <w:tab/>
        <w:t>so zreteľom na Strategický kompas pre bezpečnosť a obranu – za Európsku úniu, ktorá chráni svojich občanov, hodnoty a záujmy a prispieva k medzinárodnému mieru a bezpečnosti, ktorý schválila Rada 21. marca 2022 a potvrdila Európska rada 25. marca 2022,</w:t>
      </w:r>
    </w:p>
    <w:p w14:paraId="4C54C3D6" w14:textId="77777777" w:rsidR="008046FC" w:rsidRPr="00406A23" w:rsidRDefault="008046FC" w:rsidP="008046FC">
      <w:pPr>
        <w:pStyle w:val="NormalHanging"/>
      </w:pPr>
      <w:r w:rsidRPr="00406A23">
        <w:t>–</w:t>
      </w:r>
      <w:r w:rsidRPr="00406A23">
        <w:tab/>
        <w:t>so zreteľom na rozhodnutie Rady (SZBP) 2017/2315 z 11. decembra 2017 o nadviazaní stálej štruktúrovanej spolupráce (PESCO) a stanovení zoznamu zúčastnených členských štátov</w:t>
      </w:r>
      <w:r w:rsidRPr="00406A23">
        <w:rPr>
          <w:rStyle w:val="FootnoteReference"/>
        </w:rPr>
        <w:footnoteReference w:customMarkFollows="1" w:id="1"/>
        <w:t>1</w:t>
      </w:r>
      <w:r w:rsidRPr="00406A23">
        <w:t>,</w:t>
      </w:r>
    </w:p>
    <w:p w14:paraId="6AE9C5F3" w14:textId="77777777" w:rsidR="008046FC" w:rsidRPr="00406A23" w:rsidRDefault="008046FC" w:rsidP="008046FC">
      <w:pPr>
        <w:pStyle w:val="NormalHanging"/>
      </w:pPr>
      <w:r w:rsidRPr="00406A23">
        <w:t>–</w:t>
      </w:r>
      <w:r w:rsidRPr="00406A23">
        <w:tab/>
        <w:t>so zreteľom na smernicu Európskeho parlamentu a Rady 2009/43/ES zo 6. mája 2009 o zjednodušení podmienok pre transfery výrobkov obranného priemyslu v rámci Spoločenstva</w:t>
      </w:r>
      <w:r w:rsidRPr="00406A23">
        <w:rPr>
          <w:rStyle w:val="FootnoteReference"/>
        </w:rPr>
        <w:footnoteReference w:customMarkFollows="1" w:id="2"/>
        <w:t>2</w:t>
      </w:r>
      <w:r w:rsidRPr="00406A23">
        <w:t>,</w:t>
      </w:r>
    </w:p>
    <w:p w14:paraId="255BF9FC" w14:textId="77777777" w:rsidR="008046FC" w:rsidRPr="00406A23" w:rsidRDefault="008046FC" w:rsidP="008046FC">
      <w:pPr>
        <w:pStyle w:val="NormalHanging"/>
      </w:pPr>
      <w:r w:rsidRPr="00406A23">
        <w:t>–</w:t>
      </w:r>
      <w:r w:rsidRPr="00406A23">
        <w:tab/>
        <w:t>so zreteľom na smernicu Európskeho parlamentu a Rady 2009/81/ES z 13. júla 2009 o koordinácii postupov pre zadávanie určitých zákaziek na práce, zákaziek na dodávku tovaru a zákaziek na služby verejnými obstarávateľmi alebo obstarávateľmi v oblastiach obrany a bezpečnosti a o zmene a doplnení smerníc 2004/17/ES a 2004/18/ES</w:t>
      </w:r>
      <w:r w:rsidRPr="00406A23">
        <w:rPr>
          <w:rStyle w:val="FootnoteReference"/>
        </w:rPr>
        <w:footnoteReference w:customMarkFollows="1" w:id="3"/>
        <w:t>3</w:t>
      </w:r>
      <w:r w:rsidRPr="00406A23">
        <w:t>,</w:t>
      </w:r>
    </w:p>
    <w:p w14:paraId="5491F204" w14:textId="77777777" w:rsidR="008046FC" w:rsidRPr="00406A23" w:rsidRDefault="008046FC" w:rsidP="008046FC">
      <w:pPr>
        <w:pStyle w:val="NormalHanging"/>
      </w:pPr>
      <w:r w:rsidRPr="00406A23">
        <w:t>–</w:t>
      </w:r>
      <w:r w:rsidRPr="00406A23">
        <w:tab/>
        <w:t>so zreteľom na nariadenie Európskeho parlamentu a Rady (EÚ) 2021/697 z 29. apríla 2021, ktorým sa zriaďuje Európsky obranný fond a zrušuje nariadenie (EÚ) 2018/1092</w:t>
      </w:r>
      <w:r w:rsidRPr="00406A23">
        <w:rPr>
          <w:rStyle w:val="FootnoteReference"/>
        </w:rPr>
        <w:footnoteReference w:customMarkFollows="1" w:id="4"/>
        <w:t>4</w:t>
      </w:r>
      <w:r w:rsidRPr="00406A23">
        <w:t>,</w:t>
      </w:r>
    </w:p>
    <w:p w14:paraId="7DFE6981" w14:textId="77777777" w:rsidR="008046FC" w:rsidRPr="00406A23" w:rsidRDefault="008046FC" w:rsidP="008046FC">
      <w:pPr>
        <w:pStyle w:val="NormalHanging"/>
      </w:pPr>
      <w:r w:rsidRPr="00406A23">
        <w:t>–</w:t>
      </w:r>
      <w:r w:rsidRPr="00406A23">
        <w:tab/>
        <w:t>so zreteľom na nariadenie Európskeho parlamentu a Rady (EÚ) 2023/1525 z 20. júla 2023 o podpore výroby munície</w:t>
      </w:r>
      <w:r w:rsidRPr="00406A23">
        <w:rPr>
          <w:rStyle w:val="FootnoteReference"/>
        </w:rPr>
        <w:footnoteReference w:customMarkFollows="1" w:id="5"/>
        <w:t>5</w:t>
      </w:r>
      <w:r w:rsidRPr="00406A23">
        <w:t>,</w:t>
      </w:r>
    </w:p>
    <w:p w14:paraId="242262D7" w14:textId="77777777" w:rsidR="008046FC" w:rsidRPr="00406A23" w:rsidRDefault="008046FC" w:rsidP="008046FC">
      <w:pPr>
        <w:pStyle w:val="NormalHanging"/>
      </w:pPr>
      <w:r w:rsidRPr="00406A23">
        <w:lastRenderedPageBreak/>
        <w:t>–</w:t>
      </w:r>
      <w:r w:rsidRPr="00406A23">
        <w:tab/>
        <w:t>so zreteľom na nariadenie Európskeho parlamentu a Rady (EÚ) 2023/2418 z 18. októbra 2023 o zriadení nástroja na posilnenie európskeho obranného priemyslu prostredníctvom spoločného obstarávania (EDIRPA)</w:t>
      </w:r>
      <w:r w:rsidRPr="00406A23">
        <w:rPr>
          <w:rStyle w:val="FootnoteReference"/>
        </w:rPr>
        <w:footnoteReference w:customMarkFollows="1" w:id="6"/>
        <w:t>6</w:t>
      </w:r>
      <w:r w:rsidRPr="00406A23">
        <w:t>,</w:t>
      </w:r>
    </w:p>
    <w:p w14:paraId="56369803" w14:textId="77777777" w:rsidR="008046FC" w:rsidRPr="00406A23" w:rsidRDefault="008046FC" w:rsidP="008046FC">
      <w:pPr>
        <w:pStyle w:val="NormalHanging"/>
      </w:pPr>
      <w:r w:rsidRPr="00406A23">
        <w:t>–</w:t>
      </w:r>
      <w:r w:rsidRPr="00406A23">
        <w:tab/>
        <w:t>so zreteľom na nariadenie Európskeho parlamentu a Rady (EÚ) 2025/2643 zo 16. decembra 2025, ktorým sa zriaďuje Program pre európsky obranný priemysel a rámec opatrení na zabezpečenie včasnej dostupnosti a dodávok obranných výrobkov (ďalej len „nariadenie o EDIP“)</w:t>
      </w:r>
      <w:r w:rsidRPr="00406A23">
        <w:rPr>
          <w:rStyle w:val="FootnoteReference"/>
        </w:rPr>
        <w:footnoteReference w:customMarkFollows="1" w:id="7"/>
        <w:t>7</w:t>
      </w:r>
      <w:r w:rsidRPr="00406A23">
        <w:t>,</w:t>
      </w:r>
    </w:p>
    <w:p w14:paraId="077296FE" w14:textId="77777777" w:rsidR="008046FC" w:rsidRPr="00406A23" w:rsidRDefault="008046FC" w:rsidP="008046FC">
      <w:pPr>
        <w:pStyle w:val="NormalHanging"/>
      </w:pPr>
      <w:r w:rsidRPr="00406A23">
        <w:t>–</w:t>
      </w:r>
      <w:r w:rsidRPr="00406A23">
        <w:tab/>
        <w:t xml:space="preserve">so zreteľom na nariadenie Európskeho parlamentu a Rady (EÚ) 2025/2653 z 19. decembra 2025, ktorým sa menia nariadenia (EÚ) 2021/694, (EÚ) 2021/695, (EÚ) 2021/697, (EÚ) 2021/1153 a (EÚ) 2024/795, pokiaľ ide o stimulovanie investícií do obrany v rozpočte EÚ na účely vykonávania plánu </w:t>
      </w:r>
      <w:proofErr w:type="spellStart"/>
      <w:r w:rsidRPr="00406A23">
        <w:t>ReArm</w:t>
      </w:r>
      <w:proofErr w:type="spellEnd"/>
      <w:r w:rsidRPr="00406A23">
        <w:t xml:space="preserve"> Europe</w:t>
      </w:r>
      <w:r w:rsidRPr="00406A23">
        <w:rPr>
          <w:rStyle w:val="FootnoteReference"/>
        </w:rPr>
        <w:footnoteReference w:customMarkFollows="1" w:id="8"/>
        <w:t>8</w:t>
      </w:r>
      <w:r w:rsidRPr="00406A23">
        <w:t>,</w:t>
      </w:r>
    </w:p>
    <w:p w14:paraId="521730F7" w14:textId="77777777" w:rsidR="008046FC" w:rsidRPr="00406A23" w:rsidRDefault="008046FC" w:rsidP="008046FC">
      <w:pPr>
        <w:pStyle w:val="NormalHanging"/>
      </w:pPr>
      <w:r w:rsidRPr="00406A23">
        <w:t>–</w:t>
      </w:r>
      <w:r w:rsidRPr="00406A23">
        <w:tab/>
        <w:t>so zreteľom na nariadenie Rady (EÚ) 2025/1106 z 27. mája 2025, ktorým sa zriaďuje Nástroj bezpečnostnej akcie pre Európu posilnením európskeho obranného priemyslu (SAFE)</w:t>
      </w:r>
      <w:r w:rsidRPr="00406A23">
        <w:rPr>
          <w:rStyle w:val="FootnoteReference"/>
        </w:rPr>
        <w:footnoteReference w:customMarkFollows="1" w:id="9"/>
        <w:t>9</w:t>
      </w:r>
      <w:r w:rsidRPr="00406A23">
        <w:t>,</w:t>
      </w:r>
    </w:p>
    <w:p w14:paraId="5EBE5164" w14:textId="77777777" w:rsidR="008046FC" w:rsidRPr="00406A23" w:rsidRDefault="008046FC" w:rsidP="008046FC">
      <w:pPr>
        <w:pStyle w:val="NormalHanging"/>
      </w:pPr>
      <w:r w:rsidRPr="00406A23">
        <w:t>–</w:t>
      </w:r>
      <w:r w:rsidRPr="00406A23">
        <w:tab/>
        <w:t>so zreteľom na návrh Komisie zo 17. júna 2025 na nariadenie Európskeho parlamentu a Rady o urýchlení vydávania povolení na projekty obrannej pripravenosti (COM(2025)0821), na návrh Komisie zo 17. júna 2025 na nariadenie Európskeho parlamentu a Rady, ktorým sa menia nariadenia (ES) č. 1907/2006, (ES) č. 1272/2008, (EÚ) č. 528/2012, (EÚ) 2019/1021 a (EÚ) 2021/697, pokiaľ ide o obrannú pripravenosť a uľahčenie investícií do obrany a podmienok pre obranný priemysel (COM(2025)0822), a na návrh Komisie zo 17. júna 2025 na smernicu Európskeho parlamentu a Rady, ktorou sa menia smernice 2009/43/ES a 2009/81/ES, pokiaľ ide o zjednodušenie transferov výrobkov obranného priemyslu v rámci EÚ a zjednodušenie obstarávania v oblasti bezpečnosti a obrany (COM(2025)0823), ako súčasť súhrnného balíka opatrení v oblasti obrannej pripravenosti zo 17. júna 2025,</w:t>
      </w:r>
    </w:p>
    <w:p w14:paraId="4645451D" w14:textId="77777777" w:rsidR="008046FC" w:rsidRPr="00406A23" w:rsidRDefault="008046FC" w:rsidP="008046FC">
      <w:pPr>
        <w:pStyle w:val="NormalHanging"/>
      </w:pPr>
      <w:r w:rsidRPr="00406A23">
        <w:t>–</w:t>
      </w:r>
      <w:r w:rsidRPr="00406A23">
        <w:tab/>
        <w:t>so zreteľom na závery Európskej rady týkajúce sa európskej obrany, najmä zo 6. marca 2025, 20. marca 2025, 26. júna 2025 a 23. októbra 2025,</w:t>
      </w:r>
    </w:p>
    <w:p w14:paraId="6A7956EE" w14:textId="77777777" w:rsidR="008046FC" w:rsidRPr="00406A23" w:rsidRDefault="008046FC" w:rsidP="008046FC">
      <w:pPr>
        <w:pStyle w:val="NormalHanging"/>
      </w:pPr>
      <w:r w:rsidRPr="00406A23">
        <w:t>–</w:t>
      </w:r>
      <w:r w:rsidRPr="00406A23">
        <w:tab/>
        <w:t>so zreteľom na svoje uznesenie z 25. marca 2021 o vykonávaní smernice 2009/81/ES o verejnom obstarávaní v oblasti obrany a bezpečnosti a smernice 2009/43/ES o transfere výrobkov obranného priemyslu</w:t>
      </w:r>
      <w:r w:rsidRPr="00406A23">
        <w:rPr>
          <w:rStyle w:val="FootnoteReference"/>
        </w:rPr>
        <w:footnoteReference w:customMarkFollows="1" w:id="10"/>
        <w:t>10</w:t>
      </w:r>
      <w:r w:rsidRPr="00406A23">
        <w:t>,</w:t>
      </w:r>
    </w:p>
    <w:p w14:paraId="4C08C9CB" w14:textId="77777777" w:rsidR="008046FC" w:rsidRPr="00406A23" w:rsidRDefault="008046FC" w:rsidP="008046FC">
      <w:pPr>
        <w:pStyle w:val="NormalHanging"/>
      </w:pPr>
      <w:r w:rsidRPr="00406A23">
        <w:t>–</w:t>
      </w:r>
      <w:r w:rsidRPr="00406A23">
        <w:tab/>
        <w:t>so zreteľom na svoje uznesenie z 2. apríla 2025 o vykonávaní spoločnej zahraničnej a bezpečnostnej politiky – výročná správa za rok 2024</w:t>
      </w:r>
      <w:r w:rsidRPr="00406A23">
        <w:rPr>
          <w:rStyle w:val="FootnoteReference"/>
        </w:rPr>
        <w:footnoteReference w:customMarkFollows="1" w:id="11"/>
        <w:t>11</w:t>
      </w:r>
      <w:r w:rsidRPr="00406A23">
        <w:t>,</w:t>
      </w:r>
    </w:p>
    <w:p w14:paraId="083248B7" w14:textId="77777777" w:rsidR="008046FC" w:rsidRPr="00406A23" w:rsidRDefault="008046FC" w:rsidP="008046FC">
      <w:pPr>
        <w:pStyle w:val="NormalHanging"/>
      </w:pPr>
      <w:r w:rsidRPr="00406A23">
        <w:t>–</w:t>
      </w:r>
      <w:r w:rsidRPr="00406A23">
        <w:tab/>
        <w:t>so zreteľom na svoje uznesenie z 25. novembra 2025 o inštitucionálnych aspektoch správy o budúcnosti európskej konkurencieschopnosti (</w:t>
      </w:r>
      <w:proofErr w:type="spellStart"/>
      <w:r w:rsidRPr="00406A23">
        <w:t>Draghiho</w:t>
      </w:r>
      <w:proofErr w:type="spellEnd"/>
      <w:r w:rsidRPr="00406A23">
        <w:t xml:space="preserve"> správa)</w:t>
      </w:r>
      <w:r w:rsidRPr="00406A23">
        <w:rPr>
          <w:rStyle w:val="FootnoteReference"/>
        </w:rPr>
        <w:footnoteReference w:customMarkFollows="1" w:id="12"/>
        <w:t>12</w:t>
      </w:r>
      <w:r w:rsidRPr="00406A23">
        <w:t>,</w:t>
      </w:r>
    </w:p>
    <w:p w14:paraId="0C1C5167" w14:textId="77777777" w:rsidR="008046FC" w:rsidRPr="00406A23" w:rsidRDefault="008046FC" w:rsidP="008046FC">
      <w:pPr>
        <w:pStyle w:val="NormalHanging"/>
      </w:pPr>
      <w:r w:rsidRPr="00406A23">
        <w:lastRenderedPageBreak/>
        <w:t>–</w:t>
      </w:r>
      <w:r w:rsidRPr="00406A23">
        <w:tab/>
        <w:t xml:space="preserve">so zreteľom na spoločné oznámenie Komisie a vysokého predstaviteľa Únie pre zahraničné veci a bezpečnostnú politiku z 5. marca 2024 s názvom Nová stratégia pre európsky obranný priemysel: dosahovanie pripravenosti EÚ prostredníctvom </w:t>
      </w:r>
      <w:proofErr w:type="spellStart"/>
      <w:r w:rsidRPr="00406A23">
        <w:t>reakcieschopnejšieho</w:t>
      </w:r>
      <w:proofErr w:type="spellEnd"/>
      <w:r w:rsidRPr="00406A23">
        <w:t xml:space="preserve"> a odolnejšieho európskeho obranného priemyslu (JOIN(2024)0010),</w:t>
      </w:r>
    </w:p>
    <w:p w14:paraId="356B8362" w14:textId="77777777" w:rsidR="008046FC" w:rsidRPr="00406A23" w:rsidRDefault="008046FC" w:rsidP="008046FC">
      <w:pPr>
        <w:pStyle w:val="NormalHanging"/>
      </w:pPr>
      <w:r w:rsidRPr="00406A23">
        <w:t>–</w:t>
      </w:r>
      <w:r w:rsidRPr="00406A23">
        <w:tab/>
        <w:t xml:space="preserve">so zreteľom na politické usmernenia pre budúcu Európsku komisiu na obdobie 2024 – 2029 s názvom Európa má na výber, ktoré 18. júla 2025 predstavila kandidátka na predsedníčku Európskej komisie </w:t>
      </w:r>
      <w:proofErr w:type="spellStart"/>
      <w:r w:rsidRPr="00406A23">
        <w:t>Ursula</w:t>
      </w:r>
      <w:proofErr w:type="spellEnd"/>
      <w:r w:rsidRPr="00406A23">
        <w:t xml:space="preserve"> von der </w:t>
      </w:r>
      <w:proofErr w:type="spellStart"/>
      <w:r w:rsidRPr="00406A23">
        <w:t>Leyen</w:t>
      </w:r>
      <w:proofErr w:type="spellEnd"/>
      <w:r w:rsidRPr="00406A23">
        <w:t>,</w:t>
      </w:r>
    </w:p>
    <w:p w14:paraId="789C0B75" w14:textId="77777777" w:rsidR="008046FC" w:rsidRPr="00406A23" w:rsidRDefault="008046FC" w:rsidP="008046FC">
      <w:pPr>
        <w:pStyle w:val="NormalHanging"/>
      </w:pPr>
      <w:r w:rsidRPr="00406A23">
        <w:t>–</w:t>
      </w:r>
      <w:r w:rsidRPr="00406A23">
        <w:tab/>
        <w:t xml:space="preserve">so zreteľom na správu Maria </w:t>
      </w:r>
      <w:proofErr w:type="spellStart"/>
      <w:r w:rsidRPr="00406A23">
        <w:t>Draghiho</w:t>
      </w:r>
      <w:proofErr w:type="spellEnd"/>
      <w:r w:rsidRPr="00406A23">
        <w:t xml:space="preserve"> z 9. septembra 2024 s názvom Budúcnosť európskej konkurencieschopnosti (</w:t>
      </w:r>
      <w:proofErr w:type="spellStart"/>
      <w:r w:rsidRPr="00406A23">
        <w:t>Draghiho</w:t>
      </w:r>
      <w:proofErr w:type="spellEnd"/>
      <w:r w:rsidRPr="00406A23">
        <w:t xml:space="preserve"> správa), a najmä jej kapitolu 4 o zvyšovaní bezpečnosti a znižovaní závislosti,</w:t>
      </w:r>
    </w:p>
    <w:p w14:paraId="157084F0" w14:textId="77777777" w:rsidR="008046FC" w:rsidRPr="00406A23" w:rsidRDefault="008046FC" w:rsidP="008046FC">
      <w:pPr>
        <w:pStyle w:val="NormalHanging"/>
      </w:pPr>
      <w:r w:rsidRPr="00406A23">
        <w:t>–</w:t>
      </w:r>
      <w:r w:rsidRPr="00406A23">
        <w:tab/>
        <w:t xml:space="preserve">so zreteľom na správu </w:t>
      </w:r>
      <w:proofErr w:type="spellStart"/>
      <w:r w:rsidRPr="00406A23">
        <w:t>Sauliho</w:t>
      </w:r>
      <w:proofErr w:type="spellEnd"/>
      <w:r w:rsidRPr="00406A23">
        <w:t xml:space="preserve"> </w:t>
      </w:r>
      <w:proofErr w:type="spellStart"/>
      <w:r w:rsidRPr="00406A23">
        <w:t>Niinistöho</w:t>
      </w:r>
      <w:proofErr w:type="spellEnd"/>
      <w:r w:rsidRPr="00406A23">
        <w:t xml:space="preserve"> z 30. októbra 2024 s názvom Spoločne bezpečnejší: posilnenie európskej civilnej a vojenskej pripravenosti a pohotovosti (</w:t>
      </w:r>
      <w:proofErr w:type="spellStart"/>
      <w:r w:rsidRPr="00406A23">
        <w:t>Niinistöho</w:t>
      </w:r>
      <w:proofErr w:type="spellEnd"/>
      <w:r w:rsidRPr="00406A23">
        <w:t xml:space="preserve"> správa),</w:t>
      </w:r>
    </w:p>
    <w:p w14:paraId="18A8A15D" w14:textId="77777777" w:rsidR="008046FC" w:rsidRPr="00406A23" w:rsidRDefault="008046FC" w:rsidP="008046FC">
      <w:pPr>
        <w:pStyle w:val="NormalHanging"/>
      </w:pPr>
      <w:r w:rsidRPr="00406A23">
        <w:t>–</w:t>
      </w:r>
      <w:r w:rsidRPr="00406A23">
        <w:tab/>
        <w:t xml:space="preserve">so zreteľom na správu </w:t>
      </w:r>
      <w:proofErr w:type="spellStart"/>
      <w:r w:rsidRPr="00406A23">
        <w:t>Enrica</w:t>
      </w:r>
      <w:proofErr w:type="spellEnd"/>
      <w:r w:rsidRPr="00406A23">
        <w:t xml:space="preserve"> </w:t>
      </w:r>
      <w:proofErr w:type="spellStart"/>
      <w:r w:rsidRPr="00406A23">
        <w:t>Lettu</w:t>
      </w:r>
      <w:proofErr w:type="spellEnd"/>
      <w:r w:rsidRPr="00406A23">
        <w:t xml:space="preserve"> z 10. apríla 2024 s názvom Oveľa viac než len trh – rýchlosť, bezpečnosť, solidarita: posilnenie jednotného trhu s cieľom zabezpečiť udržateľnú budúcnosť a prosperitu pre všetkých občanov EÚ (</w:t>
      </w:r>
      <w:proofErr w:type="spellStart"/>
      <w:r w:rsidRPr="00406A23">
        <w:t>Lettova</w:t>
      </w:r>
      <w:proofErr w:type="spellEnd"/>
      <w:r w:rsidRPr="00406A23">
        <w:t xml:space="preserve"> správa),</w:t>
      </w:r>
    </w:p>
    <w:p w14:paraId="18432CC7" w14:textId="77777777" w:rsidR="008046FC" w:rsidRPr="00406A23" w:rsidRDefault="008046FC" w:rsidP="008046FC">
      <w:pPr>
        <w:pStyle w:val="NormalHanging"/>
      </w:pPr>
      <w:r w:rsidRPr="00406A23">
        <w:t>–</w:t>
      </w:r>
      <w:r w:rsidRPr="00406A23">
        <w:tab/>
        <w:t>so zreteľom na spoločné oznámenie Komisie a vysokej predstaviteľky Únie pre zahraničné veci a bezpečnostnú politiku z 19. marca 2025 s názvom Spoločná biela kniha o pripravenosti európskej obrany 2030 (JOIN(2025)0120),</w:t>
      </w:r>
    </w:p>
    <w:p w14:paraId="6419866A" w14:textId="77777777" w:rsidR="008046FC" w:rsidRPr="00406A23" w:rsidRDefault="008046FC" w:rsidP="008046FC">
      <w:pPr>
        <w:pStyle w:val="NormalHanging"/>
      </w:pPr>
      <w:r w:rsidRPr="00406A23">
        <w:t>–</w:t>
      </w:r>
      <w:r w:rsidRPr="00406A23">
        <w:tab/>
        <w:t>so zreteľom na článok 55 rokovacieho poriadku,</w:t>
      </w:r>
    </w:p>
    <w:p w14:paraId="42466C38" w14:textId="77777777" w:rsidR="008046FC" w:rsidRPr="00406A23" w:rsidRDefault="008046FC" w:rsidP="008046FC">
      <w:pPr>
        <w:pStyle w:val="NormalHanging"/>
      </w:pPr>
      <w:r w:rsidRPr="00406A23">
        <w:t>–</w:t>
      </w:r>
      <w:r w:rsidRPr="00406A23">
        <w:tab/>
        <w:t>so zreteľom na stanoviská Výboru pre hospodárske a menové veci a Výboru pre vnútorný trh a ochranu spotrebiteľa,</w:t>
      </w:r>
    </w:p>
    <w:p w14:paraId="22B286C6" w14:textId="77777777" w:rsidR="008046FC" w:rsidRPr="00406A23" w:rsidRDefault="008046FC" w:rsidP="008046FC">
      <w:pPr>
        <w:pStyle w:val="NormalHanging"/>
      </w:pPr>
      <w:r w:rsidRPr="00406A23">
        <w:t>–</w:t>
      </w:r>
      <w:r w:rsidRPr="00406A23">
        <w:tab/>
        <w:t>so zreteľom na správu Výboru pre bezpečnosť a obranu (A10-0017/2026),</w:t>
      </w:r>
    </w:p>
    <w:p w14:paraId="35E91905" w14:textId="77777777" w:rsidR="008046FC" w:rsidRPr="00406A23" w:rsidRDefault="008046FC" w:rsidP="008046FC">
      <w:pPr>
        <w:pStyle w:val="NormalHanging"/>
      </w:pPr>
      <w:r w:rsidRPr="00406A23">
        <w:t>A.</w:t>
      </w:r>
      <w:r w:rsidRPr="00406A23">
        <w:tab/>
        <w:t xml:space="preserve">keďže desaťročia obstarávania v oblasti obrany zameraného na vnútroštátnu úroveň, fragmentácia priemyslu, regulačné prekážky, nedostatočné investície, rozdielne posúdenie hrozieb a ciele zahraničnej politiky, chýbajúce integrované plánovanie spôsobilostí a agregovaný dopyt, ako aj hospodárska súťaž v oblasti duševného vlastníctva zabránili vzniku účinného a plne integrovaného jednotného trhu v oblasti obrany a oslabili </w:t>
      </w:r>
      <w:proofErr w:type="spellStart"/>
      <w:r w:rsidRPr="00406A23">
        <w:t>interoperabilitu</w:t>
      </w:r>
      <w:proofErr w:type="spellEnd"/>
      <w:r w:rsidRPr="00406A23">
        <w:t xml:space="preserve"> obranných systémov členských štátov, čo daňovým poplatníkom spôsobuje značné dodatočné náklady a zároveň narúša schopnosť EÚ chrániť bezpečnosť svojich občanov, oslabuje európsku obrannú technologickú a priemyselnú základňu (EDTIB) a bráni plnému dosiahnutiu strategickej autonómie, odolnosti a konkurencieschopnosti Európy;</w:t>
      </w:r>
    </w:p>
    <w:p w14:paraId="4A71AC68" w14:textId="77777777" w:rsidR="008046FC" w:rsidRPr="00406A23" w:rsidRDefault="008046FC" w:rsidP="008046FC">
      <w:pPr>
        <w:pStyle w:val="NormalHanging"/>
      </w:pPr>
      <w:r w:rsidRPr="00406A23">
        <w:t>B.</w:t>
      </w:r>
      <w:r w:rsidRPr="00406A23">
        <w:tab/>
        <w:t xml:space="preserve">keďže v </w:t>
      </w:r>
      <w:proofErr w:type="spellStart"/>
      <w:r w:rsidRPr="00406A23">
        <w:t>Lettovej</w:t>
      </w:r>
      <w:proofErr w:type="spellEnd"/>
      <w:r w:rsidRPr="00406A23">
        <w:t xml:space="preserve"> správe aj </w:t>
      </w:r>
      <w:proofErr w:type="spellStart"/>
      <w:r w:rsidRPr="00406A23">
        <w:t>Draghiho</w:t>
      </w:r>
      <w:proofErr w:type="spellEnd"/>
      <w:r w:rsidRPr="00406A23">
        <w:t xml:space="preserve"> správe sa zdôrazňuje kombinácia štrukturálnych nedostatkov, ktoré ovplyvňujú konkurencieschopnosť EDTIB, a ako základné výzvy sa v nich uvádzajú fragmentácia, nedostatočné verejné výdavky na obranu a obmedzený prístup k financovaniu, a preto uznávajú potrebu vybudovať skutočný jednotný trh v oblasti obrany; keďže v spoločnej bielej knihe o európskej obrannej pripravenosti 2030 sa zdôrazňuje, že opatrenia by sa mali zamerať na pravidlá a postupy obstarávania v oblasti obrany, transfery výrobkov obranného priemyslu v rámci EÚ a vzájomné uznávanie vnútroštátnych povolení na certifikáciu; keďže v </w:t>
      </w:r>
      <w:proofErr w:type="spellStart"/>
      <w:r w:rsidRPr="00406A23">
        <w:t>Niinistöho</w:t>
      </w:r>
      <w:proofErr w:type="spellEnd"/>
      <w:r w:rsidRPr="00406A23">
        <w:t xml:space="preserve"> správe sa tiež </w:t>
      </w:r>
      <w:r w:rsidRPr="00406A23">
        <w:lastRenderedPageBreak/>
        <w:t>zdôrazňuje potreba zvýšiť celkovú pripravenosť Európy vrátane integrácie civilnej a vojenskej odolnosti a poukazuje sa na to, že tieto potreby možno účinnejšie uspokojiť aj jednotným trhom v oblasti obrany;</w:t>
      </w:r>
    </w:p>
    <w:p w14:paraId="05EFF896" w14:textId="77777777" w:rsidR="008046FC" w:rsidRPr="00406A23" w:rsidRDefault="008046FC" w:rsidP="008046FC">
      <w:pPr>
        <w:pStyle w:val="NormalHanging"/>
      </w:pPr>
      <w:r w:rsidRPr="00406A23">
        <w:t>C.</w:t>
      </w:r>
      <w:r w:rsidRPr="00406A23">
        <w:tab/>
        <w:t xml:space="preserve">keďže odolná, konkurencieschopná a inovatívna európska obranná priemyselná základňa je nevyhnutná na dosiahnutie cieľov Strategického kompasu a na zabezpečenie schopnosti EÚ odrádzať a brániť sa v zmysle programu Pripravenosť 2030; keďže si to vyžaduje súdržnú priemyselnú a technologickú politiku, ktorá podporuje </w:t>
      </w:r>
      <w:proofErr w:type="spellStart"/>
      <w:r w:rsidRPr="00406A23">
        <w:t>interoperabilné</w:t>
      </w:r>
      <w:proofErr w:type="spellEnd"/>
      <w:r w:rsidRPr="00406A23">
        <w:t xml:space="preserve"> spôsobilosti, zabezpečuje kritické dodávateľské reťazce, podporuje malé a stredné podniky (MSP) a presadzuje inovácie s dvojakým použitím;</w:t>
      </w:r>
    </w:p>
    <w:p w14:paraId="62204E0F" w14:textId="77777777" w:rsidR="008046FC" w:rsidRPr="00406A23" w:rsidRDefault="008046FC" w:rsidP="008046FC">
      <w:pPr>
        <w:pStyle w:val="NormalHanging"/>
      </w:pPr>
      <w:r w:rsidRPr="00406A23">
        <w:t>D.</w:t>
      </w:r>
      <w:r w:rsidRPr="00406A23">
        <w:tab/>
        <w:t>keďže podniky pôsobiace v sektore obrany z menších členských štátov boli v minulosti obzvlášť postihnuté príliš prísnym prístupom iných členských štátov k transferom v rámci EÚ a kontrolám vývozu, čo ukazuje, ako môže jeden kritický bod ohroziť celoeurópske dodávateľské reťazce; keďže MSP čelia osobitným prekážkam vstupu na trhy v oblasti obrany; keďže v súčasných pravidlách EÚ v oblasti hospodárskej súťaže a rámcoch pre štátnu pomoc chýbajú prispôsobené ustanovenia pre cezhraničné projekty spolupráce v oblasti obrany, čo môže brániť priemyselnej spolupráci a konsolidácii; keďže pre obranné projekty financované z finančných nástrojov EÚ neexistuje žiadna osobitná skupinová výnimka ani podobný uľahčujúci mechanizmus, čo vytvára právnu neistotu pre spoločnosti zapojené do spoločného výskumu a vývoja; keďže chýbajúci primeraný rámec duševného vlastníctva a udeľovania licencií pre výskum a vývoj v oblasti obrany financovaný z verejných zdrojov obmedzuje výrobu certifikovaných európskych dizajnov viacerými výrobcami a obmedzuje účinnosť nástrojov spoločného obstarávania;</w:t>
      </w:r>
    </w:p>
    <w:p w14:paraId="0C5F7ECD" w14:textId="77777777" w:rsidR="008046FC" w:rsidRPr="00406A23" w:rsidRDefault="008046FC" w:rsidP="008046FC">
      <w:pPr>
        <w:pStyle w:val="NormalHanging"/>
      </w:pPr>
      <w:r w:rsidRPr="00406A23">
        <w:t>E.</w:t>
      </w:r>
      <w:r w:rsidRPr="00406A23">
        <w:tab/>
        <w:t>keďže európsky obranný priemysel čelí vážnemu nedostatku kvalifikovaných pracovníkov a starnutiu pracovnej sily, čo môže spôsobiť úzke miesta vo výrobe, a tým obmedziť jej rozširovanie; keďže rozdielne vnútroštátne požiadavky na bezpečnostnú previerku zamestnancov a spoločností obranného priemyslu bránia zvýšenej cezhraničnej spolupráci tým, že podrobujú firmy alebo inžinierov, ktorí sú preverení na zaobchádzanie s utajovanými skutočnosťami v jednom členskom štáte, zdĺhavému duplicitnému preverovaniu v iných členských štátoch; keďže rýchlemu prijímaniu a využívaniu inovatívnych technológií v európskych ozbrojených silách bránia dlhé vývojové cykly a vysoká averzia voči riziku;</w:t>
      </w:r>
    </w:p>
    <w:p w14:paraId="469040C9" w14:textId="77777777" w:rsidR="008046FC" w:rsidRPr="00406A23" w:rsidRDefault="008046FC" w:rsidP="008046FC">
      <w:pPr>
        <w:pStyle w:val="NormalHanging"/>
      </w:pPr>
      <w:r w:rsidRPr="00406A23">
        <w:t>F.</w:t>
      </w:r>
      <w:r w:rsidRPr="00406A23">
        <w:tab/>
        <w:t>keďže v záujme zvýšenia verejnej podpory týchto investícií je potrebné, aby sa hospodárske výnosy a prínosy vyvážene a proporcionálne rozdelili v celej EÚ, pričom sa zohľadnia špecifiká národných obranných priemyselných základní; keďže cezhraničná spolupráca by mala zabezpečiť aj spravodlivú a plnú účasť MSP a malých spoločností so strednou trhovou kapitalizáciou v hodnotovom reťazci v oblasti obrany a posilniť regionálnu súdržnosť v celej EÚ; keďže investície do obrany majú potenciál vytvárať kvalitné pracovné miesta v mnohých regiónoch, čím prispievajú k dosiahnutiu cieľov súdržnosti;</w:t>
      </w:r>
    </w:p>
    <w:p w14:paraId="27122F58" w14:textId="77777777" w:rsidR="008046FC" w:rsidRPr="00406A23" w:rsidRDefault="008046FC" w:rsidP="008046FC">
      <w:pPr>
        <w:pStyle w:val="NormalHanging"/>
      </w:pPr>
      <w:r w:rsidRPr="00406A23">
        <w:t>G.</w:t>
      </w:r>
      <w:r w:rsidRPr="00406A23">
        <w:tab/>
        <w:t>keďže nedávne udalosti odhalili riziká koncentrácie dodávateľských reťazcov v európskom obrannom sektore, pričom kritické výrobky a vstupy obranného priemyslu často závisia od jedného dodávateľa alebo veľmi obmedzeného počtu dodávateľov; keďže takáto koncentrácia vytvára jednotlivé body zlyhania a zraniteľnosti v čase krízy, čo zdôrazňuje naliehavú potrebu diverzifikácie a redundancie zdrojov dodávok;</w:t>
      </w:r>
    </w:p>
    <w:p w14:paraId="7FAF1204" w14:textId="77777777" w:rsidR="008046FC" w:rsidRPr="00406A23" w:rsidRDefault="008046FC" w:rsidP="008046FC">
      <w:pPr>
        <w:pStyle w:val="NormalHanging"/>
      </w:pPr>
      <w:r w:rsidRPr="00406A23">
        <w:lastRenderedPageBreak/>
        <w:t>H.</w:t>
      </w:r>
      <w:r w:rsidRPr="00406A23">
        <w:tab/>
        <w:t xml:space="preserve">keďže podľa </w:t>
      </w:r>
      <w:proofErr w:type="spellStart"/>
      <w:r w:rsidRPr="00406A23">
        <w:t>Draghiho</w:t>
      </w:r>
      <w:proofErr w:type="spellEnd"/>
      <w:r w:rsidRPr="00406A23">
        <w:t xml:space="preserve"> správy tvorilo európske </w:t>
      </w:r>
      <w:proofErr w:type="spellStart"/>
      <w:r w:rsidRPr="00406A23">
        <w:t>kolaboratívne</w:t>
      </w:r>
      <w:proofErr w:type="spellEnd"/>
      <w:r w:rsidRPr="00406A23">
        <w:t xml:space="preserve"> obstarávanie v roku 2022 len 18 % výdavkov na obstarávanie obranného vybavenia, čo je výrazne pod referenčnou hodnotou 35 % dohodnutou v rámcoch Európskej obrannej agentúry (EDA); keďže EÚ si stanovila politický cieľ, že do roku 2030 bude aspoň polovicu svojho obranného vybavenia získavať z európskej výroby;</w:t>
      </w:r>
    </w:p>
    <w:p w14:paraId="7A53157E" w14:textId="77777777" w:rsidR="008046FC" w:rsidRPr="00406A23" w:rsidRDefault="008046FC" w:rsidP="008046FC">
      <w:pPr>
        <w:pStyle w:val="NormalHanging"/>
      </w:pPr>
      <w:r w:rsidRPr="00406A23">
        <w:t>I.</w:t>
      </w:r>
      <w:r w:rsidRPr="00406A23">
        <w:tab/>
        <w:t>keďže cieľ vytvoriť jednotný trh v oblasti obrany je v konečnom dôsledku prostriedkom na dosiahnutie bezpečnosti a strategickej autonómie Európy, a nie cieľ sám osebe; keďže integrácia obranného priemyslu by mala slúžiť schopnosti EÚ chrániť svojich občanov a hodnoty, zabezpečiť odolnosť a odstrašujúci účinok a zachovať si slobodu konania; keďže je potrebné nájsť rovnováhu medzi efektívnosťou trhu a požiadavkami zvrchovanosti a solidarity;</w:t>
      </w:r>
    </w:p>
    <w:p w14:paraId="606C6E4B" w14:textId="77777777" w:rsidR="008046FC" w:rsidRPr="00406A23" w:rsidRDefault="008046FC" w:rsidP="008046FC">
      <w:pPr>
        <w:pStyle w:val="NormalHanging"/>
      </w:pPr>
      <w:r w:rsidRPr="00406A23">
        <w:t>J.</w:t>
      </w:r>
      <w:r w:rsidRPr="00406A23">
        <w:tab/>
        <w:t>keďže spoločné plánovanie obranných spôsobilostí, vývoj, výroba a obstarávanie v EÚ by umožnilo zvýšiť efektívnosť a účinnosť verejných investícií a priemyselných a prevádzkových prínosov, čím by sa zvýšila sociálna a politická akceptácia potrebného zvýšenia investícií do obrany v čase obmedzených rozpočtov a výrazne by sa zlepšila schopnosť EÚ a jej členských štátov dosiahnuť plnú obrannú pripravenosť pred rokom 2030, ako aj skutočnú európsku obrannú úniu; keďže takéto spoločné opatrenia v EÚ by sa mali koordinovať s plánovacími procesmi NATO a mali by zabrániť zbytočnej duplicite opatrení;</w:t>
      </w:r>
    </w:p>
    <w:p w14:paraId="3AD02643" w14:textId="77777777" w:rsidR="008046FC" w:rsidRPr="00406A23" w:rsidRDefault="008046FC" w:rsidP="008046FC">
      <w:pPr>
        <w:pStyle w:val="NormalHanging"/>
      </w:pPr>
      <w:r w:rsidRPr="00406A23">
        <w:t>K.</w:t>
      </w:r>
      <w:r w:rsidRPr="00406A23">
        <w:tab/>
        <w:t>keďže členské štáty zvážia zvýšenie svojich investícií do spoločných projektov v oblasti obrany a spolupráce na nich len vtedy, ak tieto projekty zahŕňajú rozvoj vojenských spôsobilostí v spoločnom záujme ich ozbrojených síl;</w:t>
      </w:r>
    </w:p>
    <w:p w14:paraId="5E58AB36" w14:textId="77777777" w:rsidR="008046FC" w:rsidRPr="00406A23" w:rsidRDefault="008046FC" w:rsidP="008046FC">
      <w:pPr>
        <w:pStyle w:val="NormalHanging"/>
      </w:pPr>
      <w:r w:rsidRPr="00406A23">
        <w:t>L.</w:t>
      </w:r>
      <w:r w:rsidRPr="00406A23">
        <w:tab/>
        <w:t>keďže EÚ predložila niekoľko iniciatív zameraných na posilnenie obrannej pripravenosti EÚ, zlepšenie investičných podmienok a stimulovanie spoločných opatrení, ale doteraz nenavrhla transformačné opatrenia potrebné na vytvorenie skutočného jednotného trhu s výrobkami obranného priemyslu; keďže pravidlá EÚ týkajúce sa obstarávania v oblasti obrany (smernica 2009/81/ES) a transferov v rámci EÚ (smernica 2009/43/ES) zatiaľ neboli komplexne aktualizované, a to napriek významným zmenám v bezpečnostnom prostredí; keďže zainteresované strany často považujú obe smernice za príliš zložité a transpozíciu členskými štátmi za pomalú a problematickú, čo si vyžaduje neprimerané administratívne úsilie a vedie k fragmentácii vnútorného trhu;</w:t>
      </w:r>
    </w:p>
    <w:p w14:paraId="0AAD0C6A" w14:textId="77777777" w:rsidR="008046FC" w:rsidRPr="00406A23" w:rsidRDefault="008046FC" w:rsidP="008046FC">
      <w:pPr>
        <w:pStyle w:val="NormalHanging"/>
      </w:pPr>
      <w:r w:rsidRPr="00406A23">
        <w:t>M.</w:t>
      </w:r>
      <w:r w:rsidRPr="00406A23">
        <w:tab/>
        <w:t>keďže vzhľadom na rastúce geopolitické hrozby, najmä pokračujúcu útočnú vojnu Ruska proti Ukrajine a jeho hybridné útoky a provokácie namierené proti EÚ, ako aj terorizmus a nestabilitu na Blízkom východe a v Afrike, 90 % občanov EÚ oprávnene očakáva intenzívnejšiu spoluprácu EÚ v oblasti bezpečnosti a obrany, a to aj v rámci NATO a s ostatnými podobne zmýšľajúcimi partnermi, s cieľom chrániť občanov a brániť záujmy a hodnoty EÚ na globálnej scéne; keďže čoraz nestabilnejšie bezpečnostné prostredie v bezprostrednom susedstve EÚ si vyžaduje súdržnú a koordinovanú reakciu, najmä s cieľom zabezpečiť nerušený pohyb výrobkov a služieb obranného priemyslu;</w:t>
      </w:r>
    </w:p>
    <w:p w14:paraId="2BC1F129" w14:textId="77777777" w:rsidR="008046FC" w:rsidRPr="00406A23" w:rsidRDefault="008046FC" w:rsidP="008046FC">
      <w:pPr>
        <w:pStyle w:val="Normal12a"/>
      </w:pPr>
      <w:r w:rsidRPr="00406A23">
        <w:rPr>
          <w:b/>
          <w:i/>
        </w:rPr>
        <w:t>Vízia jednotného trhu v oblasti obrany v Únii</w:t>
      </w:r>
    </w:p>
    <w:p w14:paraId="4A4D83A4" w14:textId="77777777" w:rsidR="008046FC" w:rsidRPr="00406A23" w:rsidRDefault="008046FC" w:rsidP="008046FC">
      <w:pPr>
        <w:pStyle w:val="NormalHanging12a"/>
      </w:pPr>
      <w:r w:rsidRPr="00406A23">
        <w:t>1.</w:t>
      </w:r>
      <w:r w:rsidRPr="00406A23">
        <w:tab/>
        <w:t xml:space="preserve">pripomína, že podľa </w:t>
      </w:r>
      <w:proofErr w:type="spellStart"/>
      <w:r w:rsidRPr="00406A23">
        <w:t>Draghiho</w:t>
      </w:r>
      <w:proofErr w:type="spellEnd"/>
      <w:r w:rsidRPr="00406A23">
        <w:t xml:space="preserve"> správy by posilnená spolupráca mohla vďaka zvýšenej efektívnosti viesť k obrovským úsporám dosahujúcim až 30 % ročných výdavkov na </w:t>
      </w:r>
      <w:r w:rsidRPr="00406A23">
        <w:lastRenderedPageBreak/>
        <w:t>obranu v celej EÚ a výrazne zvýšiť účinnosť súčasných výdavkov na obranu; zdôrazňuje širšie výhody uvedeného pre konkurencieschopnosť, odolnosť a strategickú suverenitu EÚ, keďže to sľubuje významné pracovné príležitosti, hospodársky rozvoj a vedúce postavenie technológií v celej EÚ; zdôrazňuje, že skutočný jednotný trh v oblasti obrany je nevyhnutný na podporu konkurencieschopnosti európskych spoločností nielen v rámci EÚ, ale aj na svetovom trhu, kde musia konkurovať okrem iného aj hlavným americkým dodávateľom;</w:t>
      </w:r>
    </w:p>
    <w:p w14:paraId="1AC00AF0" w14:textId="77777777" w:rsidR="008046FC" w:rsidRPr="00406A23" w:rsidRDefault="008046FC" w:rsidP="008046FC">
      <w:pPr>
        <w:pStyle w:val="NormalHanging12a"/>
      </w:pPr>
      <w:r w:rsidRPr="00406A23">
        <w:t>2.</w:t>
      </w:r>
      <w:r w:rsidRPr="00406A23">
        <w:tab/>
        <w:t xml:space="preserve">je presvedčený, že dramatické výzvy a hrozby, ktorým čelí EÚ a jej členské štáty, si vyžadujú úplné prehodnotenie spôsobu, akým spolupracujú a koordinujú sa v otázkach obrany; zdôrazňuje, že EÚ a jej členské štáty musia zásadne zmeniť svoje chápanie výroby v obrannom priemysle vytvorením skutočného jednotného trhu v oblasti obrany, ako sa požaduje v správach </w:t>
      </w:r>
      <w:proofErr w:type="spellStart"/>
      <w:r w:rsidRPr="00406A23">
        <w:t>Lettu</w:t>
      </w:r>
      <w:proofErr w:type="spellEnd"/>
      <w:r w:rsidRPr="00406A23">
        <w:t xml:space="preserve">, </w:t>
      </w:r>
      <w:proofErr w:type="spellStart"/>
      <w:r w:rsidRPr="00406A23">
        <w:t>Draghiho</w:t>
      </w:r>
      <w:proofErr w:type="spellEnd"/>
      <w:r w:rsidRPr="00406A23">
        <w:t xml:space="preserve"> a </w:t>
      </w:r>
      <w:proofErr w:type="spellStart"/>
      <w:r w:rsidRPr="00406A23">
        <w:t>Niinistöho</w:t>
      </w:r>
      <w:proofErr w:type="spellEnd"/>
      <w:r w:rsidRPr="00406A23">
        <w:t xml:space="preserve"> a v spoločnej bielej knihe o európskej obrannej pripravenosti 2030; naliehavo vyzýva členské štáty, aby prekonali nacionalistické reflexy vo vzťahu k svojej národnej priemyselnej základni, aby vo svojom vnútroštátnom obrannom plánovaní viac zohľadňovali výhody obrannej spolupráce na úrovni EÚ a uznali zásadnú úlohu aktívnej podpory zo strany inštitúcií a agentúr EÚ pri uľahčovaní a koordinácii takejto spolupráce a aby zároveň posilňovali vzájomnú dôveru medzi všetkými zainteresovanými stranami;</w:t>
      </w:r>
    </w:p>
    <w:p w14:paraId="5470634A" w14:textId="77777777" w:rsidR="008046FC" w:rsidRPr="00406A23" w:rsidRDefault="008046FC" w:rsidP="008046FC">
      <w:pPr>
        <w:pStyle w:val="NormalHanging12a"/>
      </w:pPr>
      <w:r w:rsidRPr="00406A23">
        <w:t>3.</w:t>
      </w:r>
      <w:r w:rsidRPr="00406A23">
        <w:tab/>
        <w:t>zdôrazňuje, že len skutočný jednotný trh v oblasti obrany môže poskytnúť prostriedky potrebné na skutočné vytvorenie a udržanie konkurencieschopnej, inovatívnej a odolnej EDTIB, ktorá je schopná dodať potrebné vybavenie v požadovanom čase a rozsahu a uvoľniť plný hospodársky, priemyselný a finančný potenciál EDTIB; zdôrazňuje, že skutočný jednotný trh v oblasti obrany má zásadný význam pre odstránenie nedostatkov v oblasti spôsobilostí a obnovenie odstrašujúceho účinku, a preto je nevyhnutným základným kameňom silnej, zvrchovanej a konkurencieschopnej Únie;</w:t>
      </w:r>
    </w:p>
    <w:p w14:paraId="769E005F" w14:textId="77777777" w:rsidR="008046FC" w:rsidRPr="00406A23" w:rsidRDefault="008046FC" w:rsidP="008046FC">
      <w:pPr>
        <w:pStyle w:val="NormalHanging12a"/>
      </w:pPr>
      <w:r w:rsidRPr="00406A23">
        <w:t>4.</w:t>
      </w:r>
      <w:r w:rsidRPr="00406A23">
        <w:tab/>
        <w:t xml:space="preserve">naliehavo vyzýva členské štáty a Komisiu, aby urýchlene konali s cieľom vytvoriť skutočný jednotný trh v oblasti obrany a prijali kroky tak na strane ponuky, ako aj na strane dopytu; pripomína, že agregácia dopytu prostredníctvom spoločného obstarávania a riadenia životného cyklu, zjednodušenie právnych predpisov a cezhraničná priemyselná integrácia na úrovni EÚ sú naliehavo potrebné na riešenie takýchto prekážok a zníženie závislosti od krajín mimo EÚ, ako sa uvádza v správach </w:t>
      </w:r>
      <w:proofErr w:type="spellStart"/>
      <w:r w:rsidRPr="00406A23">
        <w:t>Lettu</w:t>
      </w:r>
      <w:proofErr w:type="spellEnd"/>
      <w:r w:rsidRPr="00406A23">
        <w:t xml:space="preserve"> a </w:t>
      </w:r>
      <w:proofErr w:type="spellStart"/>
      <w:r w:rsidRPr="00406A23">
        <w:t>Draghiho</w:t>
      </w:r>
      <w:proofErr w:type="spellEnd"/>
      <w:r w:rsidRPr="00406A23">
        <w:t>;</w:t>
      </w:r>
    </w:p>
    <w:p w14:paraId="26812B55" w14:textId="77777777" w:rsidR="008046FC" w:rsidRPr="00406A23" w:rsidRDefault="008046FC" w:rsidP="008046FC">
      <w:pPr>
        <w:pStyle w:val="NormalHanging12a"/>
      </w:pPr>
      <w:r w:rsidRPr="00406A23">
        <w:t>5.</w:t>
      </w:r>
      <w:r w:rsidRPr="00406A23">
        <w:tab/>
        <w:t>pripomína, že je dôležité zabezpečiť demokratickú legitimitu, dôveru verejnosti v inštitúcie, zodpovednosť a transparentnosť s cieľom zabezpečiť potrebnú verejnú podporu zvýšených výdavkov v oblasti obrany; zdôrazňuje, že je dôležité zaručiť spravodlivé a vyvážené rozdelenie nákladov a prínosov prudkého nárastu európskych výdavkov na obranu na celú EÚ;</w:t>
      </w:r>
    </w:p>
    <w:p w14:paraId="4468283B" w14:textId="77777777" w:rsidR="008046FC" w:rsidRPr="00406A23" w:rsidRDefault="008046FC" w:rsidP="008046FC">
      <w:pPr>
        <w:pStyle w:val="Normal12a"/>
      </w:pPr>
      <w:r w:rsidRPr="00406A23">
        <w:rPr>
          <w:b/>
          <w:i/>
        </w:rPr>
        <w:t>Prekážky jednotného trhu v oblasti obrany</w:t>
      </w:r>
    </w:p>
    <w:p w14:paraId="6ADC3CCB" w14:textId="77777777" w:rsidR="008046FC" w:rsidRPr="00406A23" w:rsidRDefault="008046FC" w:rsidP="008046FC">
      <w:pPr>
        <w:pStyle w:val="NormalHanging12a"/>
      </w:pPr>
      <w:r w:rsidRPr="00406A23">
        <w:t>6.</w:t>
      </w:r>
      <w:r w:rsidRPr="00406A23">
        <w:tab/>
        <w:t xml:space="preserve">zdôrazňuje, že súčasná štruktúra prostredia obranného priemyslu vedie k zbytočnej duplicite, vonkajším závislostiam a neefektívnosti a bráni posilňovaniu EDTIB a obrannej pripravenosti EÚ; zdôrazňuje, že táto fragmentácia spolu s nedostatočnými investíciami a chýbajúcim programovaním dlhodobých výdavkov na obranu bráni dosiahnutiu úspor z rozsahu, ktoré by mohlo priniesť spoločné obstarávanie a výroba obranného vybavenia v rámci európskych spoločností; zdôrazňuje zásadnú potrebu prekonať fragmentáciu prostredia obranného priemyslu v EÚ, využívať potenciálne </w:t>
      </w:r>
      <w:r w:rsidRPr="00406A23">
        <w:lastRenderedPageBreak/>
        <w:t>úspory z rozsahu a lepšie pochopiť prekážky jednotného trhu v oblasti obrany; zdôrazňuje, že jednotný trh v oblasti obrany musí zaručiť spravodlivé príležitosti na účasť pre priemyselné odvetvia a výskumné organizácie vrátane startupov zo všetkých členských štátov vrátane menších hospodárstiev a nemal by viesť k príliš centralizovanému modelu obranného priemyslu; zdôrazňuje, že takáto koncepcia trhu prispieva k hospodárskej súdržnosti vytváraním kvalitných pracovných miest vo výrobe a výskume a vývoji v rôznych regiónoch EÚ vrátane hospodársky menej rozvinutých regiónov; ďalej konštatuje, že takáto geografická diverzifikácia prispieva k odolnosti a bezpečnosti dodávok a takisto pomáha zabrániť vytváraniu monopolov a nevýhod pre MSP a spoločnosti so strednou trhovou kapitalizáciou;</w:t>
      </w:r>
    </w:p>
    <w:p w14:paraId="1E151E07" w14:textId="77777777" w:rsidR="008046FC" w:rsidRPr="00406A23" w:rsidRDefault="008046FC" w:rsidP="008046FC">
      <w:pPr>
        <w:pStyle w:val="NormalHanging12a"/>
      </w:pPr>
      <w:r w:rsidRPr="00406A23">
        <w:t>7.</w:t>
      </w:r>
      <w:r w:rsidRPr="00406A23">
        <w:tab/>
        <w:t>vyjadruje poľutovanie nad absenciou výsledkov súčasného koordinovaného plánovania spôsobilostí a výdavkov na výrobky obranného priemyslu v celej EÚ, čo viedlo k rozdielnym pravidlám a kritériám oprávnenosti a neefektívnemu vynakladaniu finančných prostriedkov, vytvára právnu neistotu a často vedie členské štáty k tomu, aby uprednostnili dvojstrannú spoluprácu s krajinami mimo EÚ; vyjadruje poľutovanie nad tým, že vnútroštátne stanovené priority často bránia plodnej spolupráci v rámci EÚ;</w:t>
      </w:r>
    </w:p>
    <w:p w14:paraId="2B2DA3C6" w14:textId="77777777" w:rsidR="008046FC" w:rsidRPr="00406A23" w:rsidRDefault="008046FC" w:rsidP="008046FC">
      <w:pPr>
        <w:pStyle w:val="NormalHanging12a"/>
      </w:pPr>
      <w:r w:rsidRPr="00406A23">
        <w:t>8.</w:t>
      </w:r>
      <w:r w:rsidRPr="00406A23">
        <w:tab/>
        <w:t>vyjadruje poľutovanie nad pretrvávajúcim nedostatkom vzájomnej dôvery medzi členskými štátmi, ktorý sa okrem iného prejavuje neochotou vytvoriť regionálne centrá priemyselných kompetencií, obmedzenou mierou cezhraničnej spolupráce a spoločného plánovania spôsobilostí, nedostatočnou úrovňou obstarávania tovaru a služieb súvisiacich s obranou v rámci EÚ a duplicitnými alebo preventívnymi obmedzeniami transferov obranného vybavenia v rámci EÚ, čo bráni rozvoju plne integrovaných európskych dodávateľských reťazcov a predstavuje významnú prekážku rozvoja skutočného jednotného trhu v oblasti obrany;</w:t>
      </w:r>
    </w:p>
    <w:p w14:paraId="10F0A35F" w14:textId="77777777" w:rsidR="008046FC" w:rsidRPr="00406A23" w:rsidRDefault="008046FC" w:rsidP="008046FC">
      <w:pPr>
        <w:pStyle w:val="NormalHanging12a"/>
      </w:pPr>
      <w:r w:rsidRPr="00406A23">
        <w:t>9.</w:t>
      </w:r>
      <w:r w:rsidRPr="00406A23">
        <w:tab/>
        <w:t xml:space="preserve">je presvedčený, že súčasné legislatívne rámce EÚ neposkytujú podmienky pre obstarávanie tovaru s rýchlymi inovačnými cyklami, napríklad v oblasti vývoja </w:t>
      </w:r>
      <w:proofErr w:type="spellStart"/>
      <w:r w:rsidRPr="00406A23">
        <w:t>dronov</w:t>
      </w:r>
      <w:proofErr w:type="spellEnd"/>
      <w:r w:rsidRPr="00406A23">
        <w:t>; vyjadruje znepokojenie nad tým, že jednotný trh v oblasti obrany je stále oslabovaný nedostatočne harmonizovaným uplatňovaním jeho pravidiel členskými štátmi a neprimeraným využívaním výnimky stanovenej v článku 346 ZFEÚ, čo bráni úsiliu o spoločné obstarávanie EÚ v oblasti obrany; zdôrazňuje potrebu osobitnej podpory pre MSP a malé spoločnosti so strednou trhovou kapitalizáciou na uľahčenie ich zapojenia do dodávateľského reťazca obranného priemyslu s cieľom posilniť inovácie a zároveň vybudovať nadmerné priemyselné kapacity, ktoré zvýšia odolnosť EÚ a bezpečnosť dodávok;</w:t>
      </w:r>
    </w:p>
    <w:p w14:paraId="7AB82F14" w14:textId="77777777" w:rsidR="008046FC" w:rsidRPr="00406A23" w:rsidRDefault="008046FC" w:rsidP="008046FC">
      <w:pPr>
        <w:pStyle w:val="NormalHanging12a"/>
      </w:pPr>
      <w:r w:rsidRPr="00406A23">
        <w:t>10.</w:t>
      </w:r>
      <w:r w:rsidRPr="00406A23">
        <w:tab/>
        <w:t>vyjadruje znepokojenie nad tým, že jednotný trh v oblasti obrany stále oslabuje nedostatočne harmonizované uplatňovanie jeho pravidiel členskými štátmi; je znepokojený najmä častým využívaním článku 346 ZFEÚ, o ktorom Súdny dvor Európskej únie (SDEÚ) vo viacerých prípadoch rozhodol, že bol použitý neoprávnene, a teda zneužitý; zdôrazňuje, že vzhľadom na súčasnú geopolitickú situáciu a hrozby pre jednotu EÚ je potrebné prejsť na prístup zameraný na ochranu základných bezpečnostných záujmov EÚ;</w:t>
      </w:r>
    </w:p>
    <w:p w14:paraId="06F2FB9E" w14:textId="77777777" w:rsidR="008046FC" w:rsidRPr="00406A23" w:rsidRDefault="008046FC" w:rsidP="008046FC">
      <w:pPr>
        <w:pStyle w:val="NormalHanging12a"/>
      </w:pPr>
      <w:r w:rsidRPr="00406A23">
        <w:lastRenderedPageBreak/>
        <w:t>11.</w:t>
      </w:r>
      <w:r w:rsidRPr="00406A23">
        <w:tab/>
        <w:t>domnieva sa, že úplné dodržiavanie spoločnej pozície EÚ k vývozu zbraní</w:t>
      </w:r>
      <w:r w:rsidRPr="00406A23">
        <w:rPr>
          <w:rStyle w:val="FootnoteReference"/>
        </w:rPr>
        <w:footnoteReference w:customMarkFollows="1" w:id="13"/>
        <w:t>13</w:t>
      </w:r>
      <w:r w:rsidRPr="00406A23">
        <w:t xml:space="preserve"> členskými štátmi predstavuje dôležitý pilier funkčného jednotného trhu v oblasti obrany; domnieva sa, že absencia harmonizovaného systému EÚ na kontrolu vývozu a nedostatočné vzájomné uznávanie rôznych povolení, licencií, certifikácie a bezpečnostných previerok naďalej vytvárajú prekážky pre fungovanie jednotného trhu v oblasti obrany prostredníctvom ich vplyvu na transfery v rámci EÚ; pripomína, že obranná výroba v súčasnosti vo veľkej miere závisí od integrovaných cezhraničných dodávateľských reťazcov v EÚ, pričom komponenty pochádzajú z viacerých členských štátov, čo v prípade zablokovania vývozu vytvára neistotu pre priemysel a dodávateľské reťazce; zdôrazňuje potrebu praktického riešenia, ktoré zohľadní realitu súčasnej závislosti od krajín mimo EÚ, a to aj vzhľadom na rastúci význam kritických surovín pre EDTIB a potenciálne vystavenie sa nátlakovým opatreniam krajín mimo EÚ; zdôrazňuje, že bez zaručeného a plánovaného prístupu k vstupom, ako sú vzácne zeminy, polovodiče a vysokokvalitné kovy, nie je možné splniť ambiciózne ciele Európy v oblasti posilnenia obrany a strategickej autonómie;</w:t>
      </w:r>
    </w:p>
    <w:p w14:paraId="32AB9EDC" w14:textId="77777777" w:rsidR="008046FC" w:rsidRPr="00406A23" w:rsidRDefault="008046FC" w:rsidP="008046FC">
      <w:pPr>
        <w:pStyle w:val="NormalHanging12a"/>
      </w:pPr>
      <w:r w:rsidRPr="00406A23">
        <w:t>12.</w:t>
      </w:r>
      <w:r w:rsidRPr="00406A23">
        <w:tab/>
        <w:t xml:space="preserve">domnieva sa, že koordinácia procesov rozvoja obranných spôsobilostí EÚ a jej členských štátov s procesom obranného plánovania a hodnotenia NATO je nevyhnutná na zabezpečenie súdržnosti a </w:t>
      </w:r>
      <w:proofErr w:type="spellStart"/>
      <w:r w:rsidRPr="00406A23">
        <w:t>interoperability</w:t>
      </w:r>
      <w:proofErr w:type="spellEnd"/>
      <w:r w:rsidRPr="00406A23">
        <w:t xml:space="preserve"> medzi členskými štátmi a spojencami z NATO, ktorí nie sú členmi EÚ; vyjadruje poľutovanie nad neexistenciou dohody o spolupráci medzi NATO a EÚ venovanej výmene informácií o normách NATO (STANAG), ktoré by EÚ potom mohla presadzovať prostredníctvom záväzných nástrojov; zdôrazňuje, že nedostatočné presadzovanie noriem viedlo v uplynulých desaťročiach k neefektívnosti, duplicite a nedostatočnej </w:t>
      </w:r>
      <w:proofErr w:type="spellStart"/>
      <w:r w:rsidRPr="00406A23">
        <w:t>interoperabilite</w:t>
      </w:r>
      <w:proofErr w:type="spellEnd"/>
      <w:r w:rsidRPr="00406A23">
        <w:t xml:space="preserve"> a naďalej predstavuje problém;</w:t>
      </w:r>
    </w:p>
    <w:p w14:paraId="7CFA3C2E" w14:textId="77777777" w:rsidR="008046FC" w:rsidRPr="00406A23" w:rsidRDefault="008046FC" w:rsidP="008046FC">
      <w:pPr>
        <w:pStyle w:val="Normal12a"/>
      </w:pPr>
      <w:r w:rsidRPr="00406A23">
        <w:rPr>
          <w:b/>
          <w:i/>
        </w:rPr>
        <w:t>Odstránenie bariér</w:t>
      </w:r>
    </w:p>
    <w:p w14:paraId="26E39DE2" w14:textId="77777777" w:rsidR="008046FC" w:rsidRPr="00406A23" w:rsidRDefault="008046FC" w:rsidP="008046FC">
      <w:pPr>
        <w:pStyle w:val="NormalHanging12a"/>
      </w:pPr>
      <w:r w:rsidRPr="00406A23">
        <w:t>13.</w:t>
      </w:r>
      <w:r w:rsidRPr="00406A23">
        <w:tab/>
        <w:t xml:space="preserve">naliehavo vyzýva Radu a Komisiu, aby v budúcom viacročnom finančnom rámci poskytli na obranné programy EÚ dostatočné finančné prostriedky s cieľom účinne motivovať členské štáty, aby sa zapájali do spoločného rozvoja spôsobilostí a obstarávania, a motivovať ich obranný priemysel, aby sa zapájal do užšej cezhraničnej spolupráce; zdôrazňuje potenciál nových rámcov, ako sú európske projekty spoločného záujmu v oblasti obrany vrátane štyroch hlavných projektov navrhnutých v Pláne obrannej pripravenosti do roku 2030 a štruktúry pre európske zbrojné programy, na dosiahnutie týchto cieľov s pomocou dostatočného dlhodobého financovania; zdôrazňuje, že financovanie by malo uprednostňovať projekty s jasnou európskou pridanou hodnotou, </w:t>
      </w:r>
      <w:proofErr w:type="spellStart"/>
      <w:r w:rsidRPr="00406A23">
        <w:t>interoperabilitou</w:t>
      </w:r>
      <w:proofErr w:type="spellEnd"/>
      <w:r w:rsidRPr="00406A23">
        <w:t>, dlhodobou priemyselnou udržateľnosťou a operačným vplyvom;</w:t>
      </w:r>
    </w:p>
    <w:p w14:paraId="052CB39B" w14:textId="77777777" w:rsidR="008046FC" w:rsidRPr="00406A23" w:rsidRDefault="008046FC" w:rsidP="008046FC">
      <w:pPr>
        <w:pStyle w:val="NormalHanging12a"/>
      </w:pPr>
      <w:r w:rsidRPr="00406A23">
        <w:t>14.</w:t>
      </w:r>
      <w:r w:rsidRPr="00406A23">
        <w:tab/>
        <w:t xml:space="preserve">berie na vedomie súčasné obmedzenia výrobnej kapacity európskeho obranného priemyslu, ktorá však rastie, a vyzýva členské štáty, aby uplatňovali prístup „nakupovať v Európe“, v rámci ktorého sa uprednostňuje spoločné obstarávanie a zvýšená produkcia výrobkov obranného priemyslu z EDTIB, Ukrajiny, krajín Európskeho hospodárskeho priestoru/Európskeho združenia voľného obchodu (EHP/EZVO) a ako ďalšej doplnkovej úrovne z ďalších krajín mimo EÚ, s ktorými Únia podpísala partnerstvo v oblasti bezpečnosti a obrany, keďže by to zabezpečilo predvídateľný objem objednávok </w:t>
      </w:r>
      <w:r w:rsidRPr="00406A23">
        <w:lastRenderedPageBreak/>
        <w:t>pre EDTIB, podnietilo súkromné investície do výskumu a vývoja výrobkov obranného priemyslu a pomohlo EDTIB dodávať inovatívne výrobky obranného priemyslu v dostatočných objemoch; vyzýva členské štáty, aby podpísali zmluvy, ktoré poskytnú stabilné stredno- až dlhodobé signály o agregátnom dopyte po európskych výrobkoch, čím sa vytvorí investičná istota potrebná na rozšírenie EDTIB;</w:t>
      </w:r>
    </w:p>
    <w:p w14:paraId="1EF3063F" w14:textId="77777777" w:rsidR="008046FC" w:rsidRPr="00406A23" w:rsidRDefault="008046FC" w:rsidP="008046FC">
      <w:pPr>
        <w:pStyle w:val="NormalHanging12a"/>
      </w:pPr>
      <w:r w:rsidRPr="00406A23">
        <w:t>15.</w:t>
      </w:r>
      <w:r w:rsidRPr="00406A23">
        <w:tab/>
        <w:t>naliehavo vyzýva EÚ a jej členské štáty, aby k Ukrajine pristupovali v čo najväčšej miere ako k integrálnej súčasti jednotného trhu v oblasti obrany, a to uľahčovaním priemyselných partnerstiev, prístupu k mechanizmom spoločného obstarávania a účasti na programoch EÚ, ako je Európsky obranný fond (EDF) a špecializovaný Nástroj na podporu Ukrajiny v rámci EDIP, s cieľom umožniť postupnú integráciu Ukrajiny do dodávateľských reťazcov EDTIB, a zohľadňovali pritom skutočnosť, že budúcnosť Ukrajiny je v EÚ a že jej integrácia by bola prínosom pre EDTIB, a to vďaka ukrajinským pokročilým a v boji overeným obranným technológiám a inovatívnym priemyselným kapacitám, ako aj pre ukrajinskú obrannú technologickú a priemyselnú základňu;</w:t>
      </w:r>
    </w:p>
    <w:p w14:paraId="6C43568E" w14:textId="77777777" w:rsidR="008046FC" w:rsidRPr="00406A23" w:rsidRDefault="008046FC" w:rsidP="008046FC">
      <w:pPr>
        <w:pStyle w:val="NormalHanging12a"/>
      </w:pPr>
      <w:r w:rsidRPr="00406A23">
        <w:t>16.</w:t>
      </w:r>
      <w:r w:rsidRPr="00406A23">
        <w:tab/>
        <w:t>je presvedčený, že je potrebné výrazne zlepšiť vykonávanie smernice 2009/81/ES o obstarávaní v oblastiach obrany a bezpečnosti, a vyzýva Komisiu, aby navrhla ambicióznu revíziu; zdôrazňuje, že je užitočné umožniť členským štátom vzájomne využívať svoje rámcové zmluvy na zvýšenie obrannej pripravenosti EÚ v krátkodobom horizonte, pretože im umožňuje obstarávať rýchlejšie a efektívnejšie, pričom očakáva, že z dlhodobého hľadiska sa obstarávanie bude od začiatku vykonávať prostredníctvom všeobecných alebo spoločných rámcových zmlúv navrhnutých v súlade s európskymi kritériami obstarávania;</w:t>
      </w:r>
      <w:r w:rsidRPr="00406A23">
        <w:rPr>
          <w:b/>
        </w:rPr>
        <w:t xml:space="preserve"> </w:t>
      </w:r>
      <w:r w:rsidRPr="00406A23">
        <w:t>vyzýva členské štáty, aby využívali rôzne formy zmlúv, v ktorých sa upravia inovácie, hospodárska súťaž a súkromné kapitálové investície, a zároveň zabezpečili úplné dodržiavanie pravidiel hospodárskej súťaž, požiadaviek na integritu a protikorupčných noriem, a pripomína, že európske kapitálové trhy zohrávajú kľúčovú úlohu pri financovaní inovácií v oblasti obrany; ďalej sa domnieva, že pri každej revízii smernice 2014/24/EÚ o verejnom obstarávaní</w:t>
      </w:r>
      <w:r w:rsidRPr="00406A23">
        <w:rPr>
          <w:rStyle w:val="FootnoteReference"/>
        </w:rPr>
        <w:footnoteReference w:customMarkFollows="1" w:id="14"/>
        <w:t>14</w:t>
      </w:r>
      <w:r w:rsidRPr="00406A23">
        <w:t xml:space="preserve"> by sa mali zohľadniť aspekty spojené s bezpečnosťou a obranou, napríklad prítomnosť civilných komponentov vo vojenskom tovare; v tejto súvislosti vyzýva Komisiu, aby v rámci nadchádzajúcej celkovej revízie smernice 2009/81/ES predložila aktualizovanú verziu inovačných partnerstiev v oblasti obrany s cieľom lepšie prispôsobiť tento nástroj špecifikám trhu v oblasti obrany a súčasnému zložitému bezpečnostnému kontextu;</w:t>
      </w:r>
    </w:p>
    <w:p w14:paraId="6E5C8436" w14:textId="77777777" w:rsidR="008046FC" w:rsidRPr="00406A23" w:rsidRDefault="008046FC" w:rsidP="008046FC">
      <w:pPr>
        <w:pStyle w:val="NormalHanging12a"/>
      </w:pPr>
      <w:r w:rsidRPr="00406A23">
        <w:t>17.</w:t>
      </w:r>
      <w:r w:rsidRPr="00406A23">
        <w:tab/>
        <w:t>zdôrazňuje, že pri uplatňovaní pravidiel EÚ v oblasti hospodárskej súťaže a štátnej pomoci musí Komisia uprednostniť jednotu a integritu jednotného trhu, aby sa zabránilo narušeniu hospodárskej súťaže a aby sa zabezpečili rovnaké podmienky a súdržnosť medzi členskými štátmi, a venovať osobitnú pozornosť menším členským štátom, ktorých fiškálne kapacity na podporu ich vnútroštátneho obranného priemyslu sú relatívne obmedzenejšie; zdôrazňuje, že rozsiahle využívanie vnútroštátnych dotácií na podporu investícií do obrany predstavuje riziko fragmentácie jednotného trhu a narušenia rovnakých podmienok pre spoločnosti, najmä MSP, v rámci EÚ;</w:t>
      </w:r>
    </w:p>
    <w:p w14:paraId="6E490AEB" w14:textId="77777777" w:rsidR="008046FC" w:rsidRPr="00406A23" w:rsidRDefault="008046FC" w:rsidP="008046FC">
      <w:pPr>
        <w:pStyle w:val="NormalHanging12a"/>
      </w:pPr>
      <w:r w:rsidRPr="00406A23">
        <w:t>18.</w:t>
      </w:r>
      <w:r w:rsidRPr="00406A23">
        <w:tab/>
        <w:t xml:space="preserve">vyzýva Komisiu, aby vydala odporúčanie k výkladu článku 346 ZFEÚ s cieľom uľahčiť harmonizovaný a jednotný prístup v celej EÚ, ktorý bude riešiť potrebu ochrany striktne </w:t>
      </w:r>
      <w:r w:rsidRPr="00406A23">
        <w:lastRenderedPageBreak/>
        <w:t>základných bezpečnostných záujmov členských štátov, a požaduje, aby sa článok 346 používal výnimočne, v súlade so súčasnou realitou vzájomne závislej bezpečnostnej architektúry v EÚ; domnieva sa, že Komisii by sa malo umožniť, aby posúdila celkové vykonávanie článku 346 ZFEÚ na základe jednotlivých prípadov s cieľom napraviť akékoľvek potenciálne štrukturálne zneužívanie v súlade s judikatúrou SDEÚ a so súčasnou realitou vzájomne závislej bezpečnostnej architektúry v EÚ;</w:t>
      </w:r>
    </w:p>
    <w:p w14:paraId="0334CA97" w14:textId="77777777" w:rsidR="008046FC" w:rsidRPr="00406A23" w:rsidRDefault="008046FC" w:rsidP="008046FC">
      <w:pPr>
        <w:pStyle w:val="NormalHanging12a"/>
      </w:pPr>
      <w:r w:rsidRPr="00406A23">
        <w:t>19.</w:t>
      </w:r>
      <w:r w:rsidRPr="00406A23">
        <w:tab/>
        <w:t xml:space="preserve">zdôrazňuje potrebu poskytovať cielenú podporu, najmä na testovanie prototypov nových výrobkov, a uprednostňovať investície do vznikajúcich a prelomových technológií; zdôrazňuje pridanú hodnotu úzkej spolupráce s ukrajinskými zainteresovanými stranami z oblasti obrany a technológií v týchto vysoko inovatívnych oblastiach; zdôrazňuje, že je dôležité zabezpečiť finančnú životaschopnosť podnikov vrátane MSP, ktoré investujú do takýchto inovácií; zdôrazňuje, že osobitné opatrenia by mali uľahčiť cezhraničnú spoluprácu MSP, najmä v oblasti kybernetiky, umelej inteligencie a bezpilotných technológií a technológií s dvojakým použitím, a to na základe existujúcich centier </w:t>
      </w:r>
      <w:proofErr w:type="spellStart"/>
      <w:r w:rsidRPr="00406A23">
        <w:t>excelentnosti</w:t>
      </w:r>
      <w:proofErr w:type="spellEnd"/>
      <w:r w:rsidRPr="00406A23">
        <w:t xml:space="preserve"> v členských štátoch;</w:t>
      </w:r>
    </w:p>
    <w:p w14:paraId="1B4CC804" w14:textId="77777777" w:rsidR="008046FC" w:rsidRPr="00406A23" w:rsidRDefault="008046FC" w:rsidP="008046FC">
      <w:pPr>
        <w:pStyle w:val="NormalHanging12a"/>
      </w:pPr>
      <w:r w:rsidRPr="00406A23">
        <w:t>20.</w:t>
      </w:r>
      <w:r w:rsidRPr="00406A23">
        <w:tab/>
        <w:t>vyzýva členské štáty a Komisiu, aby vytvorili európsku iniciatívu „akcelerátor pre obranné inovácie“, ktorá by bola obdobou koncepčných modelov, ako je americká Agentúra pre pokročilé výskumné projekty v oblasti obrany (DARPA) alebo severoatlantický akcelerátor pre obranné inovácie (DIANA) v rámci NATO, a ktorá by financovala vysoko rizikové a vysoko výnosné projekty obranného výskumu a poskytovala zrýchlené spôsoby testovania a integrácie prelomových technológií do európskych programov obranných spôsobilostí; konštatuje, že existujúce nástroje EÚ v oblasti výskumu a vývoja vrátane Európskeho obranného fondu, programu EÚ pre inovácie v oblasti obrany (EUDIS) a centra pre inovácie v oblasti obrany (HEDI) ponechávajú vlastníctvo výsledkov prijímateľom a Komisii a spolufinancujúcim členským štátom udeľujú len obmedzené práva, ktoré nesúvisia s výrobou; vyzýva Komisiu, aby navrhla vhodný režim duševného vlastníctva, ktorý bude prispôsobený citlivým aspektom oblasti obrany a zároveň bude dostatočne atraktívny pre ministerstvá obrany aj priemysel členských štátov, a to s cieľom zabezpečiť, aby program mohol riešiť potreby a priority v oblasti spôsobilostí;</w:t>
      </w:r>
    </w:p>
    <w:p w14:paraId="6BA20E08" w14:textId="77777777" w:rsidR="008046FC" w:rsidRPr="00406A23" w:rsidRDefault="008046FC" w:rsidP="008046FC">
      <w:pPr>
        <w:pStyle w:val="NormalHanging12a"/>
      </w:pPr>
      <w:r w:rsidRPr="00406A23">
        <w:t>21.</w:t>
      </w:r>
      <w:r w:rsidRPr="00406A23">
        <w:tab/>
        <w:t xml:space="preserve">zdôrazňuje potrebu zjednodušiť pravidlá a odstrániť prekážky súvisiace s transfermi výrobkov obranného priemyslu v rámci EÚ, čo zahŕňa vzájomné uznávanie kritérií a certifikácie a zjednodušenie žiadostí o predchádzajúce povolenie; vyjadruje poľutovanie nad obmedzeným využívaním všeobecných transferových licencií podľa smernice 2009/81/ES a nad širokým využívaním individuálnych licencií a vyzýva členské štáty, aby v plnej miere využívali možnosti zjednodušenia pravidiel a zníženia administratívnej záťaže v rámci súčasného právneho rámca; vyzýva Komisiu, aby urýchlene predložila návrhy na ďalšiu harmonizáciu transferov výrobkov obranného priemyslu v rámci EÚ, aby sa zabezpečil ešte jednoduchší obeh takýchto výrobkov v rámci EÚ, a to najmä odstránením požiadaviek na povoľovanie komponentov, ktoré už sú integrované alebo sa majú začleniť do výrobku obranného priemyslu a samé osebe nemôžu byť predmetom transferu ani vývozu; okrem toho vyzýva členské štáty, aby sa usilovali o dosiahnutie toho istého cieľa a urýchlene transponovali a uplatňovali opatrenia navrhnuté v súhrnnom balíku opatrení v oblasti obrannej pripravenosti, pokiaľ ide o transfery výrobkov obranného priemyslu v rámci EÚ; vyzýva členské štáty, aby v plnej miere dodržiavali spoločnú pozíciu EÚ o vývoze zbraní a aby vždy, keď je to možné, preskúmali ďalšiu harmonizáciu pravidiel vývozu tovaru obranného priemyslu; ako možné východiská pre harmonizáciu systémov kontroly vývozu navrhuje rozšírenie </w:t>
      </w:r>
      <w:r w:rsidRPr="00406A23">
        <w:lastRenderedPageBreak/>
        <w:t>všeobecných transferových licencií alebo využívanie Aachenskej zmluvy a posilnenie smernice o IKT</w:t>
      </w:r>
      <w:r w:rsidRPr="00406A23">
        <w:rPr>
          <w:rStyle w:val="FootnoteReference"/>
        </w:rPr>
        <w:footnoteReference w:customMarkFollows="1" w:id="15"/>
        <w:t>15</w:t>
      </w:r>
      <w:r w:rsidRPr="00406A23">
        <w:t xml:space="preserve"> s cieľom uľahčiť transfery výrobkov obranného priemyslu v rámci EÚ;</w:t>
      </w:r>
    </w:p>
    <w:p w14:paraId="43012BD0" w14:textId="77777777" w:rsidR="008046FC" w:rsidRPr="00406A23" w:rsidRDefault="008046FC" w:rsidP="008046FC">
      <w:pPr>
        <w:pStyle w:val="NormalHanging12a"/>
      </w:pPr>
      <w:r w:rsidRPr="00406A23">
        <w:t>22.</w:t>
      </w:r>
      <w:r w:rsidRPr="00406A23">
        <w:tab/>
        <w:t>vyzýva Komisiu, EDA a členské štáty, aby pracovali na programe vzájomného uznávania bezpečnostných previerok a certifikácií, aby boli previerky vydané v jednom členskom štáte akceptované aj v iných členských štátoch; navrhuje vytvorenie dobrovoľného dohovoru o dohodách o vzájomnom uznávaní bezpečnostných previerok medzi členskými štátmi EÚ, na základe ktorého by spoločnosť alebo jednotlivec, ktorý je držiteľom národnej bezpečnostnej previerky v jednom členskom štáte, mal túto previerku uznanú ostatnými členskými štátmi, ktoré sa k dohode pripoja, a to na základe primeranej výmeny informácií a dohľadu; vyzýva EDA, aby uľahčila vypracovanie tohto rámca, a vyzýva členské štáty, aby ho urýchlene uzavreli;</w:t>
      </w:r>
    </w:p>
    <w:p w14:paraId="1EFA9B6A" w14:textId="77777777" w:rsidR="008046FC" w:rsidRPr="00406A23" w:rsidRDefault="008046FC" w:rsidP="008046FC">
      <w:pPr>
        <w:pStyle w:val="NormalHanging12a"/>
      </w:pPr>
      <w:r w:rsidRPr="00406A23">
        <w:t>23.</w:t>
      </w:r>
      <w:r w:rsidRPr="00406A23">
        <w:tab/>
        <w:t>zdôrazňuje, že je nevyhnutné posilniť odolnosť európskych dodávateľských reťazcov v oblasti obrany a znížiť počet jednotlivých bodov zlyhania a vystavenie potenciálnym nátlakovým opatreniam zo strany krajín mimo EÚ, ktorých príkladom sú hrozby Číny, že obmedzí vývoz surovín; požaduje, aby sa vykonávanie Aktu EÚ o kritických surovinách</w:t>
      </w:r>
      <w:r w:rsidRPr="00406A23">
        <w:rPr>
          <w:rStyle w:val="FootnoteReference"/>
        </w:rPr>
        <w:footnoteReference w:customMarkFollows="1" w:id="16"/>
        <w:t>16</w:t>
      </w:r>
      <w:r w:rsidRPr="00406A23">
        <w:t xml:space="preserve"> osobitne zameriavalo na potreby obrany;</w:t>
      </w:r>
    </w:p>
    <w:p w14:paraId="0F28E49D" w14:textId="77777777" w:rsidR="008046FC" w:rsidRPr="00406A23" w:rsidRDefault="008046FC" w:rsidP="008046FC">
      <w:pPr>
        <w:pStyle w:val="NormalHanging12a"/>
      </w:pPr>
      <w:r w:rsidRPr="00406A23">
        <w:t>24.</w:t>
      </w:r>
      <w:r w:rsidRPr="00406A23">
        <w:tab/>
        <w:t>vyzýva Komisiu a členské štáty, aby vytvorili stimuly na diverzifikáciu dodávateľského reťazca zahŕňajúce podporu nových účastníkov trhu a MSP; zdôrazňuje, že snaha o nákladovú efektívnosť nesmie narušiť bezpečnosť dodávok na vnútroštátnej úrovni; vyzýva Komisiu, aby monitorovala riziká dodávateľského reťazca a identifikovala oblasti nebezpečnej koncentrácie a pravidelne podávala správy o pokroku v diverzifikácii dodávok; ďalej vyzýva Komisiu, aby sa zaoberala situáciami, keď subdodávatelia z krajín mimo EÚ odmietajú dodávať materiály, ak sú určené na vojenské použitie; zdôrazňuje potrebu právneho rámca, ktorý by zabezpečil zmluvnú spoľahlivosť v rámci dodávateľských reťazcov v sektore obrany; vyzýva Komisiu, aby vytvorila strategické zásoby v súlade s Európskou stratégiou únie pripravenosti; v tejto súvislosti zdôrazňuje význam režimu bezpečnosti dodávok zriadeného v rámci EDIP;</w:t>
      </w:r>
    </w:p>
    <w:p w14:paraId="2ED709DE" w14:textId="77777777" w:rsidR="008046FC" w:rsidRPr="00406A23" w:rsidRDefault="008046FC" w:rsidP="008046FC">
      <w:pPr>
        <w:pStyle w:val="NormalHanging12a"/>
      </w:pPr>
      <w:r w:rsidRPr="00406A23">
        <w:t>25.</w:t>
      </w:r>
      <w:r w:rsidRPr="00406A23">
        <w:tab/>
        <w:t>zdôrazňuje, že je potrebné zabezpečiť, aby priemyselná výroba, investície a tvorba hodnôt v sektore obrany boli geograficky vyvážené a prispievali k hospodárskej a sociálnej konvergencii v rámci EÚ a zároveň zvyšovali odolnosť prostredníctvom geografickej diverzifikácie a odrážali realitu bezpečnostných hrozieb, ktorým čelia členské štáty vo svojich susedstvách; žiada, aby sa plánovanie investícií do obrany uskutočňovalo spôsobom, ktorý posilní sociálnu súdržnosť v rámci regiónov a členských štátov a medzi nimi a zároveň zvýši odolnosť v čase obranných kríz za predpokladu, že to neohrozí cieľ nákladovej efektívnosti, rýchlosti a hospodárskej súťaže;</w:t>
      </w:r>
    </w:p>
    <w:p w14:paraId="0AA25149" w14:textId="77777777" w:rsidR="008046FC" w:rsidRPr="00406A23" w:rsidRDefault="008046FC" w:rsidP="008046FC">
      <w:pPr>
        <w:pStyle w:val="NormalHanging12a"/>
      </w:pPr>
      <w:r w:rsidRPr="00406A23">
        <w:lastRenderedPageBreak/>
        <w:t>26.</w:t>
      </w:r>
      <w:r w:rsidRPr="00406A23">
        <w:tab/>
        <w:t>vyzýva Komisiu, aby vydala jasné usmernenie, ako sa majú v rozhodnutiach v oblasti kontroly koncentrácií, ktoré sa týkajú EDTIB, zvažovať aspekty obrany a bezpečnosti v súlade s politikou EÚ v oblasti hospodárskej súťaže; ďalej vyzýva Komisiu, aby preskúmala cielené prispôsobenie pravidiel EÚ v oblasti hospodárskej súťaže tak, aby lepšie podporovali jedinečné potreby obranného priemyslu, napríklad zavedenie cielenej skupinovej výnimky pre projekty obranného výskumu a vývoja financované z programov EÚ; zdôrazňuje, že bezpečnosť dodávok a zníženie strategických závislostí by sa mali považovať za pozitívne kritériá pri posudzovaní koncentrácií alebo za opatrenia pomoci v sektore obrany;</w:t>
      </w:r>
    </w:p>
    <w:p w14:paraId="10150383" w14:textId="77777777" w:rsidR="008046FC" w:rsidRPr="00406A23" w:rsidRDefault="008046FC" w:rsidP="008046FC">
      <w:pPr>
        <w:pStyle w:val="NormalHanging12a"/>
      </w:pPr>
      <w:r w:rsidRPr="00406A23">
        <w:t>27.</w:t>
      </w:r>
      <w:r w:rsidRPr="00406A23">
        <w:tab/>
        <w:t xml:space="preserve">zdôrazňuje, že je potrebné, aby EÚ zohrávala aktívnejšiu úlohu pri udržiavaní investícií do technológií a výrobkov s dvojakým použitím, najmä ak sú súčasťou dodávateľských reťazcov výrobkov obranného priemyslu, a to ako prostriedku na posilnenie bezpečnosti dodávok a odolnosti EÚ voči hybridným a vznikajúcim hrozbám; zasadzuje sa za podporu civilnej komercializácie týchto technológií ako spôsobu rozšírenia trhových príležitostí, vytvorenia pozitívnych </w:t>
      </w:r>
      <w:proofErr w:type="spellStart"/>
      <w:r w:rsidRPr="00406A23">
        <w:t>externalít</w:t>
      </w:r>
      <w:proofErr w:type="spellEnd"/>
      <w:r w:rsidRPr="00406A23">
        <w:t xml:space="preserve"> a posilnenia EDTIB, čím sa podporí súčinnosť medzi vojenským a civilným rozvojom; vyzýva Komisiu a členské štáty, aby vytvorili stimuly na obmedzenie dodávateľských reťazcov najkritickejších vstupov pre výrobky obranného priemyslu na EÚ, a to aj prostredníctvom posilneného kapitálového nástroja v oblasti obrany, ktorý by sa zameriaval na neskorú fázu komercializácie, financovanie rozširovania a prístup MSP k testovacím koridorom a kybernetickým polygónom; zdôrazňuje, že vznikajúci sektor New </w:t>
      </w:r>
      <w:proofErr w:type="spellStart"/>
      <w:r w:rsidRPr="00406A23">
        <w:t>Space</w:t>
      </w:r>
      <w:proofErr w:type="spellEnd"/>
      <w:r w:rsidRPr="00406A23">
        <w:t xml:space="preserve"> a jeho inovačný potenciál v oblasti technológií s dvojakým použitím by sa mal plne využiť v súvislosti s obranným a civilným vývojom;</w:t>
      </w:r>
    </w:p>
    <w:p w14:paraId="11346F97" w14:textId="77777777" w:rsidR="008046FC" w:rsidRPr="00406A23" w:rsidRDefault="008046FC" w:rsidP="008046FC">
      <w:pPr>
        <w:pStyle w:val="NormalHanging12a"/>
      </w:pPr>
      <w:r w:rsidRPr="00406A23">
        <w:t>28.</w:t>
      </w:r>
      <w:r w:rsidRPr="00406A23">
        <w:tab/>
        <w:t>vyzýva Komisiu, aby posúdila právne, procedurálne a regulačné úpravy, ktoré by boli potrebné na zabezpečenie toho, aby EÚ a jej členské štáty mohli rýchlo prispôsobiť pravidlá obstarávania a výroby v oblasti obrany v prípade vojny alebo vážnej bezpečnostnej krízy, a na zabezpečenie toho, aby sa nenarušil jednotný trh; ďalej vyzýva Komisiu, aby zabezpečila, že takýto postup bude v súlade s režimom bezpečnosti dodávok zahrnutým do EDIP; zdôrazňuje význam pripravenosti v podobe pohotovostného rámca pre núdzové obstarávanie a zvýšenie priemyselných kapacít, ktorý by sa mohol v prípade potreby rýchlo aktivovať;</w:t>
      </w:r>
    </w:p>
    <w:p w14:paraId="23A9B3C5" w14:textId="77777777" w:rsidR="008046FC" w:rsidRPr="00406A23" w:rsidRDefault="008046FC" w:rsidP="008046FC">
      <w:pPr>
        <w:pStyle w:val="NormalHanging12a"/>
      </w:pPr>
      <w:r w:rsidRPr="00406A23">
        <w:t>29.</w:t>
      </w:r>
      <w:r w:rsidRPr="00406A23">
        <w:tab/>
        <w:t>je presvedčený, že inštitúcie a agentúry EÚ by mali posilniť svoju úlohu uľahčovania koordinácie medzi členskými štátmi, a víta príspevok EDA, najmä vo forme plánu rozvoja spôsobilostí a koordinovaného ročného hodnotenia obrany, pričom zdôrazňuje, že jej odborné znalosti by sa mali využívať v plnej miere; zdôrazňuje kľúčovú úlohu EDA pri podpore jednotného trhu v oblasti obrany a vyzýva členské štáty na posilnenie mandátu a zdrojov EDA v tomto ohľade; podporuje väčšie zapojenie EDA do obranných iniciatív EÚ a do identifikácie pretrvávajúcich prekážok jednotného trhu v oblasti obrany; vyzýva na rozvoj a regionálne rozmiestnenie centier pre inovácie v oblasti obrany (HEDI) v rámci EDA s cieľom rozšíriť jej úlohu ako centrálnej platformy spájajúcej MSP, startupy, výskumné centrá a hlavných dodávateľov; je pevne presvedčený, že posilnenie EDA pomôže posilniť vzájomnú dôveru a spoluprácu potrebnú na rozvoj jednotného trhu v oblasti obrany, keďže EDA má jedinečné postavenie na prepojenie národných a európskych záujmov; víta aj prínos mnohostranných agentúr verejného obstarávania, ako je Organizácia pre spoluprácu v oblasti vyzbrojovania, ktoré podporujú harmonizáciu vybavenia medzi členskými štátmi a partnerskými štátmi mimo EÚ;</w:t>
      </w:r>
    </w:p>
    <w:p w14:paraId="40626415" w14:textId="77777777" w:rsidR="008046FC" w:rsidRPr="00406A23" w:rsidRDefault="008046FC" w:rsidP="008046FC">
      <w:pPr>
        <w:pStyle w:val="NormalHanging12a"/>
      </w:pPr>
      <w:r w:rsidRPr="00406A23">
        <w:lastRenderedPageBreak/>
        <w:t>30.</w:t>
      </w:r>
      <w:r w:rsidRPr="00406A23">
        <w:tab/>
        <w:t>zdôrazňuje potrebu ďalšieho európskeho financovania určeného na riešenie komercializačnej medzery v súvislosti s inováciami výrobkov obranného priemyslu; vyzýva na posilnenie nástrojov s cieľom zabezpečiť, aby MSP a spoločnosti so strednou trhovou kapitalizáciou mali skutočný a škálovateľný prístup k súkromnému kapitálu a obranným programom, a to aj prostredníctvom zjednodušeného obstarávania, pravidiel priaznivých pre inovácie a podpory cezhraničného nadväzovania kontaktov, čím sa zabezpečí ich zvýšená účasť a spravodlivejšie prideľovanie finančných prostriedkov; zdôrazňuje význam zriadenia regionálnych obranných technologických inkubátorov pod záštitou centier pre inovácie v oblasti obrany, ktoré by podporovali cezhraničné konzorciá MSP, poskytovali poradenstvo pri obstarávaní v oblasti obrany a uľahčovali testovanie a overovanie inovatívnych technológií v spolupráci s vojenskými koncovými používateľmi;</w:t>
      </w:r>
    </w:p>
    <w:p w14:paraId="19A65977" w14:textId="77777777" w:rsidR="008046FC" w:rsidRPr="00406A23" w:rsidRDefault="008046FC" w:rsidP="008046FC">
      <w:pPr>
        <w:pStyle w:val="NormalHanging12a"/>
      </w:pPr>
      <w:r w:rsidRPr="00406A23">
        <w:t>31.</w:t>
      </w:r>
      <w:r w:rsidRPr="00406A23">
        <w:tab/>
        <w:t xml:space="preserve">zdôrazňuje, že je potrebné, aby EÚ a NATO podpísali komplexnú dohodu o spolupráci v oblasti plánovania a rozvoja spôsobilostí s cieľom zabezpečiť súdržné a komplementárne plánovanie a </w:t>
      </w:r>
      <w:proofErr w:type="spellStart"/>
      <w:r w:rsidRPr="00406A23">
        <w:t>interoperabilné</w:t>
      </w:r>
      <w:proofErr w:type="spellEnd"/>
      <w:r w:rsidRPr="00406A23">
        <w:t xml:space="preserve"> obranné spôsobilosti, ako aj v oblasti normalizácie; zdôrazňuje, že takáto spolupráca musí rešpektovať autonómiu oboch organizácií a zároveň zabraňovať duplicite a podporovať spravodlivé rozdelenie zaťaženia; vyzýva Komisiu, aby v spolupráci s EDA pripravila legislatívny návrh, ktorým by sa vytvoril harmonizovaný rámec EÚ pre právne záväzné technické normy a certifikáciu výrobkov obranného priemyslu, ktorý by sa opieral o referenčný systém európskych obranných noriem (EDSTAR) a vo vhodných prípadoch by kodifikoval vybrané normalizačné dohody NATO (STANAG) do právnych predpisov EÚ; ďalej vyzýva Komisiu, aby navrhla rámec pre spoločné európske testovanie a certifikáciu obranného vybavenia namiesto samostatnej vnútroštátnej validácie pre každý výrobok obranného priemyslu, a to vrátane spoločných skúšobných a certifikačných zariadení; vyzýva členské štáty, aby zosúladili svoje úsilie v oblasti obstarávania a rozvoja spôsobilostí s prioritami obranného plánovania NATO, zabezpečili plnú </w:t>
      </w:r>
      <w:proofErr w:type="spellStart"/>
      <w:r w:rsidRPr="00406A23">
        <w:t>interoperabilitu</w:t>
      </w:r>
      <w:proofErr w:type="spellEnd"/>
      <w:r w:rsidRPr="00406A23">
        <w:t xml:space="preserve"> systémov a vyhli sa paralelným štruktúram; zdôrazňuje, že silnejší a integrovanejší európsky obranný priemysel by mal posilniť príspevok Európy v rámci NATO a transatlantického rozdelenia bremena a zároveň zachovať otvorenú spoluprácu s dôveryhodnými partnermi, ako je Ukrajina, krajiny EHP/EZVO a štáty partnerstva v oblasti bezpečnosti a obrany; nabáda na vykonávanie akčného plánu NATO pre rýchle prijímanie a implementáciu, ktorého cieľom je urýchliť vnútroštátne procesy obstarávania a úsilie o reformu akvizičných cyklov, testovacích protokolov a certifikačných rámcov, čím sa zabezpečí, aby vojenské inovácie držali krok s prostredím hrozieb;</w:t>
      </w:r>
    </w:p>
    <w:p w14:paraId="1DC2E9EC" w14:textId="77777777" w:rsidR="008046FC" w:rsidRPr="00406A23" w:rsidRDefault="008046FC" w:rsidP="008046FC">
      <w:pPr>
        <w:pStyle w:val="NormalHanging12a"/>
      </w:pPr>
      <w:r w:rsidRPr="00406A23">
        <w:t>32.</w:t>
      </w:r>
      <w:r w:rsidRPr="00406A23">
        <w:tab/>
        <w:t xml:space="preserve">berie na vedomie odporúčania týkajúce sa obrany, ktoré predložil bývalý taliansky premiér </w:t>
      </w:r>
      <w:proofErr w:type="spellStart"/>
      <w:r w:rsidRPr="00406A23">
        <w:t>Enrico</w:t>
      </w:r>
      <w:proofErr w:type="spellEnd"/>
      <w:r w:rsidRPr="00406A23">
        <w:t xml:space="preserve"> </w:t>
      </w:r>
      <w:proofErr w:type="spellStart"/>
      <w:r w:rsidRPr="00406A23">
        <w:t>Letta</w:t>
      </w:r>
      <w:proofErr w:type="spellEnd"/>
      <w:r w:rsidRPr="00406A23">
        <w:t xml:space="preserve"> v roku 2024 vo svojej správe s názvom Oveľa viac než len trh; konštatuje, že daňové prekážky a rôzne postupy týkajúce sa dane z pridanej hodnoty v programoch </w:t>
      </w:r>
      <w:proofErr w:type="spellStart"/>
      <w:r w:rsidRPr="00406A23">
        <w:t>kolaboratívneho</w:t>
      </w:r>
      <w:proofErr w:type="spellEnd"/>
      <w:r w:rsidRPr="00406A23">
        <w:t xml:space="preserve"> obstarávania bránia dosiahnutiu cieľov obrannej pripravenosti do roku 2030, zvýšeniu kapacity obranného priemyslu a rozšíreniu spoločných programov; vyzýva Komisiu, aby nadviazala na </w:t>
      </w:r>
      <w:proofErr w:type="spellStart"/>
      <w:r w:rsidRPr="00406A23">
        <w:t>Lettovu</w:t>
      </w:r>
      <w:proofErr w:type="spellEnd"/>
      <w:r w:rsidRPr="00406A23">
        <w:t xml:space="preserve"> správu a zvýšila úsilie o zníženie daňových prekážok;</w:t>
      </w:r>
    </w:p>
    <w:p w14:paraId="5994C558" w14:textId="77777777" w:rsidR="008046FC" w:rsidRPr="00406A23" w:rsidRDefault="008046FC" w:rsidP="008046FC">
      <w:pPr>
        <w:pStyle w:val="NormalHanging12a"/>
      </w:pPr>
      <w:r w:rsidRPr="00406A23">
        <w:t>33.</w:t>
      </w:r>
      <w:r w:rsidRPr="00406A23">
        <w:tab/>
        <w:t xml:space="preserve">vyzýva členské štáty, aby propagovali kariéry v oblasti obranných technológií medzi mladými odborníkmi, a to aj prostredníctvom kampaní na zvyšovanie povedomia o prínose tohto sektora pre bezpečnosť Európy a technologické inovácie; podporuje vytváranie verejno-súkromných partnerstiev medzi spoločnosťami v sektore obrany, vzdelávacími inštitúciami a vládami s cieľom vytvoriť fondy talentov; naliehavo vyzýva </w:t>
      </w:r>
      <w:r w:rsidRPr="00406A23">
        <w:lastRenderedPageBreak/>
        <w:t>členské štáty a Komisiu, aby na základe dialógu so sociálnymi partnermi vrátane odborových zväzov navrhli sektorové stratégie v oblasti zručností, ako sú programy odbornej prípravy a možnosti celoživotného vzdelávania, s cieľom odstrániť súčasné a budúce medzery v zručnostiach v obrannom priemysle; na tento účel navrhuje, aby program Únie zručností výslovne zahŕňal sektor obrany a uľahčoval mobilitu kvalifikovaných pracovníkov medzi členskými štátmi tam, kde sú najviac potrební;</w:t>
      </w:r>
    </w:p>
    <w:p w14:paraId="3B63AD2A" w14:textId="77777777" w:rsidR="008046FC" w:rsidRPr="00406A23" w:rsidRDefault="008046FC" w:rsidP="008046FC">
      <w:pPr>
        <w:pStyle w:val="NormalHanging12a"/>
      </w:pPr>
      <w:r w:rsidRPr="00406A23">
        <w:t>34.</w:t>
      </w:r>
      <w:r w:rsidRPr="00406A23">
        <w:tab/>
        <w:t>vyzýva Komisiu, aby prostredníctvom nezávislého posúdenia vplyvu ďalej kvantifikovala potenciálne finančné a operačné prínosy jednotného trhu v oblasti obrany vrátane zvýšenia efektívnosti a zvýšenia kolektívnej vojenskej spôsobilosti; vyzýva na vytvorenie jednotného kontaktného miesta, kde by zainteresované strany mohli nahlasovať prekážky, zhromažďovať dôkazy a monitorovať dodržiavanie predpisov členskými štátmi;</w:t>
      </w:r>
    </w:p>
    <w:p w14:paraId="79F7092F" w14:textId="77777777" w:rsidR="008046FC" w:rsidRPr="00406A23" w:rsidRDefault="008046FC" w:rsidP="008046FC">
      <w:pPr>
        <w:pStyle w:val="NormalHanging12a"/>
      </w:pPr>
      <w:r w:rsidRPr="00406A23">
        <w:t>35.</w:t>
      </w:r>
      <w:r w:rsidRPr="00406A23">
        <w:tab/>
        <w:t>víta závery Európskej rady z októbra 2025, v ktorých sa vyzýva na vypracovanie výročnej správy o pripravenosti obranného priemyslu EÚ, a žiada, aby ju doplnila „hodnotiaca tabuľka jednotného trhu v oblasti obrany“, ktorú by zverejňovala Komisia v spolupráci s EDA; zdôrazňuje, že táto hodnotiaca tabuľka by mala sledovať ukazovatele, ako je podiel obstarávania v oblasti obrany realizovaného spoločne alebo prostredníctvom otvorenej súťaže pre celú EÚ, úrovne cezhraničnej priemyselnej spolupráce, miery účasti MSP a obmedzenia duplicity systémov; zdôrazňuje, že by mala zachytiť aj sociálno-ekonomické prínosy obranných programov EÚ v členských štátoch a regiónoch, a to vrátane tvorby pracovných miest a priemyselného rozvoja, aby bolo možné usmerniť zdokonaľovanie politiky a posilniť dôveru verejnosti;</w:t>
      </w:r>
    </w:p>
    <w:p w14:paraId="1528439E" w14:textId="27BDD14F" w:rsidR="008046FC" w:rsidRPr="00406A23" w:rsidRDefault="008046FC" w:rsidP="008046FC">
      <w:pPr>
        <w:pStyle w:val="NormalHanging12a"/>
      </w:pPr>
      <w:r w:rsidRPr="00406A23">
        <w:t>36.</w:t>
      </w:r>
      <w:r w:rsidRPr="00406A23">
        <w:tab/>
        <w:t xml:space="preserve">je pevne presvedčený, že v záujme zaručenia demokratickej legitimity a transparentnosti obranných politík EÚ v čase hybridnej vojny a dezinformačných kampaní musí </w:t>
      </w:r>
      <w:r w:rsidR="00DE18F7" w:rsidRPr="00406A23">
        <w:t>Európsky p</w:t>
      </w:r>
      <w:r w:rsidRPr="00406A23">
        <w:t>arlament zohrávať ústrednú úlohu pri plánovaní týchto politík, dohľade nad nimi a ich kontrole; zdôrazňuje, že sa musí zabezpečiť transparentnosť a zodpovednosť; vyzýva Komisiu, Radu, členské štáty a EDA, aby zaistili zabezpečené kanály na výmenu utajovaných a dôverných informácií s</w:t>
      </w:r>
      <w:r w:rsidR="00DE18F7" w:rsidRPr="00406A23">
        <w:t> Európskym p</w:t>
      </w:r>
      <w:r w:rsidRPr="00406A23">
        <w:t>arlamentom, obranným priemyslom a vnútroštátnymi orgánmi;</w:t>
      </w:r>
    </w:p>
    <w:p w14:paraId="50958921" w14:textId="13BAA13D" w:rsidR="00DE18F7" w:rsidRPr="00406A23" w:rsidRDefault="00DE18F7" w:rsidP="00DE18F7">
      <w:pPr>
        <w:pStyle w:val="NormalHanging12a"/>
        <w:ind w:left="0" w:firstLine="0"/>
        <w:jc w:val="center"/>
      </w:pPr>
      <w:r w:rsidRPr="00406A23">
        <w:t>°</w:t>
      </w:r>
    </w:p>
    <w:p w14:paraId="18A55D63" w14:textId="1AFC4C26" w:rsidR="00DE18F7" w:rsidRPr="00406A23" w:rsidRDefault="00DE18F7" w:rsidP="00DE18F7">
      <w:pPr>
        <w:pStyle w:val="NormalHanging12a"/>
        <w:ind w:left="0" w:firstLine="0"/>
        <w:jc w:val="center"/>
      </w:pPr>
      <w:r w:rsidRPr="00406A23">
        <w:t>°     °</w:t>
      </w:r>
    </w:p>
    <w:p w14:paraId="0797ACED" w14:textId="6E79EF97" w:rsidR="00E365E1" w:rsidRPr="00406A23" w:rsidRDefault="008046FC" w:rsidP="00DE18F7">
      <w:pPr>
        <w:pStyle w:val="NormalHanging12a"/>
      </w:pPr>
      <w:r w:rsidRPr="00406A23">
        <w:t>37.</w:t>
      </w:r>
      <w:r w:rsidRPr="00406A23">
        <w:tab/>
        <w:t>poveruje svoju predsedníčku, aby postúpila toto uznesenie Rade a Komisii.</w:t>
      </w:r>
    </w:p>
    <w:sectPr w:rsidR="00E365E1" w:rsidRPr="00406A23" w:rsidSect="00991C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D42DC" w14:textId="77777777" w:rsidR="00705055" w:rsidRPr="00991CF4" w:rsidRDefault="00705055">
      <w:r w:rsidRPr="00991CF4">
        <w:separator/>
      </w:r>
    </w:p>
  </w:endnote>
  <w:endnote w:type="continuationSeparator" w:id="0">
    <w:p w14:paraId="7490482A" w14:textId="77777777" w:rsidR="00705055" w:rsidRPr="00991CF4" w:rsidRDefault="00705055">
      <w:r w:rsidRPr="00991C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E1367" w14:textId="77777777" w:rsidR="00064002" w:rsidRPr="00991CF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01622" w14:textId="77777777" w:rsidR="00064002" w:rsidRPr="00991CF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C1749" w14:textId="77777777" w:rsidR="00064002" w:rsidRPr="00991CF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9A452" w14:textId="77777777" w:rsidR="00705055" w:rsidRPr="00991CF4" w:rsidRDefault="00705055">
      <w:r w:rsidRPr="00991CF4">
        <w:separator/>
      </w:r>
    </w:p>
  </w:footnote>
  <w:footnote w:type="continuationSeparator" w:id="0">
    <w:p w14:paraId="45D91952" w14:textId="77777777" w:rsidR="00705055" w:rsidRPr="00991CF4" w:rsidRDefault="00705055">
      <w:r w:rsidRPr="00991CF4">
        <w:continuationSeparator/>
      </w:r>
    </w:p>
  </w:footnote>
  <w:footnote w:id="1">
    <w:p w14:paraId="67A3EE48" w14:textId="1933DAB1" w:rsidR="008046FC" w:rsidRPr="00991CF4" w:rsidRDefault="008046FC" w:rsidP="00991CF4">
      <w:pPr>
        <w:pStyle w:val="FootnoteText"/>
        <w:ind w:left="567" w:hanging="567"/>
        <w:rPr>
          <w:sz w:val="24"/>
          <w:lang w:val="sk-SK"/>
        </w:rPr>
      </w:pPr>
      <w:r w:rsidRPr="00991CF4">
        <w:rPr>
          <w:sz w:val="24"/>
          <w:vertAlign w:val="superscript"/>
          <w:lang w:val="sk-SK"/>
        </w:rPr>
        <w:t>1</w:t>
      </w:r>
      <w:r w:rsidR="00991CF4" w:rsidRPr="00991CF4">
        <w:rPr>
          <w:sz w:val="24"/>
          <w:vertAlign w:val="superscript"/>
          <w:lang w:val="sk-SK"/>
        </w:rPr>
        <w:t xml:space="preserve"> </w:t>
      </w:r>
      <w:r w:rsidR="00991CF4" w:rsidRPr="00991CF4">
        <w:rPr>
          <w:sz w:val="24"/>
          <w:vertAlign w:val="superscript"/>
          <w:lang w:val="sk-SK"/>
        </w:rPr>
        <w:tab/>
      </w:r>
      <w:r w:rsidRPr="00991CF4">
        <w:rPr>
          <w:sz w:val="24"/>
          <w:lang w:val="sk-SK"/>
        </w:rPr>
        <w:t xml:space="preserve">Ú. v. EÚ L 331, 14.12.2017, s. 57, ELI: </w:t>
      </w:r>
      <w:hyperlink r:id="rId1" w:tgtFrame="http://data.europa.eu/eli/dec/2017/2315/oj" w:history="1">
        <w:r w:rsidRPr="00991CF4">
          <w:rPr>
            <w:rStyle w:val="Hyperlink"/>
            <w:sz w:val="24"/>
            <w:lang w:val="sk-SK"/>
          </w:rPr>
          <w:t>http://data.europa.eu/eli/dec/2017/2315/oj</w:t>
        </w:r>
      </w:hyperlink>
      <w:r w:rsidRPr="00991CF4">
        <w:rPr>
          <w:sz w:val="24"/>
          <w:lang w:val="sk-SK"/>
        </w:rPr>
        <w:t>.</w:t>
      </w:r>
    </w:p>
  </w:footnote>
  <w:footnote w:id="2">
    <w:p w14:paraId="16F93AE4" w14:textId="04C7691B" w:rsidR="008046FC" w:rsidRPr="00991CF4" w:rsidRDefault="008046FC" w:rsidP="00991CF4">
      <w:pPr>
        <w:pStyle w:val="FootnoteText"/>
        <w:ind w:left="567" w:hanging="567"/>
        <w:rPr>
          <w:sz w:val="24"/>
          <w:lang w:val="sk-SK"/>
        </w:rPr>
      </w:pPr>
      <w:r w:rsidRPr="00991CF4">
        <w:rPr>
          <w:sz w:val="24"/>
          <w:vertAlign w:val="superscript"/>
          <w:lang w:val="sk-SK"/>
        </w:rPr>
        <w:t>2</w:t>
      </w:r>
      <w:r w:rsidR="00991CF4" w:rsidRPr="00991CF4">
        <w:rPr>
          <w:sz w:val="24"/>
          <w:vertAlign w:val="superscript"/>
          <w:lang w:val="sk-SK"/>
        </w:rPr>
        <w:t xml:space="preserve"> </w:t>
      </w:r>
      <w:r w:rsidR="00991CF4" w:rsidRPr="00991CF4">
        <w:rPr>
          <w:sz w:val="24"/>
          <w:vertAlign w:val="superscript"/>
          <w:lang w:val="sk-SK"/>
        </w:rPr>
        <w:tab/>
      </w:r>
      <w:r w:rsidRPr="00991CF4">
        <w:rPr>
          <w:sz w:val="24"/>
          <w:lang w:val="sk-SK"/>
        </w:rPr>
        <w:t xml:space="preserve">Ú. v. EÚ L 146, 10.6.2009, s. 1, ELI: </w:t>
      </w:r>
      <w:r w:rsidR="00E44961">
        <w:fldChar w:fldCharType="begin"/>
      </w:r>
      <w:r w:rsidR="00E44961" w:rsidRPr="00E44961">
        <w:rPr>
          <w:lang w:val="fi-FI"/>
        </w:rPr>
        <w:instrText>HYPERLINK "http://data.europa.eu/eli/dir/2009/43/oj" \t "http://data.europa.eu/eli/dir/2009/43/oj"</w:instrText>
      </w:r>
      <w:r w:rsidR="00E44961">
        <w:fldChar w:fldCharType="separate"/>
      </w:r>
      <w:r w:rsidRPr="00991CF4">
        <w:rPr>
          <w:rStyle w:val="Hyperlink"/>
          <w:sz w:val="24"/>
          <w:lang w:val="sk-SK"/>
        </w:rPr>
        <w:t>http://data.europa.eu/eli/dir/2009/43/oj)</w:t>
      </w:r>
      <w:r w:rsidR="00E44961">
        <w:rPr>
          <w:rStyle w:val="Hyperlink"/>
          <w:sz w:val="24"/>
          <w:lang w:val="sk-SK"/>
        </w:rPr>
        <w:fldChar w:fldCharType="end"/>
      </w:r>
      <w:r w:rsidRPr="00991CF4">
        <w:rPr>
          <w:sz w:val="24"/>
          <w:lang w:val="sk-SK"/>
        </w:rPr>
        <w:t>.</w:t>
      </w:r>
    </w:p>
  </w:footnote>
  <w:footnote w:id="3">
    <w:p w14:paraId="72550488" w14:textId="39C936C8" w:rsidR="008046FC" w:rsidRPr="00991CF4" w:rsidRDefault="008046FC" w:rsidP="00991CF4">
      <w:pPr>
        <w:pStyle w:val="FootnoteText"/>
        <w:ind w:left="567" w:hanging="567"/>
        <w:rPr>
          <w:sz w:val="24"/>
          <w:lang w:val="sk-SK"/>
        </w:rPr>
      </w:pPr>
      <w:r w:rsidRPr="00991CF4">
        <w:rPr>
          <w:sz w:val="24"/>
          <w:vertAlign w:val="superscript"/>
          <w:lang w:val="sk-SK"/>
        </w:rPr>
        <w:t>3</w:t>
      </w:r>
      <w:r w:rsidR="00991CF4" w:rsidRPr="00991CF4">
        <w:rPr>
          <w:sz w:val="24"/>
          <w:vertAlign w:val="superscript"/>
          <w:lang w:val="sk-SK"/>
        </w:rPr>
        <w:t xml:space="preserve"> </w:t>
      </w:r>
      <w:r w:rsidR="00991CF4" w:rsidRPr="00991CF4">
        <w:rPr>
          <w:sz w:val="24"/>
          <w:vertAlign w:val="superscript"/>
          <w:lang w:val="sk-SK"/>
        </w:rPr>
        <w:tab/>
      </w:r>
      <w:r w:rsidRPr="00991CF4">
        <w:rPr>
          <w:sz w:val="24"/>
          <w:lang w:val="sk-SK"/>
        </w:rPr>
        <w:t xml:space="preserve">Ú. v. EÚ L 216, 20.8.2009, s. 76, ELI: </w:t>
      </w:r>
      <w:r w:rsidR="00E44961">
        <w:fldChar w:fldCharType="begin"/>
      </w:r>
      <w:r w:rsidR="00E44961" w:rsidRPr="00E44961">
        <w:rPr>
          <w:lang w:val="fi-FI"/>
        </w:rPr>
        <w:instrText>HYPERLINK "http://data.europa.eu/eli/dir/2009/81/oj" \t "http://data.europa.eu/eli/dir/2009/81/oj"</w:instrText>
      </w:r>
      <w:r w:rsidR="00E44961">
        <w:fldChar w:fldCharType="separate"/>
      </w:r>
      <w:r w:rsidRPr="00991CF4">
        <w:rPr>
          <w:rStyle w:val="Hyperlink"/>
          <w:sz w:val="24"/>
          <w:lang w:val="sk-SK"/>
        </w:rPr>
        <w:t>http://data.europa.eu/eli/dir/2009/81/oj</w:t>
      </w:r>
      <w:r w:rsidR="00E44961">
        <w:rPr>
          <w:rStyle w:val="Hyperlink"/>
          <w:sz w:val="24"/>
          <w:lang w:val="sk-SK"/>
        </w:rPr>
        <w:fldChar w:fldCharType="end"/>
      </w:r>
      <w:r w:rsidRPr="00991CF4">
        <w:rPr>
          <w:sz w:val="24"/>
          <w:lang w:val="sk-SK"/>
        </w:rPr>
        <w:t>.</w:t>
      </w:r>
    </w:p>
  </w:footnote>
  <w:footnote w:id="4">
    <w:p w14:paraId="429BCF17" w14:textId="0B0F85AC" w:rsidR="008046FC" w:rsidRPr="00991CF4" w:rsidRDefault="008046FC" w:rsidP="00991CF4">
      <w:pPr>
        <w:pStyle w:val="FootnoteText"/>
        <w:ind w:left="567" w:hanging="567"/>
        <w:rPr>
          <w:sz w:val="24"/>
          <w:lang w:val="sk-SK"/>
        </w:rPr>
      </w:pPr>
      <w:r w:rsidRPr="00991CF4">
        <w:rPr>
          <w:sz w:val="24"/>
          <w:vertAlign w:val="superscript"/>
          <w:lang w:val="sk-SK"/>
        </w:rPr>
        <w:t>4</w:t>
      </w:r>
      <w:r w:rsidR="00991CF4" w:rsidRPr="00991CF4">
        <w:rPr>
          <w:sz w:val="24"/>
          <w:vertAlign w:val="superscript"/>
          <w:lang w:val="sk-SK"/>
        </w:rPr>
        <w:t xml:space="preserve"> </w:t>
      </w:r>
      <w:r w:rsidR="00991CF4" w:rsidRPr="00991CF4">
        <w:rPr>
          <w:sz w:val="24"/>
          <w:vertAlign w:val="superscript"/>
          <w:lang w:val="sk-SK"/>
        </w:rPr>
        <w:tab/>
      </w:r>
      <w:r w:rsidRPr="00991CF4">
        <w:rPr>
          <w:sz w:val="24"/>
          <w:lang w:val="sk-SK"/>
        </w:rPr>
        <w:t xml:space="preserve">Ú. v. EÚ L 170, 12.5.2021, s. 149, ELI: </w:t>
      </w:r>
      <w:r w:rsidR="00E44961">
        <w:fldChar w:fldCharType="begin"/>
      </w:r>
      <w:r w:rsidR="00E44961" w:rsidRPr="00E44961">
        <w:rPr>
          <w:lang w:val="fi-FI"/>
        </w:rPr>
        <w:instrText>HYPERLINK "http://data.europa.eu/eli/reg/2021/697/oj" \t "http://data.europa.eu/eli/reg/2021/697/oj"</w:instrText>
      </w:r>
      <w:r w:rsidR="00E44961">
        <w:fldChar w:fldCharType="separate"/>
      </w:r>
      <w:r w:rsidRPr="00991CF4">
        <w:rPr>
          <w:rStyle w:val="Hyperlink"/>
          <w:sz w:val="24"/>
          <w:lang w:val="sk-SK"/>
        </w:rPr>
        <w:t>http://data.europa.eu/eli/reg/2021/697/oj</w:t>
      </w:r>
      <w:r w:rsidR="00E44961">
        <w:rPr>
          <w:rStyle w:val="Hyperlink"/>
          <w:sz w:val="24"/>
          <w:lang w:val="sk-SK"/>
        </w:rPr>
        <w:fldChar w:fldCharType="end"/>
      </w:r>
      <w:r w:rsidRPr="00991CF4">
        <w:rPr>
          <w:sz w:val="24"/>
          <w:lang w:val="sk-SK"/>
        </w:rPr>
        <w:t>.</w:t>
      </w:r>
    </w:p>
  </w:footnote>
  <w:footnote w:id="5">
    <w:p w14:paraId="6E647E98" w14:textId="10B26C50" w:rsidR="008046FC" w:rsidRPr="00991CF4" w:rsidRDefault="008046FC" w:rsidP="00991CF4">
      <w:pPr>
        <w:pStyle w:val="FootnoteText"/>
        <w:ind w:left="567" w:hanging="567"/>
        <w:rPr>
          <w:sz w:val="24"/>
          <w:lang w:val="sk-SK"/>
        </w:rPr>
      </w:pPr>
      <w:r w:rsidRPr="00991CF4">
        <w:rPr>
          <w:sz w:val="24"/>
          <w:vertAlign w:val="superscript"/>
          <w:lang w:val="sk-SK"/>
        </w:rPr>
        <w:t>5</w:t>
      </w:r>
      <w:r w:rsidR="00991CF4" w:rsidRPr="00991CF4">
        <w:rPr>
          <w:sz w:val="24"/>
          <w:vertAlign w:val="superscript"/>
          <w:lang w:val="sk-SK"/>
        </w:rPr>
        <w:t xml:space="preserve"> </w:t>
      </w:r>
      <w:r w:rsidR="00991CF4" w:rsidRPr="00991CF4">
        <w:rPr>
          <w:sz w:val="24"/>
          <w:vertAlign w:val="superscript"/>
          <w:lang w:val="sk-SK"/>
        </w:rPr>
        <w:tab/>
      </w:r>
      <w:r w:rsidRPr="00991CF4">
        <w:rPr>
          <w:sz w:val="24"/>
          <w:lang w:val="sk-SK"/>
        </w:rPr>
        <w:t xml:space="preserve">Ú. v. EÚ L 185, 24.7.2023, s. 7, ELI: </w:t>
      </w:r>
      <w:r w:rsidR="00E44961">
        <w:fldChar w:fldCharType="begin"/>
      </w:r>
      <w:r w:rsidR="00E44961" w:rsidRPr="00E44961">
        <w:rPr>
          <w:lang w:val="fi-FI"/>
        </w:rPr>
        <w:instrText>HYPERLINK "http://data.europa.eu/eli/reg/2023/1525/oj" \t "http://data.europa.eu/eli/reg/2023/1525/oj"</w:instrText>
      </w:r>
      <w:r w:rsidR="00E44961">
        <w:fldChar w:fldCharType="separate"/>
      </w:r>
      <w:r w:rsidRPr="00991CF4">
        <w:rPr>
          <w:rStyle w:val="Hyperlink"/>
          <w:sz w:val="24"/>
          <w:lang w:val="sk-SK"/>
        </w:rPr>
        <w:t>http://data.europa.eu/eli/reg/2023/1525/oj</w:t>
      </w:r>
      <w:r w:rsidR="00E44961">
        <w:rPr>
          <w:rStyle w:val="Hyperlink"/>
          <w:sz w:val="24"/>
          <w:lang w:val="sk-SK"/>
        </w:rPr>
        <w:fldChar w:fldCharType="end"/>
      </w:r>
      <w:r w:rsidRPr="00991CF4">
        <w:rPr>
          <w:sz w:val="24"/>
          <w:lang w:val="sk-SK"/>
        </w:rPr>
        <w:t>.</w:t>
      </w:r>
    </w:p>
  </w:footnote>
  <w:footnote w:id="6">
    <w:p w14:paraId="205973DF" w14:textId="09D51BBC" w:rsidR="008046FC" w:rsidRPr="00991CF4" w:rsidRDefault="008046FC" w:rsidP="00991CF4">
      <w:pPr>
        <w:pStyle w:val="FootnoteText"/>
        <w:ind w:left="567" w:hanging="567"/>
        <w:rPr>
          <w:sz w:val="24"/>
          <w:lang w:val="sk-SK"/>
        </w:rPr>
      </w:pPr>
      <w:r w:rsidRPr="00991CF4">
        <w:rPr>
          <w:sz w:val="24"/>
          <w:vertAlign w:val="superscript"/>
          <w:lang w:val="sk-SK"/>
        </w:rPr>
        <w:t>6</w:t>
      </w:r>
      <w:r w:rsidR="00991CF4" w:rsidRPr="00991CF4">
        <w:rPr>
          <w:sz w:val="24"/>
          <w:vertAlign w:val="superscript"/>
          <w:lang w:val="sk-SK"/>
        </w:rPr>
        <w:t xml:space="preserve"> </w:t>
      </w:r>
      <w:r w:rsidR="00991CF4" w:rsidRPr="00991CF4">
        <w:rPr>
          <w:sz w:val="24"/>
          <w:vertAlign w:val="superscript"/>
          <w:lang w:val="sk-SK"/>
        </w:rPr>
        <w:tab/>
      </w:r>
      <w:r w:rsidRPr="00991CF4">
        <w:rPr>
          <w:sz w:val="24"/>
          <w:lang w:val="sk-SK"/>
        </w:rPr>
        <w:t xml:space="preserve">Ú. v. EÚ L, 2023/2418, 26.10.2023, ELI: </w:t>
      </w:r>
      <w:r w:rsidR="00E44961">
        <w:fldChar w:fldCharType="begin"/>
      </w:r>
      <w:r w:rsidR="00E44961" w:rsidRPr="00E44961">
        <w:rPr>
          <w:lang w:val="fi-FI"/>
        </w:rPr>
        <w:instrText>HYPERLINK "http://data.europa.eu/eli/reg/2023/2418/oj" \t "http://data.europa.eu/eli/reg/2023/2418/oj"</w:instrText>
      </w:r>
      <w:r w:rsidR="00E44961">
        <w:fldChar w:fldCharType="separate"/>
      </w:r>
      <w:r w:rsidRPr="00991CF4">
        <w:rPr>
          <w:rStyle w:val="Hyperlink"/>
          <w:sz w:val="24"/>
          <w:lang w:val="sk-SK"/>
        </w:rPr>
        <w:t>http://data.europa.eu/eli/reg/2023/2418/oj</w:t>
      </w:r>
      <w:r w:rsidR="00E44961">
        <w:rPr>
          <w:rStyle w:val="Hyperlink"/>
          <w:sz w:val="24"/>
          <w:lang w:val="sk-SK"/>
        </w:rPr>
        <w:fldChar w:fldCharType="end"/>
      </w:r>
      <w:r w:rsidRPr="00991CF4">
        <w:rPr>
          <w:sz w:val="24"/>
          <w:lang w:val="sk-SK"/>
        </w:rPr>
        <w:t>.</w:t>
      </w:r>
    </w:p>
  </w:footnote>
  <w:footnote w:id="7">
    <w:p w14:paraId="22BF0629" w14:textId="3E5E5C95" w:rsidR="008046FC" w:rsidRPr="00991CF4" w:rsidRDefault="008046FC" w:rsidP="00991CF4">
      <w:pPr>
        <w:pStyle w:val="FootnoteText"/>
        <w:ind w:left="567" w:hanging="567"/>
        <w:rPr>
          <w:sz w:val="24"/>
          <w:lang w:val="sk-SK"/>
        </w:rPr>
      </w:pPr>
      <w:r w:rsidRPr="00991CF4">
        <w:rPr>
          <w:sz w:val="24"/>
          <w:vertAlign w:val="superscript"/>
          <w:lang w:val="sk-SK"/>
        </w:rPr>
        <w:t>7</w:t>
      </w:r>
      <w:r w:rsidR="00991CF4" w:rsidRPr="00991CF4">
        <w:rPr>
          <w:sz w:val="24"/>
          <w:vertAlign w:val="superscript"/>
          <w:lang w:val="sk-SK"/>
        </w:rPr>
        <w:t xml:space="preserve"> </w:t>
      </w:r>
      <w:r w:rsidR="00991CF4" w:rsidRPr="00991CF4">
        <w:rPr>
          <w:sz w:val="24"/>
          <w:vertAlign w:val="superscript"/>
          <w:lang w:val="sk-SK"/>
        </w:rPr>
        <w:tab/>
      </w:r>
      <w:r w:rsidRPr="00991CF4">
        <w:rPr>
          <w:sz w:val="24"/>
          <w:lang w:val="sk-SK"/>
        </w:rPr>
        <w:t xml:space="preserve">Ú. v. EÚ L, 2025/2643, 29.12.2025, ELI: </w:t>
      </w:r>
      <w:r w:rsidR="00E44961">
        <w:fldChar w:fldCharType="begin"/>
      </w:r>
      <w:r w:rsidR="00E44961" w:rsidRPr="00E44961">
        <w:rPr>
          <w:lang w:val="fi-FI"/>
        </w:rPr>
        <w:instrText>HYPERLINK "http://data.europa.eu/eli/reg/2025/2643/oj" \t "http://data.europa.eu/eli/reg/2025/2643/oj"</w:instrText>
      </w:r>
      <w:r w:rsidR="00E44961">
        <w:fldChar w:fldCharType="separate"/>
      </w:r>
      <w:r w:rsidRPr="00991CF4">
        <w:rPr>
          <w:rStyle w:val="Hyperlink"/>
          <w:sz w:val="24"/>
          <w:lang w:val="sk-SK"/>
        </w:rPr>
        <w:t>http://data.europa.eu/eli/reg/2025/2643/oj</w:t>
      </w:r>
      <w:r w:rsidR="00E44961">
        <w:rPr>
          <w:rStyle w:val="Hyperlink"/>
          <w:sz w:val="24"/>
          <w:lang w:val="sk-SK"/>
        </w:rPr>
        <w:fldChar w:fldCharType="end"/>
      </w:r>
      <w:r w:rsidRPr="00991CF4">
        <w:rPr>
          <w:sz w:val="24"/>
          <w:lang w:val="sk-SK"/>
        </w:rPr>
        <w:t>.</w:t>
      </w:r>
    </w:p>
  </w:footnote>
  <w:footnote w:id="8">
    <w:p w14:paraId="155C05B3" w14:textId="74E6198F" w:rsidR="008046FC" w:rsidRPr="00991CF4" w:rsidRDefault="008046FC" w:rsidP="00991CF4">
      <w:pPr>
        <w:pStyle w:val="FootnoteText"/>
        <w:ind w:left="567" w:hanging="567"/>
        <w:rPr>
          <w:sz w:val="24"/>
          <w:lang w:val="sk-SK"/>
        </w:rPr>
      </w:pPr>
      <w:r w:rsidRPr="00991CF4">
        <w:rPr>
          <w:sz w:val="24"/>
          <w:vertAlign w:val="superscript"/>
          <w:lang w:val="sk-SK"/>
        </w:rPr>
        <w:t>8</w:t>
      </w:r>
      <w:r w:rsidR="00991CF4" w:rsidRPr="00991CF4">
        <w:rPr>
          <w:sz w:val="24"/>
          <w:vertAlign w:val="superscript"/>
          <w:lang w:val="sk-SK"/>
        </w:rPr>
        <w:t xml:space="preserve"> </w:t>
      </w:r>
      <w:r w:rsidR="00991CF4" w:rsidRPr="00991CF4">
        <w:rPr>
          <w:sz w:val="24"/>
          <w:vertAlign w:val="superscript"/>
          <w:lang w:val="sk-SK"/>
        </w:rPr>
        <w:tab/>
      </w:r>
      <w:r w:rsidRPr="00991CF4">
        <w:rPr>
          <w:sz w:val="24"/>
          <w:lang w:val="sk-SK"/>
        </w:rPr>
        <w:t xml:space="preserve">Ú. v. EÚ L, 2025/2653, 22.12.2025, ELI: </w:t>
      </w:r>
      <w:r w:rsidR="00E44961">
        <w:fldChar w:fldCharType="begin"/>
      </w:r>
      <w:r w:rsidR="00E44961" w:rsidRPr="00E44961">
        <w:rPr>
          <w:lang w:val="fi-FI"/>
        </w:rPr>
        <w:instrText>HYPERLINK "http://data.europa.eu/eli/reg/2025/2653/oj" \t "http://data.europa.eu/eli/reg/2025/2653/oj"</w:instrText>
      </w:r>
      <w:r w:rsidR="00E44961">
        <w:fldChar w:fldCharType="separate"/>
      </w:r>
      <w:r w:rsidRPr="00991CF4">
        <w:rPr>
          <w:rStyle w:val="Hyperlink"/>
          <w:sz w:val="24"/>
          <w:lang w:val="sk-SK"/>
        </w:rPr>
        <w:t>http://data.europa.eu/eli/reg/2025/2653/oj</w:t>
      </w:r>
      <w:r w:rsidR="00E44961">
        <w:rPr>
          <w:rStyle w:val="Hyperlink"/>
          <w:sz w:val="24"/>
          <w:lang w:val="sk-SK"/>
        </w:rPr>
        <w:fldChar w:fldCharType="end"/>
      </w:r>
      <w:r w:rsidRPr="00991CF4">
        <w:rPr>
          <w:sz w:val="24"/>
          <w:lang w:val="sk-SK"/>
        </w:rPr>
        <w:t>.</w:t>
      </w:r>
    </w:p>
  </w:footnote>
  <w:footnote w:id="9">
    <w:p w14:paraId="06535D5A" w14:textId="5EF6AFBB" w:rsidR="008046FC" w:rsidRPr="00991CF4" w:rsidRDefault="008046FC" w:rsidP="00991CF4">
      <w:pPr>
        <w:pStyle w:val="FootnoteText"/>
        <w:ind w:left="567" w:hanging="567"/>
        <w:rPr>
          <w:sz w:val="24"/>
          <w:lang w:val="sk-SK"/>
        </w:rPr>
      </w:pPr>
      <w:r w:rsidRPr="00991CF4">
        <w:rPr>
          <w:sz w:val="24"/>
          <w:vertAlign w:val="superscript"/>
          <w:lang w:val="sk-SK"/>
        </w:rPr>
        <w:t>9</w:t>
      </w:r>
      <w:r w:rsidR="00991CF4" w:rsidRPr="00991CF4">
        <w:rPr>
          <w:sz w:val="24"/>
          <w:vertAlign w:val="superscript"/>
          <w:lang w:val="sk-SK"/>
        </w:rPr>
        <w:t xml:space="preserve"> </w:t>
      </w:r>
      <w:r w:rsidR="00991CF4" w:rsidRPr="00991CF4">
        <w:rPr>
          <w:sz w:val="24"/>
          <w:vertAlign w:val="superscript"/>
          <w:lang w:val="sk-SK"/>
        </w:rPr>
        <w:tab/>
      </w:r>
      <w:r w:rsidRPr="00991CF4">
        <w:rPr>
          <w:sz w:val="24"/>
          <w:lang w:val="sk-SK"/>
        </w:rPr>
        <w:t xml:space="preserve">Ú. v. EÚ L, 2025/1106, 28.5.2025, ELI: </w:t>
      </w:r>
      <w:r w:rsidR="00E44961">
        <w:fldChar w:fldCharType="begin"/>
      </w:r>
      <w:r w:rsidR="00E44961" w:rsidRPr="00E44961">
        <w:rPr>
          <w:lang w:val="fi-FI"/>
        </w:rPr>
        <w:instrText>HYPERLINK "http://data.europa.eu/eli/reg/2025/1106/oj" \t "http://data.europa.eu/eli/reg/2025/1106/oj"</w:instrText>
      </w:r>
      <w:r w:rsidR="00E44961">
        <w:fldChar w:fldCharType="separate"/>
      </w:r>
      <w:r w:rsidRPr="00991CF4">
        <w:rPr>
          <w:rStyle w:val="Hyperlink"/>
          <w:sz w:val="24"/>
          <w:lang w:val="sk-SK"/>
        </w:rPr>
        <w:t>http://data.europa.eu/eli/reg/2025/1106/oj</w:t>
      </w:r>
      <w:r w:rsidR="00E44961">
        <w:rPr>
          <w:rStyle w:val="Hyperlink"/>
          <w:sz w:val="24"/>
          <w:lang w:val="sk-SK"/>
        </w:rPr>
        <w:fldChar w:fldCharType="end"/>
      </w:r>
      <w:r w:rsidRPr="00991CF4">
        <w:rPr>
          <w:sz w:val="24"/>
          <w:lang w:val="sk-SK"/>
        </w:rPr>
        <w:t>.</w:t>
      </w:r>
    </w:p>
  </w:footnote>
  <w:footnote w:id="10">
    <w:p w14:paraId="4730F773" w14:textId="4A5343DA" w:rsidR="008046FC" w:rsidRPr="00991CF4" w:rsidRDefault="008046FC" w:rsidP="00991CF4">
      <w:pPr>
        <w:pStyle w:val="FootnoteText"/>
        <w:ind w:left="567" w:hanging="567"/>
        <w:rPr>
          <w:sz w:val="24"/>
          <w:lang w:val="sk-SK"/>
        </w:rPr>
      </w:pPr>
      <w:r w:rsidRPr="00991CF4">
        <w:rPr>
          <w:sz w:val="24"/>
          <w:vertAlign w:val="superscript"/>
          <w:lang w:val="sk-SK"/>
        </w:rPr>
        <w:t>10</w:t>
      </w:r>
      <w:r w:rsidR="00991CF4" w:rsidRPr="00991CF4">
        <w:rPr>
          <w:sz w:val="24"/>
          <w:vertAlign w:val="superscript"/>
          <w:lang w:val="sk-SK"/>
        </w:rPr>
        <w:t xml:space="preserve"> </w:t>
      </w:r>
      <w:r w:rsidR="00991CF4" w:rsidRPr="00991CF4">
        <w:rPr>
          <w:sz w:val="24"/>
          <w:vertAlign w:val="superscript"/>
          <w:lang w:val="sk-SK"/>
        </w:rPr>
        <w:tab/>
      </w:r>
      <w:r w:rsidRPr="00991CF4">
        <w:rPr>
          <w:sz w:val="24"/>
          <w:lang w:val="sk-SK"/>
        </w:rPr>
        <w:t>Ú. v. EÚ C 494, 8.12.2021, s. 54.</w:t>
      </w:r>
    </w:p>
  </w:footnote>
  <w:footnote w:id="11">
    <w:p w14:paraId="3C91C1A2" w14:textId="0C713F5A" w:rsidR="008046FC" w:rsidRPr="00991CF4" w:rsidRDefault="008046FC" w:rsidP="00991CF4">
      <w:pPr>
        <w:pStyle w:val="FootnoteText"/>
        <w:ind w:left="567" w:hanging="567"/>
        <w:rPr>
          <w:sz w:val="24"/>
          <w:lang w:val="sk-SK"/>
        </w:rPr>
      </w:pPr>
      <w:r w:rsidRPr="00991CF4">
        <w:rPr>
          <w:sz w:val="24"/>
          <w:vertAlign w:val="superscript"/>
          <w:lang w:val="sk-SK"/>
        </w:rPr>
        <w:t>11</w:t>
      </w:r>
      <w:r w:rsidR="00991CF4" w:rsidRPr="00991CF4">
        <w:rPr>
          <w:sz w:val="24"/>
          <w:vertAlign w:val="superscript"/>
          <w:lang w:val="sk-SK"/>
        </w:rPr>
        <w:t xml:space="preserve"> </w:t>
      </w:r>
      <w:r w:rsidR="00991CF4" w:rsidRPr="00991CF4">
        <w:rPr>
          <w:sz w:val="24"/>
          <w:vertAlign w:val="superscript"/>
          <w:lang w:val="sk-SK"/>
        </w:rPr>
        <w:tab/>
      </w:r>
      <w:r w:rsidRPr="00991CF4">
        <w:rPr>
          <w:sz w:val="24"/>
          <w:lang w:val="sk-SK"/>
        </w:rPr>
        <w:t xml:space="preserve">Ú. v. EÚ C, C/2025/4388, 9.9.2025, ELI: </w:t>
      </w:r>
      <w:r w:rsidR="00E44961">
        <w:fldChar w:fldCharType="begin"/>
      </w:r>
      <w:r w:rsidR="00E44961" w:rsidRPr="00E44961">
        <w:rPr>
          <w:lang w:val="fi-FI"/>
        </w:rPr>
        <w:instrText>HYPERLINK "http://data.europa.eu/eli/C/2025/4388/oj" \t "http://data.europa.eu/eli/C/2025/4388/oj"</w:instrText>
      </w:r>
      <w:r w:rsidR="00E44961">
        <w:fldChar w:fldCharType="separate"/>
      </w:r>
      <w:r w:rsidRPr="00991CF4">
        <w:rPr>
          <w:rStyle w:val="Hyperlink"/>
          <w:sz w:val="24"/>
          <w:lang w:val="sk-SK"/>
        </w:rPr>
        <w:t>http://data.europa.eu/eli/C/2025/4388/oj</w:t>
      </w:r>
      <w:r w:rsidR="00E44961">
        <w:rPr>
          <w:rStyle w:val="Hyperlink"/>
          <w:sz w:val="24"/>
          <w:lang w:val="sk-SK"/>
        </w:rPr>
        <w:fldChar w:fldCharType="end"/>
      </w:r>
      <w:r w:rsidRPr="00991CF4">
        <w:rPr>
          <w:sz w:val="24"/>
          <w:lang w:val="sk-SK"/>
        </w:rPr>
        <w:t>.</w:t>
      </w:r>
    </w:p>
  </w:footnote>
  <w:footnote w:id="12">
    <w:p w14:paraId="3EBE28F0" w14:textId="37FC1278" w:rsidR="008046FC" w:rsidRPr="00991CF4" w:rsidRDefault="008046FC" w:rsidP="00991CF4">
      <w:pPr>
        <w:pStyle w:val="FootnoteText"/>
        <w:ind w:left="567" w:hanging="567"/>
        <w:rPr>
          <w:sz w:val="24"/>
          <w:lang w:val="sk-SK"/>
        </w:rPr>
      </w:pPr>
      <w:r w:rsidRPr="00991CF4">
        <w:rPr>
          <w:sz w:val="24"/>
          <w:vertAlign w:val="superscript"/>
          <w:lang w:val="sk-SK"/>
        </w:rPr>
        <w:t>12</w:t>
      </w:r>
      <w:r w:rsidR="00991CF4" w:rsidRPr="00991CF4">
        <w:rPr>
          <w:sz w:val="24"/>
          <w:vertAlign w:val="superscript"/>
          <w:lang w:val="sk-SK"/>
        </w:rPr>
        <w:t xml:space="preserve"> </w:t>
      </w:r>
      <w:r w:rsidR="00991CF4" w:rsidRPr="00991CF4">
        <w:rPr>
          <w:sz w:val="24"/>
          <w:vertAlign w:val="superscript"/>
          <w:lang w:val="sk-SK"/>
        </w:rPr>
        <w:tab/>
      </w:r>
      <w:r w:rsidRPr="00991CF4">
        <w:rPr>
          <w:sz w:val="24"/>
          <w:lang w:val="sk-SK"/>
        </w:rPr>
        <w:t>Prijaté texty, P10_TA(2025)0285.</w:t>
      </w:r>
    </w:p>
  </w:footnote>
  <w:footnote w:id="13">
    <w:p w14:paraId="203544CC" w14:textId="6072C472" w:rsidR="008046FC" w:rsidRPr="00991CF4" w:rsidRDefault="008046FC" w:rsidP="00991CF4">
      <w:pPr>
        <w:pStyle w:val="FootnoteText"/>
        <w:ind w:left="567" w:hanging="567"/>
        <w:rPr>
          <w:sz w:val="24"/>
          <w:lang w:val="sk-SK"/>
        </w:rPr>
      </w:pPr>
      <w:r w:rsidRPr="00991CF4">
        <w:rPr>
          <w:sz w:val="24"/>
          <w:vertAlign w:val="superscript"/>
          <w:lang w:val="sk-SK"/>
        </w:rPr>
        <w:t>13</w:t>
      </w:r>
      <w:r w:rsidR="00991CF4" w:rsidRPr="00991CF4">
        <w:rPr>
          <w:sz w:val="24"/>
          <w:vertAlign w:val="superscript"/>
          <w:lang w:val="sk-SK"/>
        </w:rPr>
        <w:t xml:space="preserve"> </w:t>
      </w:r>
      <w:r w:rsidR="00991CF4" w:rsidRPr="00991CF4">
        <w:rPr>
          <w:sz w:val="24"/>
          <w:vertAlign w:val="superscript"/>
          <w:lang w:val="sk-SK"/>
        </w:rPr>
        <w:tab/>
      </w:r>
      <w:r w:rsidRPr="00991CF4">
        <w:rPr>
          <w:sz w:val="24"/>
          <w:lang w:val="sk-SK"/>
        </w:rPr>
        <w:t xml:space="preserve">Spoločná pozícia Rady 2008/944/SZBP z 8. decembra 2008, ktorou sa vymedzujú spoločné pravidlá upravujúce kontrolu vývozu vojenskej technológie a materiálu (Ú. v. EÚ L 335, 13.12.2008, s. 99, ELI: </w:t>
      </w:r>
      <w:r w:rsidR="00E44961">
        <w:fldChar w:fldCharType="begin"/>
      </w:r>
      <w:r w:rsidR="00E44961" w:rsidRPr="00E44961">
        <w:rPr>
          <w:lang w:val="sk-SK"/>
        </w:rPr>
        <w:instrText>HYPERLINK "http://data.europa.eu/eli/compos/2008/944/oj"</w:instrText>
      </w:r>
      <w:r w:rsidR="00E44961">
        <w:fldChar w:fldCharType="separate"/>
      </w:r>
      <w:r w:rsidRPr="00FF5C8B">
        <w:rPr>
          <w:rStyle w:val="Hyperlink"/>
          <w:sz w:val="24"/>
          <w:lang w:val="sk-SK"/>
        </w:rPr>
        <w:t>http://data.europa.eu/eli/compos/2008/944/oj</w:t>
      </w:r>
      <w:r w:rsidR="00E44961">
        <w:rPr>
          <w:rStyle w:val="Hyperlink"/>
          <w:sz w:val="24"/>
          <w:lang w:val="sk-SK"/>
        </w:rPr>
        <w:fldChar w:fldCharType="end"/>
      </w:r>
      <w:r w:rsidRPr="00991CF4">
        <w:rPr>
          <w:sz w:val="24"/>
          <w:lang w:val="sk-SK"/>
        </w:rPr>
        <w:t>).</w:t>
      </w:r>
    </w:p>
  </w:footnote>
  <w:footnote w:id="14">
    <w:p w14:paraId="369D1622" w14:textId="198A5C0E" w:rsidR="008046FC" w:rsidRPr="00991CF4" w:rsidRDefault="008046FC" w:rsidP="00991CF4">
      <w:pPr>
        <w:pStyle w:val="FootnoteText"/>
        <w:ind w:left="567" w:hanging="567"/>
        <w:rPr>
          <w:sz w:val="24"/>
          <w:lang w:val="sk-SK"/>
        </w:rPr>
      </w:pPr>
      <w:r w:rsidRPr="00991CF4">
        <w:rPr>
          <w:sz w:val="24"/>
          <w:vertAlign w:val="superscript"/>
          <w:lang w:val="sk-SK"/>
        </w:rPr>
        <w:t>14</w:t>
      </w:r>
      <w:r w:rsidR="00991CF4" w:rsidRPr="00991CF4">
        <w:rPr>
          <w:sz w:val="24"/>
          <w:vertAlign w:val="superscript"/>
          <w:lang w:val="sk-SK"/>
        </w:rPr>
        <w:t xml:space="preserve"> </w:t>
      </w:r>
      <w:r w:rsidR="00991CF4" w:rsidRPr="00991CF4">
        <w:rPr>
          <w:sz w:val="24"/>
          <w:vertAlign w:val="superscript"/>
          <w:lang w:val="sk-SK"/>
        </w:rPr>
        <w:tab/>
      </w:r>
      <w:r w:rsidRPr="00991CF4">
        <w:rPr>
          <w:sz w:val="24"/>
          <w:lang w:val="sk-SK"/>
        </w:rPr>
        <w:t xml:space="preserve">Smernica Európskeho parlamentu a Rady 2014/24/EÚ z 26. februára 2014 o verejnom obstarávaní a o zrušení smernice 2004/18/ES (Ú. v. EÚ L 94, 28.3.2014, s. 65, ELI: </w:t>
      </w:r>
      <w:r w:rsidR="00E44961">
        <w:fldChar w:fldCharType="begin"/>
      </w:r>
      <w:r w:rsidR="00E44961" w:rsidRPr="00E44961">
        <w:rPr>
          <w:lang w:val="sk-SK"/>
        </w:rPr>
        <w:instrText>HYPERLINK "http://data.europa.eu/eli/dir/2014/24/oj" \t "http://data.europa.eu/eli/dir/2014/24/oj"</w:instrText>
      </w:r>
      <w:r w:rsidR="00E44961">
        <w:fldChar w:fldCharType="separate"/>
      </w:r>
      <w:r w:rsidRPr="00991CF4">
        <w:rPr>
          <w:rStyle w:val="Hyperlink"/>
          <w:sz w:val="24"/>
          <w:lang w:val="sk-SK"/>
        </w:rPr>
        <w:t>http://data.europa.eu/eli/dir/2014/24/oj).</w:t>
      </w:r>
      <w:r w:rsidR="00E44961">
        <w:rPr>
          <w:rStyle w:val="Hyperlink"/>
          <w:sz w:val="24"/>
          <w:lang w:val="sk-SK"/>
        </w:rPr>
        <w:fldChar w:fldCharType="end"/>
      </w:r>
    </w:p>
  </w:footnote>
  <w:footnote w:id="15">
    <w:p w14:paraId="4366EFE4" w14:textId="5AD5B0D5" w:rsidR="008046FC" w:rsidRPr="00991CF4" w:rsidRDefault="008046FC" w:rsidP="00991CF4">
      <w:pPr>
        <w:pStyle w:val="FootnoteText"/>
        <w:ind w:left="567" w:hanging="567"/>
        <w:rPr>
          <w:sz w:val="24"/>
          <w:lang w:val="sk-SK"/>
        </w:rPr>
      </w:pPr>
      <w:r w:rsidRPr="00991CF4">
        <w:rPr>
          <w:sz w:val="24"/>
          <w:vertAlign w:val="superscript"/>
          <w:lang w:val="sk-SK"/>
        </w:rPr>
        <w:t>15</w:t>
      </w:r>
      <w:r w:rsidR="00991CF4" w:rsidRPr="00991CF4">
        <w:rPr>
          <w:sz w:val="24"/>
          <w:vertAlign w:val="superscript"/>
          <w:lang w:val="sk-SK"/>
        </w:rPr>
        <w:t xml:space="preserve"> </w:t>
      </w:r>
      <w:r w:rsidR="00991CF4" w:rsidRPr="00991CF4">
        <w:rPr>
          <w:sz w:val="24"/>
          <w:vertAlign w:val="superscript"/>
          <w:lang w:val="sk-SK"/>
        </w:rPr>
        <w:tab/>
      </w:r>
      <w:r w:rsidRPr="00991CF4">
        <w:rPr>
          <w:sz w:val="24"/>
          <w:lang w:val="sk-SK"/>
        </w:rPr>
        <w:t xml:space="preserve">Smernica Európskeho parlamentu a Rady 2014/66/EÚ z 15. mája 2014 o podmienkach vstupu a pobytu štátnych príslušníkov tretích krajín v rámci vnútropodnikového presunu (Ú. v. EÚ L 157, 27.5.2014, s. 1, ELI: </w:t>
      </w:r>
      <w:r w:rsidR="00E44961">
        <w:fldChar w:fldCharType="begin"/>
      </w:r>
      <w:r w:rsidR="00E44961" w:rsidRPr="00E44961">
        <w:rPr>
          <w:lang w:val="sk-SK"/>
        </w:rPr>
        <w:instrText>HYPERLINK "http://data.europa.eu/eli/dir/2014/66/oj"</w:instrText>
      </w:r>
      <w:r w:rsidR="00E44961">
        <w:fldChar w:fldCharType="separate"/>
      </w:r>
      <w:r w:rsidRPr="00FF5C8B">
        <w:rPr>
          <w:rStyle w:val="Hyperlink"/>
          <w:sz w:val="24"/>
          <w:lang w:val="sk-SK"/>
        </w:rPr>
        <w:t>http://data.europa.eu/eli/dir/2014/66/oj</w:t>
      </w:r>
      <w:r w:rsidR="00E44961">
        <w:rPr>
          <w:rStyle w:val="Hyperlink"/>
          <w:sz w:val="24"/>
          <w:lang w:val="sk-SK"/>
        </w:rPr>
        <w:fldChar w:fldCharType="end"/>
      </w:r>
      <w:r w:rsidRPr="00991CF4">
        <w:rPr>
          <w:sz w:val="24"/>
          <w:lang w:val="sk-SK"/>
        </w:rPr>
        <w:t>).</w:t>
      </w:r>
    </w:p>
  </w:footnote>
  <w:footnote w:id="16">
    <w:p w14:paraId="5F0DD9FD" w14:textId="7527B0B2" w:rsidR="008046FC" w:rsidRPr="00991CF4" w:rsidRDefault="008046FC" w:rsidP="00991CF4">
      <w:pPr>
        <w:pStyle w:val="FootnoteText"/>
        <w:ind w:left="567" w:hanging="567"/>
        <w:rPr>
          <w:sz w:val="24"/>
          <w:lang w:val="sk-SK"/>
        </w:rPr>
      </w:pPr>
      <w:r w:rsidRPr="00991CF4">
        <w:rPr>
          <w:sz w:val="24"/>
          <w:vertAlign w:val="superscript"/>
          <w:lang w:val="sk-SK"/>
        </w:rPr>
        <w:t>16</w:t>
      </w:r>
      <w:r w:rsidR="00991CF4" w:rsidRPr="00991CF4">
        <w:rPr>
          <w:sz w:val="24"/>
          <w:vertAlign w:val="superscript"/>
          <w:lang w:val="sk-SK"/>
        </w:rPr>
        <w:t xml:space="preserve"> </w:t>
      </w:r>
      <w:r w:rsidR="00991CF4" w:rsidRPr="00991CF4">
        <w:rPr>
          <w:sz w:val="24"/>
          <w:vertAlign w:val="superscript"/>
          <w:lang w:val="sk-SK"/>
        </w:rPr>
        <w:tab/>
      </w:r>
      <w:r w:rsidRPr="00991CF4">
        <w:rPr>
          <w:sz w:val="24"/>
          <w:lang w:val="sk-SK"/>
        </w:rPr>
        <w:t xml:space="preserve">Nariadenie Európskeho parlamentu a Rady (EÚ) 2024/1252 z 11. apríla 2024, ktorým sa stanovuje rámec na zaistenie bezpečných a udržateľných dodávok kritických surovín a ktorým sa menia nariadenia (EÚ) č. 168/2013, (EÚ) 2018/858, (EÚ) 2018/1724 a (EÚ) 2019/1020 (Ú. v. EÚ L, 2024/1252, 3.5.2024, ELI: </w:t>
      </w:r>
      <w:r w:rsidR="00E44961">
        <w:fldChar w:fldCharType="begin"/>
      </w:r>
      <w:r w:rsidR="00E44961" w:rsidRPr="00E44961">
        <w:rPr>
          <w:lang w:val="sk-SK"/>
        </w:rPr>
        <w:instrText>HYPERLINK "http://data.europa.eu/eli/reg/2024/1252/oj)." \t "http://data.europa.eu/eli/reg/2024/1252/oj)."</w:instrText>
      </w:r>
      <w:r w:rsidR="00E44961">
        <w:fldChar w:fldCharType="separate"/>
      </w:r>
      <w:r w:rsidRPr="00991CF4">
        <w:rPr>
          <w:rStyle w:val="Hyperlink"/>
          <w:sz w:val="24"/>
          <w:lang w:val="sk-SK"/>
        </w:rPr>
        <w:t>http://data.europa.eu/eli/reg/2024/1252/oj)</w:t>
      </w:r>
      <w:r w:rsidR="00E44961">
        <w:rPr>
          <w:rStyle w:val="Hyperlink"/>
          <w:sz w:val="24"/>
          <w:lang w:val="sk-SK"/>
        </w:rPr>
        <w:fldChar w:fldCharType="end"/>
      </w:r>
      <w:r w:rsidRPr="00991CF4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E86DC" w14:textId="77777777" w:rsidR="00064002" w:rsidRPr="00991CF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BFFD2" w14:textId="77777777" w:rsidR="00064002" w:rsidRPr="00991CF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A14F7" w14:textId="77777777" w:rsidR="00064002" w:rsidRPr="00991CF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80898390">
    <w:abstractNumId w:val="9"/>
  </w:num>
  <w:num w:numId="2" w16cid:durableId="2084837993">
    <w:abstractNumId w:val="9"/>
  </w:num>
  <w:num w:numId="3" w16cid:durableId="462315237">
    <w:abstractNumId w:val="7"/>
  </w:num>
  <w:num w:numId="4" w16cid:durableId="603878796">
    <w:abstractNumId w:val="7"/>
  </w:num>
  <w:num w:numId="5" w16cid:durableId="210310057">
    <w:abstractNumId w:val="6"/>
  </w:num>
  <w:num w:numId="6" w16cid:durableId="10112266">
    <w:abstractNumId w:val="6"/>
  </w:num>
  <w:num w:numId="7" w16cid:durableId="157498072">
    <w:abstractNumId w:val="5"/>
  </w:num>
  <w:num w:numId="8" w16cid:durableId="1276213429">
    <w:abstractNumId w:val="5"/>
  </w:num>
  <w:num w:numId="9" w16cid:durableId="1091118754">
    <w:abstractNumId w:val="4"/>
  </w:num>
  <w:num w:numId="10" w16cid:durableId="1124927957">
    <w:abstractNumId w:val="4"/>
  </w:num>
  <w:num w:numId="11" w16cid:durableId="1449858030">
    <w:abstractNumId w:val="8"/>
  </w:num>
  <w:num w:numId="12" w16cid:durableId="215627147">
    <w:abstractNumId w:val="8"/>
  </w:num>
  <w:num w:numId="13" w16cid:durableId="1214468265">
    <w:abstractNumId w:val="3"/>
  </w:num>
  <w:num w:numId="14" w16cid:durableId="1514568837">
    <w:abstractNumId w:val="3"/>
  </w:num>
  <w:num w:numId="15" w16cid:durableId="949701798">
    <w:abstractNumId w:val="2"/>
  </w:num>
  <w:num w:numId="16" w16cid:durableId="2068264581">
    <w:abstractNumId w:val="2"/>
  </w:num>
  <w:num w:numId="17" w16cid:durableId="402946431">
    <w:abstractNumId w:val="1"/>
  </w:num>
  <w:num w:numId="18" w16cid:durableId="399058074">
    <w:abstractNumId w:val="1"/>
  </w:num>
  <w:num w:numId="19" w16cid:durableId="1782190171">
    <w:abstractNumId w:val="0"/>
  </w:num>
  <w:num w:numId="20" w16cid:durableId="360907948">
    <w:abstractNumId w:val="0"/>
  </w:num>
  <w:num w:numId="21" w16cid:durableId="2031298156">
    <w:abstractNumId w:val="9"/>
  </w:num>
  <w:num w:numId="22" w16cid:durableId="579868686">
    <w:abstractNumId w:val="7"/>
  </w:num>
  <w:num w:numId="23" w16cid:durableId="581960111">
    <w:abstractNumId w:val="6"/>
  </w:num>
  <w:num w:numId="24" w16cid:durableId="213781961">
    <w:abstractNumId w:val="5"/>
  </w:num>
  <w:num w:numId="25" w16cid:durableId="708845927">
    <w:abstractNumId w:val="4"/>
  </w:num>
  <w:num w:numId="26" w16cid:durableId="633874071">
    <w:abstractNumId w:val="8"/>
  </w:num>
  <w:num w:numId="27" w16cid:durableId="233054603">
    <w:abstractNumId w:val="3"/>
  </w:num>
  <w:num w:numId="28" w16cid:durableId="1589267025">
    <w:abstractNumId w:val="2"/>
  </w:num>
  <w:num w:numId="29" w16cid:durableId="1054356772">
    <w:abstractNumId w:val="1"/>
  </w:num>
  <w:num w:numId="30" w16cid:durableId="1304502087">
    <w:abstractNumId w:val="0"/>
  </w:num>
  <w:num w:numId="31" w16cid:durableId="993680016">
    <w:abstractNumId w:val="9"/>
  </w:num>
  <w:num w:numId="32" w16cid:durableId="1951817325">
    <w:abstractNumId w:val="7"/>
  </w:num>
  <w:num w:numId="33" w16cid:durableId="1527713962">
    <w:abstractNumId w:val="6"/>
  </w:num>
  <w:num w:numId="34" w16cid:durableId="448939823">
    <w:abstractNumId w:val="5"/>
  </w:num>
  <w:num w:numId="35" w16cid:durableId="1310592355">
    <w:abstractNumId w:val="4"/>
  </w:num>
  <w:num w:numId="36" w16cid:durableId="808286080">
    <w:abstractNumId w:val="8"/>
  </w:num>
  <w:num w:numId="37" w16cid:durableId="1289242262">
    <w:abstractNumId w:val="3"/>
  </w:num>
  <w:num w:numId="38" w16cid:durableId="179663092">
    <w:abstractNumId w:val="2"/>
  </w:num>
  <w:num w:numId="39" w16cid:durableId="1859736765">
    <w:abstractNumId w:val="1"/>
  </w:num>
  <w:num w:numId="40" w16cid:durableId="1958439727">
    <w:abstractNumId w:val="0"/>
  </w:num>
  <w:num w:numId="41" w16cid:durableId="1349868717">
    <w:abstractNumId w:val="10"/>
  </w:num>
  <w:num w:numId="42" w16cid:durableId="455291352">
    <w:abstractNumId w:val="10"/>
  </w:num>
  <w:num w:numId="43" w16cid:durableId="1009453183">
    <w:abstractNumId w:val="10"/>
  </w:num>
  <w:num w:numId="44" w16cid:durableId="12906978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7/2026"/>
    <w:docVar w:name="dvlangue" w:val="SK"/>
    <w:docVar w:name="dvnumam" w:val="71"/>
    <w:docVar w:name="dvpe" w:val="778.252"/>
    <w:docVar w:name="dvrapporteur" w:val="Spravodajca: "/>
    <w:docVar w:name="dvtitre" w:val="Uznesenie Európskeho parlamentu z/zo xx. xxx 2026 o odstraňovaní prekážok jednotného trhu v oblasti obrany(2025/2143(INI))"/>
  </w:docVars>
  <w:rsids>
    <w:rsidRoot w:val="0070505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6803"/>
    <w:rsid w:val="002B18FE"/>
    <w:rsid w:val="002B5493"/>
    <w:rsid w:val="00343214"/>
    <w:rsid w:val="00361C00"/>
    <w:rsid w:val="00395FA1"/>
    <w:rsid w:val="003A64F0"/>
    <w:rsid w:val="003E15D4"/>
    <w:rsid w:val="00406A23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5417"/>
    <w:rsid w:val="005F1B17"/>
    <w:rsid w:val="006037C0"/>
    <w:rsid w:val="006631B6"/>
    <w:rsid w:val="00680577"/>
    <w:rsid w:val="006C02D5"/>
    <w:rsid w:val="006F74FA"/>
    <w:rsid w:val="00705055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46FC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1CF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18F7"/>
    <w:rsid w:val="00E365E1"/>
    <w:rsid w:val="00E4496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5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E4403D"/>
  <w15:chartTrackingRefBased/>
  <w15:docId w15:val="{E3C128B4-0579-4BDE-B65E-891601459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8046FC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8046FC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8046FC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8046FC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8046FC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8046FC"/>
    <w:rPr>
      <w:color w:val="0000FF"/>
      <w:u w:val="single"/>
    </w:rPr>
  </w:style>
  <w:style w:type="paragraph" w:styleId="Revision">
    <w:name w:val="Revision"/>
    <w:hidden/>
    <w:uiPriority w:val="99"/>
    <w:semiHidden/>
    <w:rsid w:val="00DE18F7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FF5C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17/231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5896</Words>
  <Characters>37782</Characters>
  <Application>Microsoft Office Word</Application>
  <DocSecurity>0</DocSecurity>
  <Lines>2698</Lines>
  <Paragraphs>2426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2026-03-11T12:09:00Z</dcterms:created>
  <dcterms:modified xsi:type="dcterms:W3CDTF">2026-03-11T12:09:00Z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A10-0017/2026</vt:lpwstr>
  </property>
  <property fmtid="{D5CDD505-2E9C-101B-9397-08002B2CF9AE}" pid="4" name="&lt;Type&gt;">
    <vt:lpwstr>RR</vt:lpwstr>
  </property>
</Properties>
</file>