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6427F" w14:paraId="285C78E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4CECE34" w14:textId="77777777" w:rsidR="00751A4A" w:rsidRPr="00E6427F" w:rsidRDefault="003D5D68" w:rsidP="0010095E">
            <w:pPr>
              <w:pStyle w:val="EPName"/>
            </w:pPr>
            <w:r w:rsidRPr="00E6427F">
              <w:t>Evropský parlament</w:t>
            </w:r>
          </w:p>
          <w:p w14:paraId="0CC9410A" w14:textId="77777777" w:rsidR="00751A4A" w:rsidRPr="00E6427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6427F">
              <w:t>2024</w:t>
            </w:r>
            <w:r w:rsidR="00817416" w:rsidRPr="00E6427F">
              <w:t>-202</w:t>
            </w:r>
            <w:r w:rsidRPr="00E6427F">
              <w:t>9</w:t>
            </w:r>
          </w:p>
        </w:tc>
        <w:tc>
          <w:tcPr>
            <w:tcW w:w="2268" w:type="dxa"/>
            <w:shd w:val="clear" w:color="auto" w:fill="auto"/>
          </w:tcPr>
          <w:p w14:paraId="1FD0CD30" w14:textId="77777777" w:rsidR="00751A4A" w:rsidRPr="00E6427F" w:rsidRDefault="00187494" w:rsidP="0010095E">
            <w:pPr>
              <w:pStyle w:val="EPLogo"/>
            </w:pPr>
            <w:r w:rsidRPr="00E6427F">
              <w:rPr>
                <w:noProof/>
                <w:lang w:eastAsia="ja-JP"/>
              </w:rPr>
              <w:drawing>
                <wp:inline distT="0" distB="0" distL="0" distR="0" wp14:anchorId="3CAE58EA" wp14:editId="0795D36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967D1E" w14:textId="77777777" w:rsidR="00D058B8" w:rsidRPr="00E6427F" w:rsidRDefault="00D058B8" w:rsidP="004C5D52">
      <w:pPr>
        <w:pStyle w:val="LineTop"/>
      </w:pPr>
    </w:p>
    <w:p w14:paraId="6E4AF43D" w14:textId="77777777" w:rsidR="00680577" w:rsidRPr="00E6427F" w:rsidRDefault="003D5D68" w:rsidP="00680577">
      <w:pPr>
        <w:pStyle w:val="EPBodyTA1"/>
      </w:pPr>
      <w:r w:rsidRPr="00E6427F">
        <w:t>PŘIJATÉ TEXTY</w:t>
      </w:r>
    </w:p>
    <w:p w14:paraId="4C88AA3E" w14:textId="77777777" w:rsidR="00D058B8" w:rsidRPr="00E6427F" w:rsidRDefault="00D058B8" w:rsidP="00D058B8">
      <w:pPr>
        <w:pStyle w:val="LineBottom"/>
      </w:pPr>
    </w:p>
    <w:p w14:paraId="31F7DD86" w14:textId="4910D499" w:rsidR="003D5D68" w:rsidRPr="009E507D" w:rsidRDefault="003D5D68" w:rsidP="003D5D68">
      <w:pPr>
        <w:pStyle w:val="ATHeading1"/>
      </w:pPr>
      <w:bookmarkStart w:id="0" w:name="TANumber"/>
      <w:r w:rsidRPr="009E507D">
        <w:t>P10_TA(2026)00</w:t>
      </w:r>
      <w:r w:rsidR="00D67583">
        <w:t>8</w:t>
      </w:r>
      <w:r w:rsidRPr="009E507D">
        <w:t>0</w:t>
      </w:r>
      <w:bookmarkEnd w:id="0"/>
    </w:p>
    <w:p w14:paraId="0CFA1EB9" w14:textId="77777777" w:rsidR="003D5D68" w:rsidRPr="009E507D" w:rsidRDefault="003D5D68" w:rsidP="003D5D68">
      <w:pPr>
        <w:pStyle w:val="ATHeading2"/>
      </w:pPr>
      <w:bookmarkStart w:id="1" w:name="title"/>
      <w:r w:rsidRPr="009E507D">
        <w:t>Stěžejní evropské obranné projekty společného zájmu</w:t>
      </w:r>
      <w:bookmarkEnd w:id="1"/>
    </w:p>
    <w:p w14:paraId="727945CB" w14:textId="77777777" w:rsidR="003D5D68" w:rsidRPr="00E6427F" w:rsidRDefault="003D5D68" w:rsidP="003D5D68">
      <w:pPr>
        <w:rPr>
          <w:i/>
          <w:vanish/>
        </w:rPr>
      </w:pPr>
      <w:r w:rsidRPr="00E6427F">
        <w:rPr>
          <w:i/>
        </w:rPr>
        <w:fldChar w:fldCharType="begin"/>
      </w:r>
      <w:r w:rsidRPr="00E6427F">
        <w:rPr>
          <w:i/>
        </w:rPr>
        <w:instrText xml:space="preserve"> TC"(</w:instrText>
      </w:r>
      <w:bookmarkStart w:id="2" w:name="DocNumber"/>
      <w:r w:rsidRPr="00E6427F">
        <w:rPr>
          <w:i/>
        </w:rPr>
        <w:instrText>A10-0014/2026</w:instrText>
      </w:r>
      <w:bookmarkEnd w:id="2"/>
      <w:r w:rsidRPr="00E6427F">
        <w:rPr>
          <w:i/>
        </w:rPr>
        <w:instrText xml:space="preserve"> - Zpravodajka: Lucia Annunziata)"\l3 \n&gt; \* MERGEFORMAT </w:instrText>
      </w:r>
      <w:r w:rsidRPr="00E6427F">
        <w:rPr>
          <w:i/>
        </w:rPr>
        <w:fldChar w:fldCharType="end"/>
      </w:r>
    </w:p>
    <w:p w14:paraId="31776B7E" w14:textId="77777777" w:rsidR="003D5D68" w:rsidRPr="00E6427F" w:rsidRDefault="003D5D68" w:rsidP="003D5D68">
      <w:pPr>
        <w:rPr>
          <w:vanish/>
        </w:rPr>
      </w:pPr>
      <w:bookmarkStart w:id="3" w:name="Commission"/>
      <w:r w:rsidRPr="00E6427F">
        <w:rPr>
          <w:vanish/>
        </w:rPr>
        <w:t>Výbor pro bezpečnost a obranu</w:t>
      </w:r>
      <w:bookmarkEnd w:id="3"/>
    </w:p>
    <w:p w14:paraId="4D63863B" w14:textId="77777777" w:rsidR="003D5D68" w:rsidRPr="00E6427F" w:rsidRDefault="003D5D68" w:rsidP="003D5D68">
      <w:pPr>
        <w:rPr>
          <w:vanish/>
        </w:rPr>
      </w:pPr>
      <w:bookmarkStart w:id="4" w:name="PE"/>
      <w:r w:rsidRPr="00E6427F">
        <w:rPr>
          <w:vanish/>
        </w:rPr>
        <w:t>PE776.841</w:t>
      </w:r>
      <w:bookmarkEnd w:id="4"/>
    </w:p>
    <w:p w14:paraId="7E216DE1" w14:textId="77777777" w:rsidR="003D5D68" w:rsidRPr="009E507D" w:rsidRDefault="003D5D68" w:rsidP="003D5D68">
      <w:pPr>
        <w:pStyle w:val="ATHeading3"/>
      </w:pPr>
      <w:bookmarkStart w:id="5" w:name="Sujet"/>
      <w:r w:rsidRPr="009E507D">
        <w:t>Usnesení Evropského parlamentu ze dne 11. března 2026 o stěžejních evropských obranných projektech společného zájmu</w:t>
      </w:r>
      <w:bookmarkEnd w:id="5"/>
      <w:r w:rsidRPr="009E507D">
        <w:t xml:space="preserve"> </w:t>
      </w:r>
      <w:bookmarkStart w:id="6" w:name="References"/>
      <w:r w:rsidRPr="009E507D">
        <w:t>(2025/2144(INI))</w:t>
      </w:r>
      <w:bookmarkEnd w:id="6"/>
    </w:p>
    <w:p w14:paraId="63C3BB18" w14:textId="77777777" w:rsidR="008A364E" w:rsidRPr="00E6427F" w:rsidRDefault="008A364E" w:rsidP="009E507D">
      <w:pPr>
        <w:pStyle w:val="Normal12"/>
        <w:spacing w:before="480"/>
      </w:pPr>
      <w:r w:rsidRPr="00E6427F">
        <w:rPr>
          <w:i/>
        </w:rPr>
        <w:t>Evropský parlament</w:t>
      </w:r>
      <w:r w:rsidRPr="00E6427F">
        <w:t>,</w:t>
      </w:r>
    </w:p>
    <w:p w14:paraId="66ED6F45" w14:textId="16CC4A71" w:rsidR="008A364E" w:rsidRPr="00A151A1" w:rsidRDefault="008A364E" w:rsidP="00A151A1">
      <w:pPr>
        <w:pStyle w:val="NormalHanging"/>
      </w:pPr>
      <w:r w:rsidRPr="00E6427F">
        <w:t>–</w:t>
      </w:r>
      <w:r w:rsidRPr="00E6427F">
        <w:tab/>
        <w:t>s ohledem n</w:t>
      </w:r>
      <w:r w:rsidRPr="00A151A1">
        <w:t>a Smlouvu o Evropské unii (</w:t>
      </w:r>
      <w:r w:rsidR="006902AC">
        <w:t>dále jen „</w:t>
      </w:r>
      <w:r w:rsidRPr="00A151A1">
        <w:t>Smlouva o EU</w:t>
      </w:r>
      <w:r w:rsidR="006902AC">
        <w:t>“</w:t>
      </w:r>
      <w:r w:rsidRPr="00A151A1">
        <w:t>), a zejména na čl. 42 odst. 2 a 3 této Smlouvy,</w:t>
      </w:r>
    </w:p>
    <w:p w14:paraId="3DD284F4" w14:textId="44E208AE" w:rsidR="008A364E" w:rsidRPr="00A151A1" w:rsidRDefault="008A364E" w:rsidP="00A151A1">
      <w:pPr>
        <w:pStyle w:val="NormalHanging"/>
      </w:pPr>
      <w:r w:rsidRPr="00A151A1">
        <w:t>–</w:t>
      </w:r>
      <w:r w:rsidRPr="00A151A1">
        <w:tab/>
        <w:t>s ohledem na Smlouvu o fungování Evropské unie (</w:t>
      </w:r>
      <w:r w:rsidR="006902AC">
        <w:t>dále jen „</w:t>
      </w:r>
      <w:r w:rsidRPr="00A151A1">
        <w:t>Smlouva o fungování EU</w:t>
      </w:r>
      <w:r w:rsidR="006902AC">
        <w:t>“</w:t>
      </w:r>
      <w:r w:rsidRPr="00A151A1">
        <w:t>), a zejména na článek 2, čl. 107 odst. 3 písm. b) a články 114 a 346 této Smlouvy,</w:t>
      </w:r>
    </w:p>
    <w:p w14:paraId="50436B24" w14:textId="77777777" w:rsidR="008A364E" w:rsidRPr="00A151A1" w:rsidRDefault="008A364E" w:rsidP="00A151A1">
      <w:pPr>
        <w:pStyle w:val="NormalHanging"/>
      </w:pPr>
      <w:r w:rsidRPr="00A151A1">
        <w:t>–</w:t>
      </w:r>
      <w:r w:rsidRPr="00A151A1">
        <w:tab/>
        <w:t>s ohledem na čl. 2 písm. e) Protokolu č. 10 o stálé strukturované spolupráci (PESCO) stanovené v čl. 42 odst. 6 Smlouvy o EU a na společné oznámení o stálé strukturované spolupráci podepsané ministry 23 členských států EU dne 13. listopadu 2017,</w:t>
      </w:r>
    </w:p>
    <w:p w14:paraId="45723080" w14:textId="77777777" w:rsidR="008A364E" w:rsidRPr="00A151A1" w:rsidRDefault="008A364E" w:rsidP="00A151A1">
      <w:pPr>
        <w:pStyle w:val="NormalHanging"/>
      </w:pPr>
      <w:r w:rsidRPr="00A151A1">
        <w:t>–</w:t>
      </w:r>
      <w:r w:rsidRPr="00A151A1">
        <w:tab/>
        <w:t>s ohledem na Versailleské prohlášení přijaté na neformálním zasedání hlav států nebo předsedů vlád dne 11. března 2022, a zejména jeho bod 22,</w:t>
      </w:r>
    </w:p>
    <w:p w14:paraId="48BB71F8" w14:textId="77777777" w:rsidR="008A364E" w:rsidRPr="00A151A1" w:rsidRDefault="008A364E" w:rsidP="00A151A1">
      <w:pPr>
        <w:pStyle w:val="NormalHanging"/>
      </w:pPr>
      <w:r w:rsidRPr="00A151A1">
        <w:t>–</w:t>
      </w:r>
      <w:r w:rsidRPr="00A151A1">
        <w:tab/>
        <w:t>s ohledem na „Strategický kompas pro bezpečnost a obranu – Za Evropskou unii, která chrání své občany, hodnoty a zájmy a přispívá k mezinárodnímu míru a bezpečnosti“, který schválila Rada dne 21. března 2022 a potvrdila Evropská rada dne 25. března 2022,</w:t>
      </w:r>
    </w:p>
    <w:p w14:paraId="5A101E45" w14:textId="77777777" w:rsidR="008A364E" w:rsidRPr="00A151A1" w:rsidRDefault="008A364E" w:rsidP="00A151A1">
      <w:pPr>
        <w:pStyle w:val="NormalHanging"/>
      </w:pPr>
      <w:r w:rsidRPr="00A151A1">
        <w:t>–</w:t>
      </w:r>
      <w:r w:rsidRPr="00A151A1">
        <w:tab/>
        <w:t>s ohledem na společné sdělení Komise a vysokého představitele Unie pro zahraniční věci a bezpečnostní politiku ze dne 18. května 2022 o analýze nedostatků v oblasti investic do obrany a dalším postupu (JOIN(2022)0024),</w:t>
      </w:r>
    </w:p>
    <w:p w14:paraId="37661B7A" w14:textId="38081D10" w:rsidR="008A364E" w:rsidRPr="00A151A1" w:rsidRDefault="008A364E" w:rsidP="009E507D">
      <w:pPr>
        <w:pStyle w:val="NormalHanging"/>
      </w:pPr>
      <w:r w:rsidRPr="00A151A1">
        <w:t>–</w:t>
      </w:r>
      <w:r w:rsidRPr="00A151A1">
        <w:tab/>
        <w:t>s ohledem na společné sdělení Komise a vysokého představitele Unie pro zahraniční věci a bezpečnostní politiku ze dne 10. března 2023 nazvané „Kosmická strategie EU pro bezpečnost a obranu“ (JOIN(2023)0009),</w:t>
      </w:r>
    </w:p>
    <w:p w14:paraId="19C50C5D" w14:textId="77777777" w:rsidR="008A364E" w:rsidRPr="00A151A1" w:rsidRDefault="008A364E" w:rsidP="00A151A1">
      <w:pPr>
        <w:pStyle w:val="NormalHanging"/>
      </w:pPr>
      <w:r w:rsidRPr="00A151A1">
        <w:t>–</w:t>
      </w:r>
      <w:r w:rsidRPr="00A151A1">
        <w:tab/>
        <w:t>s ohledem na společné sdělení Komise a vysokého představitele Unie pro zahraniční věci a bezpečnostní politiku ze dne 5. března 2024 nazvané „Nová strategie pro evropský obranný průmysl: dosahování připravenosti EU prostřednictvím pohotového a odolného evropského obranného průmyslu“ (JOIN(2024)0010),</w:t>
      </w:r>
    </w:p>
    <w:p w14:paraId="37780A80" w14:textId="77777777" w:rsidR="008A364E" w:rsidRPr="00A151A1" w:rsidRDefault="008A364E" w:rsidP="00A151A1">
      <w:pPr>
        <w:pStyle w:val="NormalHanging"/>
      </w:pPr>
      <w:r w:rsidRPr="00A151A1">
        <w:lastRenderedPageBreak/>
        <w:t>–</w:t>
      </w:r>
      <w:r w:rsidRPr="00A151A1">
        <w:tab/>
        <w:t>s ohledem na společné sdělení Komise a vysoké představitelky Unie pro zahraniční věci a bezpečnostní politiku ze dne 21. února 2025 s názvem „Akční plán EU o bezpečnosti kabelů“ (JOIN(2025)0009),</w:t>
      </w:r>
    </w:p>
    <w:p w14:paraId="1337AB9E" w14:textId="77777777" w:rsidR="008A364E" w:rsidRPr="00A151A1" w:rsidRDefault="008A364E" w:rsidP="00A151A1">
      <w:pPr>
        <w:pStyle w:val="NormalHanging"/>
      </w:pPr>
      <w:r w:rsidRPr="00A151A1">
        <w:t>–</w:t>
      </w:r>
      <w:r w:rsidRPr="00A151A1">
        <w:tab/>
        <w:t>s ohledem na společnou bílou knihu Komise a vysoké představitelky Unie pro zahraniční věci a bezpečnostní politiku ze dne 19. března 2025 nazvané „Společná bílá kniha o budoucnosti evropské obrany“ (JOIN(2025)0120),</w:t>
      </w:r>
    </w:p>
    <w:p w14:paraId="59BF7B14" w14:textId="6059F7D5" w:rsidR="008A364E" w:rsidRPr="00A151A1" w:rsidRDefault="008A364E" w:rsidP="00A151A1">
      <w:pPr>
        <w:pStyle w:val="NormalHanging"/>
      </w:pPr>
      <w:r w:rsidRPr="00A151A1">
        <w:t>–</w:t>
      </w:r>
      <w:r w:rsidRPr="00A151A1">
        <w:tab/>
        <w:t>s ohledem na nařízení Evropského parlamentu a Rady (EU) 2021/697 ze dne 29. dubna 2021, kterým se zřizuje Evropský obranný fond (EDF)</w:t>
      </w:r>
      <w:r w:rsidR="006902AC">
        <w:rPr>
          <w:rStyle w:val="FootnoteReference"/>
        </w:rPr>
        <w:footnoteReference w:id="1"/>
      </w:r>
      <w:r w:rsidRPr="00A151A1">
        <w:t>,</w:t>
      </w:r>
    </w:p>
    <w:p w14:paraId="21E18E53" w14:textId="768584A3" w:rsidR="008A364E" w:rsidRPr="00A151A1" w:rsidRDefault="008A364E" w:rsidP="00A151A1">
      <w:pPr>
        <w:pStyle w:val="NormalHanging"/>
      </w:pPr>
      <w:r w:rsidRPr="00A151A1">
        <w:t>–</w:t>
      </w:r>
      <w:r w:rsidRPr="00A151A1">
        <w:tab/>
        <w:t>s ohledem na nařízení Evropského parlamentu a Rady (EU) 2025/2643 ze dne 16. prosince 2025, kterým se zřizuje Program pro evropský obranný průmysl a rámec opatření pro zajištění včasné dostupnosti a dodávek obranných produktů</w:t>
      </w:r>
      <w:r w:rsidRPr="00A151A1">
        <w:rPr>
          <w:rStyle w:val="FootnoteReference"/>
        </w:rPr>
        <w:footnoteReference w:id="2"/>
      </w:r>
      <w:r w:rsidRPr="00A151A1">
        <w:t xml:space="preserve"> („nařízení o EDIP“), a zejména jeho kapitolu IV o evropských obranných projektech společného zájmu (projekty EDPCI), </w:t>
      </w:r>
    </w:p>
    <w:p w14:paraId="651DDABF" w14:textId="77777777" w:rsidR="008A364E" w:rsidRPr="00A151A1" w:rsidRDefault="008A364E" w:rsidP="00A151A1">
      <w:pPr>
        <w:pStyle w:val="NormalHanging"/>
      </w:pPr>
      <w:r w:rsidRPr="00A151A1">
        <w:t>–</w:t>
      </w:r>
      <w:r w:rsidRPr="00A151A1">
        <w:tab/>
        <w:t>s ohledem na návrh nařízení Rady, kterým se zřizuje nástroj Bezpečnostní akce pro Evropu (SAFE) prostřednictvím posílení evropského obranného průmyslu (COM(2025)0122), jejž předložila Komise dne 19. března 2025,</w:t>
      </w:r>
    </w:p>
    <w:p w14:paraId="455DAE00" w14:textId="77777777" w:rsidR="008A364E" w:rsidRPr="00A151A1" w:rsidRDefault="008A364E" w:rsidP="00A151A1">
      <w:pPr>
        <w:pStyle w:val="NormalHanging"/>
      </w:pPr>
      <w:r w:rsidRPr="00A151A1">
        <w:t>–</w:t>
      </w:r>
      <w:r w:rsidRPr="00A151A1">
        <w:tab/>
        <w:t xml:space="preserve">s ohledem na návrh nařízení Evropského parlamentu a Rady, kterým se mění nařízení (EU) 2021/694, (EU) 2021/695, (EU) 2021/697, (EU) 2021/1153, (EU) 2023/1525 a (EU) 2024/795, pokud jde o pobídky k investicím souvisejícím s obranou v rozpočtu EU za účelem provádění plánu </w:t>
      </w:r>
      <w:proofErr w:type="spellStart"/>
      <w:r w:rsidRPr="00A151A1">
        <w:t>ReArm</w:t>
      </w:r>
      <w:proofErr w:type="spellEnd"/>
      <w:r w:rsidRPr="00A151A1">
        <w:t xml:space="preserve"> </w:t>
      </w:r>
      <w:proofErr w:type="spellStart"/>
      <w:r w:rsidRPr="00A151A1">
        <w:t>Europe</w:t>
      </w:r>
      <w:proofErr w:type="spellEnd"/>
      <w:r w:rsidRPr="00A151A1">
        <w:t>, jejž předložila Komise dne 22. dubna 2025 (COM(2025)0188),</w:t>
      </w:r>
    </w:p>
    <w:p w14:paraId="35E8FCF5" w14:textId="77777777" w:rsidR="008A364E" w:rsidRPr="00A151A1" w:rsidRDefault="008A364E" w:rsidP="00A151A1">
      <w:pPr>
        <w:pStyle w:val="NormalHanging"/>
      </w:pPr>
      <w:r w:rsidRPr="00A151A1">
        <w:t>–</w:t>
      </w:r>
      <w:r w:rsidRPr="00A151A1">
        <w:tab/>
        <w:t>s ohledem na nařízení Rady (EU) 2025/1106 ze dne 27. května 2025, kterým se zřizuje nástroj Bezpečnostní akce pro Evropu (SAFE) prostřednictvím posílení evropského obranného průmyslu</w:t>
      </w:r>
      <w:r w:rsidRPr="00A151A1">
        <w:rPr>
          <w:rStyle w:val="FootnoteReference"/>
        </w:rPr>
        <w:footnoteReference w:id="3"/>
      </w:r>
      <w:r w:rsidRPr="00A151A1">
        <w:t>,</w:t>
      </w:r>
    </w:p>
    <w:p w14:paraId="463D1D5E" w14:textId="77777777" w:rsidR="008A364E" w:rsidRPr="00A151A1" w:rsidRDefault="008A364E" w:rsidP="00A151A1">
      <w:pPr>
        <w:pStyle w:val="NormalHanging"/>
      </w:pPr>
      <w:r w:rsidRPr="00A151A1">
        <w:t>–</w:t>
      </w:r>
      <w:r w:rsidRPr="00A151A1">
        <w:tab/>
        <w:t>s ohledem na společné sdělení Komise a vysoké představitelky Unie pro zahraniční věci a bezpečnostní politiku ze dne 16. října 2025 s názvem „Zachování míru – Plán obranné připravenosti 2030“ (JOIN(2025)0027),</w:t>
      </w:r>
    </w:p>
    <w:p w14:paraId="319C7B3D" w14:textId="77777777" w:rsidR="008A364E" w:rsidRPr="00A151A1" w:rsidRDefault="008A364E" w:rsidP="00A151A1">
      <w:pPr>
        <w:pStyle w:val="NormalHanging"/>
      </w:pPr>
      <w:r w:rsidRPr="00A151A1">
        <w:t>–</w:t>
      </w:r>
      <w:r w:rsidRPr="00A151A1">
        <w:tab/>
        <w:t>s ohledem na společný postoj Rady 2008/944/SZBP ze dne 8. prosince 2008, kterým se stanovují společná pravidla pro kontrolu vývozu vojenských technologií a vojenského materiálu</w:t>
      </w:r>
      <w:r w:rsidRPr="00A151A1">
        <w:rPr>
          <w:rStyle w:val="FootnoteReference"/>
        </w:rPr>
        <w:footnoteReference w:id="4"/>
      </w:r>
      <w:r w:rsidRPr="00A151A1">
        <w:t>,</w:t>
      </w:r>
    </w:p>
    <w:p w14:paraId="5B308FB3" w14:textId="77777777" w:rsidR="008A364E" w:rsidRPr="00A151A1" w:rsidRDefault="008A364E" w:rsidP="00A151A1">
      <w:pPr>
        <w:pStyle w:val="NormalHanging"/>
      </w:pPr>
      <w:r w:rsidRPr="00A151A1">
        <w:t>–</w:t>
      </w:r>
      <w:r w:rsidRPr="00A151A1">
        <w:tab/>
        <w:t>s ohledem na rámcový dokument Komise ze dne 29. září 2025 nazvaný „Plán obranné připravenosti 2030“,</w:t>
      </w:r>
    </w:p>
    <w:p w14:paraId="7105BD3C" w14:textId="77777777" w:rsidR="008A364E" w:rsidRPr="00A151A1" w:rsidRDefault="008A364E" w:rsidP="00A151A1">
      <w:pPr>
        <w:pStyle w:val="NormalHanging"/>
      </w:pPr>
      <w:r w:rsidRPr="00A151A1">
        <w:t>–</w:t>
      </w:r>
      <w:r w:rsidRPr="00A151A1">
        <w:tab/>
        <w:t>s ohledem na zprávu místopředsedkyně Komise, vysoké představitelky Unie pro zahraniční věci a bezpečnostní politiku Radě ze dne 11. dubna 2025 nazvanou „Výroční zpráva o pokroku při provádění Strategického kompasu pro bezpečnost a obranu“,</w:t>
      </w:r>
    </w:p>
    <w:p w14:paraId="0439A6A1" w14:textId="77777777" w:rsidR="008A364E" w:rsidRPr="00A151A1" w:rsidRDefault="008A364E" w:rsidP="00A151A1">
      <w:pPr>
        <w:pStyle w:val="NormalHanging"/>
      </w:pPr>
      <w:r w:rsidRPr="00A151A1">
        <w:lastRenderedPageBreak/>
        <w:t>–</w:t>
      </w:r>
      <w:r w:rsidRPr="00A151A1">
        <w:tab/>
        <w:t>s ohledem na závěry Evropské rady ze dnů 22. a 23. června 2017, zejména na jejich bod 8 o stálé strukturované spolupráci, a na závěry ze dne 6. března 2025, zejména na jejich bod 3 písm. f),</w:t>
      </w:r>
    </w:p>
    <w:p w14:paraId="32BA1D78" w14:textId="77777777" w:rsidR="008A364E" w:rsidRPr="00A151A1" w:rsidRDefault="008A364E" w:rsidP="009E507D">
      <w:pPr>
        <w:pStyle w:val="NormalHanging"/>
      </w:pPr>
      <w:r w:rsidRPr="00A151A1">
        <w:t>–</w:t>
      </w:r>
      <w:r w:rsidRPr="00A151A1">
        <w:tab/>
        <w:t>s ohledem na závěry Evropské rady ze dne 23. října 2025,</w:t>
      </w:r>
    </w:p>
    <w:p w14:paraId="29095A2A" w14:textId="77777777" w:rsidR="008A364E" w:rsidRPr="00A151A1" w:rsidRDefault="008A364E" w:rsidP="00A151A1">
      <w:pPr>
        <w:pStyle w:val="NormalHanging"/>
      </w:pPr>
      <w:r w:rsidRPr="00A151A1">
        <w:t>–</w:t>
      </w:r>
      <w:r w:rsidRPr="00A151A1">
        <w:tab/>
        <w:t xml:space="preserve">s ohledem na strategii členských států EU v oblasti národní bezpečnosti, </w:t>
      </w:r>
    </w:p>
    <w:p w14:paraId="66D4C15E" w14:textId="2B2CB2E6" w:rsidR="008A364E" w:rsidRPr="00A151A1" w:rsidRDefault="008A364E" w:rsidP="00A151A1">
      <w:pPr>
        <w:pStyle w:val="NormalHanging"/>
      </w:pPr>
      <w:r w:rsidRPr="00A151A1">
        <w:t>–</w:t>
      </w:r>
      <w:r w:rsidRPr="00A151A1">
        <w:tab/>
      </w:r>
      <w:bookmarkStart w:id="7" w:name="_Hlk220570567"/>
      <w:r w:rsidRPr="00A151A1">
        <w:t>s ohledem na stanovisko Evropského účetního dvora 02/2024 ze dne 3. října 2024 týkající se návrhu nařízení Evropského parlamentu a Rady, kterým se zřizuje Program pro evropský obranný průmysl</w:t>
      </w:r>
      <w:bookmarkEnd w:id="7"/>
      <w:r w:rsidR="00A151A1">
        <w:t xml:space="preserve"> </w:t>
      </w:r>
      <w:r w:rsidRPr="00A151A1">
        <w:t>a rámec opatření pro zajištění včasné dostupnosti a dodávek obranných produktů (EDIP), a zejména bod 42 tohoto stanoviska,</w:t>
      </w:r>
    </w:p>
    <w:p w14:paraId="0B0B1143" w14:textId="77777777" w:rsidR="008A364E" w:rsidRPr="00A151A1" w:rsidRDefault="008A364E" w:rsidP="00A151A1">
      <w:pPr>
        <w:pStyle w:val="NormalHanging"/>
      </w:pPr>
      <w:r w:rsidRPr="00A151A1">
        <w:t>–</w:t>
      </w:r>
      <w:r w:rsidRPr="00A151A1">
        <w:tab/>
        <w:t>s ohledem na výroční zprávu Evropské obranné agentury (EDA) za rok 2024, na její zprávu ze dne 14. listopadu 2023 nazvanou „Priority rozvoje schopností EU na rok 2023“ a na zprávu z roku 2024 nazvanou „Koordinovaný každoroční přezkum v oblasti obrany“,</w:t>
      </w:r>
    </w:p>
    <w:p w14:paraId="42A1F036" w14:textId="77777777" w:rsidR="008A364E" w:rsidRPr="00A151A1" w:rsidRDefault="008A364E" w:rsidP="00A151A1">
      <w:pPr>
        <w:pStyle w:val="NormalHanging"/>
      </w:pPr>
      <w:r w:rsidRPr="00A151A1">
        <w:t>–</w:t>
      </w:r>
      <w:r w:rsidRPr="00A151A1">
        <w:tab/>
        <w:t>s ohledem na zprávu o pokroku sekretariátu PESCO ze září 2025 o projektech PESCO,</w:t>
      </w:r>
    </w:p>
    <w:p w14:paraId="59891C49" w14:textId="77777777" w:rsidR="008A364E" w:rsidRPr="00A151A1" w:rsidRDefault="008A364E" w:rsidP="00A151A1">
      <w:pPr>
        <w:pStyle w:val="NormalHanging"/>
      </w:pPr>
      <w:r w:rsidRPr="00A151A1">
        <w:t>–</w:t>
      </w:r>
      <w:r w:rsidRPr="00A151A1">
        <w:tab/>
        <w:t xml:space="preserve">s ohledem na zprávu Maria </w:t>
      </w:r>
      <w:proofErr w:type="spellStart"/>
      <w:r w:rsidRPr="00A151A1">
        <w:t>Draghiho</w:t>
      </w:r>
      <w:proofErr w:type="spellEnd"/>
      <w:r w:rsidRPr="00A151A1">
        <w:t xml:space="preserve"> ze dne 9. září 2024 o budoucnosti evropské konkurenceschopnosti a na její kapitolu 4 pojednávající o zvýšení bezpečnosti a snížení závislostí,</w:t>
      </w:r>
    </w:p>
    <w:p w14:paraId="7C0F0019" w14:textId="77777777" w:rsidR="008A364E" w:rsidRPr="00A151A1" w:rsidRDefault="008A364E" w:rsidP="00A151A1">
      <w:pPr>
        <w:pStyle w:val="NormalHanging"/>
      </w:pPr>
      <w:r w:rsidRPr="00A151A1">
        <w:t>–</w:t>
      </w:r>
      <w:r w:rsidRPr="00A151A1">
        <w:tab/>
        <w:t xml:space="preserve">s ohledem na zprávu Enrica </w:t>
      </w:r>
      <w:proofErr w:type="spellStart"/>
      <w:r w:rsidRPr="00A151A1">
        <w:t>Letty</w:t>
      </w:r>
      <w:proofErr w:type="spellEnd"/>
      <w:r w:rsidRPr="00A151A1">
        <w:t xml:space="preserve"> ze dne 17. dubna 2024 nazvanou „Mnohem více než jen trh“, a zejména na její kapitolu 3 nazvanou „Jednotný trh jako velký hráč: na velikosti záleží“,</w:t>
      </w:r>
    </w:p>
    <w:p w14:paraId="6683A848" w14:textId="77777777" w:rsidR="008A364E" w:rsidRPr="00A151A1" w:rsidRDefault="008A364E" w:rsidP="00A151A1">
      <w:pPr>
        <w:pStyle w:val="NormalHanging"/>
      </w:pPr>
      <w:r w:rsidRPr="00A151A1">
        <w:t>–</w:t>
      </w:r>
      <w:r w:rsidRPr="00A151A1">
        <w:tab/>
        <w:t xml:space="preserve">s ohledem na zprávu </w:t>
      </w:r>
      <w:proofErr w:type="spellStart"/>
      <w:r w:rsidRPr="00A151A1">
        <w:t>Sauliho</w:t>
      </w:r>
      <w:proofErr w:type="spellEnd"/>
      <w:r w:rsidRPr="00A151A1">
        <w:t xml:space="preserve"> </w:t>
      </w:r>
      <w:proofErr w:type="spellStart"/>
      <w:r w:rsidRPr="00A151A1">
        <w:t>Niinistöa</w:t>
      </w:r>
      <w:proofErr w:type="spellEnd"/>
      <w:r w:rsidRPr="00A151A1">
        <w:t xml:space="preserve"> ze dne 30. října 2024 nazvanou „Společně bezpečnější: posílení evropské civilní a vojenské připravenosti a pohotovosti“, a zejména její kapitolu 7,</w:t>
      </w:r>
    </w:p>
    <w:p w14:paraId="63DBACE4" w14:textId="77777777" w:rsidR="008A364E" w:rsidRPr="00A151A1" w:rsidRDefault="008A364E" w:rsidP="00A151A1">
      <w:pPr>
        <w:pStyle w:val="NormalHanging"/>
      </w:pPr>
      <w:r w:rsidRPr="00A151A1">
        <w:t>–</w:t>
      </w:r>
      <w:r w:rsidRPr="00A151A1">
        <w:tab/>
        <w:t>s ohledem na společné prohlášení o spolupráci EU a NATO z 10. ledna 2023,</w:t>
      </w:r>
    </w:p>
    <w:p w14:paraId="7D84A5C1" w14:textId="77777777" w:rsidR="008A364E" w:rsidRPr="00A151A1" w:rsidRDefault="008A364E" w:rsidP="00A151A1">
      <w:pPr>
        <w:pStyle w:val="NormalHanging"/>
      </w:pPr>
      <w:r w:rsidRPr="00A151A1">
        <w:t>–</w:t>
      </w:r>
      <w:r w:rsidRPr="00A151A1">
        <w:tab/>
        <w:t>s ohledem na prohlášení ze summitu v Haagu, které vydaly hlavy států a předsedové vlád členských zemí NATO účastnící se zasedání Severoatlantické rady v Haagu dne 25. června 2025,</w:t>
      </w:r>
    </w:p>
    <w:p w14:paraId="64D7D1C6" w14:textId="77777777" w:rsidR="008A364E" w:rsidRPr="00A151A1" w:rsidRDefault="008A364E" w:rsidP="00A151A1">
      <w:pPr>
        <w:pStyle w:val="NormalHanging"/>
      </w:pPr>
      <w:r w:rsidRPr="00A151A1">
        <w:t>–</w:t>
      </w:r>
      <w:r w:rsidRPr="00A151A1">
        <w:tab/>
        <w:t>s ohledem na 10. zprávu o pokroku ze dne 10. června 2025, která se týkala provádění společného souboru návrhů, jež byly schváleny Radou EU a Severoatlantickou radou dne 6. prosince 2016 a dne 5. prosince 2017,</w:t>
      </w:r>
    </w:p>
    <w:p w14:paraId="46979217" w14:textId="77777777" w:rsidR="008A364E" w:rsidRPr="00A151A1" w:rsidRDefault="008A364E" w:rsidP="00A151A1">
      <w:pPr>
        <w:pStyle w:val="NormalHanging"/>
      </w:pPr>
      <w:r w:rsidRPr="00A151A1">
        <w:t>–</w:t>
      </w:r>
      <w:r w:rsidRPr="00A151A1">
        <w:tab/>
        <w:t>s ohledem na programy spolupráce v oblasti vybavení řízené Organizací pro vzájemnou spolupráci v oblasti vyzbrojování (OCCAR),</w:t>
      </w:r>
    </w:p>
    <w:p w14:paraId="3FCC4B2E" w14:textId="77777777" w:rsidR="008A364E" w:rsidRPr="00A151A1" w:rsidRDefault="008A364E" w:rsidP="00A151A1">
      <w:pPr>
        <w:pStyle w:val="NormalHanging"/>
      </w:pPr>
      <w:r w:rsidRPr="00A151A1">
        <w:t>–</w:t>
      </w:r>
      <w:r w:rsidRPr="00A151A1">
        <w:tab/>
        <w:t>s ohledem na své usnesení ze dne 12. března 2025 o bílé knize o budoucnosti evropské obrany</w:t>
      </w:r>
      <w:r w:rsidRPr="00A151A1">
        <w:rPr>
          <w:rStyle w:val="FootnoteReference"/>
        </w:rPr>
        <w:footnoteReference w:id="5"/>
      </w:r>
      <w:r w:rsidRPr="00A151A1">
        <w:t>, a zejména jeho body 4 a 58,</w:t>
      </w:r>
    </w:p>
    <w:p w14:paraId="1B6D00D9" w14:textId="77777777" w:rsidR="008A364E" w:rsidRPr="00A151A1" w:rsidRDefault="008A364E" w:rsidP="00A151A1">
      <w:pPr>
        <w:pStyle w:val="NormalHanging"/>
      </w:pPr>
      <w:r w:rsidRPr="00A151A1">
        <w:lastRenderedPageBreak/>
        <w:t>–</w:t>
      </w:r>
      <w:r w:rsidRPr="00A151A1">
        <w:tab/>
        <w:t>s ohledem na své usnesení ze dne 2. dubna 2025 o provádění společné zahraniční a bezpečnostní politiky – výroční zpráva za rok 2024</w:t>
      </w:r>
      <w:r w:rsidRPr="00A151A1">
        <w:rPr>
          <w:rStyle w:val="FootnoteReference"/>
        </w:rPr>
        <w:footnoteReference w:id="6"/>
      </w:r>
      <w:r w:rsidRPr="00A151A1">
        <w:t>, a zejména jeho bod 46,</w:t>
      </w:r>
    </w:p>
    <w:p w14:paraId="3FC65634" w14:textId="77777777" w:rsidR="008A364E" w:rsidRPr="00A151A1" w:rsidRDefault="008A364E" w:rsidP="00A151A1">
      <w:pPr>
        <w:pStyle w:val="NormalHanging"/>
      </w:pPr>
      <w:r w:rsidRPr="00A151A1">
        <w:t>–</w:t>
      </w:r>
      <w:r w:rsidRPr="00A151A1">
        <w:tab/>
        <w:t>s ohledem na článek 55 jednacího řádu,</w:t>
      </w:r>
    </w:p>
    <w:p w14:paraId="36E5ECC5" w14:textId="77777777" w:rsidR="008A364E" w:rsidRPr="00A151A1" w:rsidRDefault="008A364E" w:rsidP="00A151A1">
      <w:pPr>
        <w:pStyle w:val="NormalHanging"/>
      </w:pPr>
      <w:r w:rsidRPr="00A151A1">
        <w:t>–</w:t>
      </w:r>
      <w:r w:rsidRPr="00A151A1">
        <w:tab/>
        <w:t>s ohledem na stanovisko Výboru pro vnitřní trh a ochranu spotřebitelů,</w:t>
      </w:r>
    </w:p>
    <w:p w14:paraId="2DB92047" w14:textId="77777777" w:rsidR="008A364E" w:rsidRPr="00A151A1" w:rsidRDefault="008A364E" w:rsidP="00A151A1">
      <w:pPr>
        <w:pStyle w:val="NormalHanging"/>
      </w:pPr>
      <w:r w:rsidRPr="00A151A1">
        <w:t>–</w:t>
      </w:r>
      <w:r w:rsidRPr="00A151A1">
        <w:tab/>
        <w:t>s ohledem na zprávu Výboru pro bezpečnost a obranu (A10-0014/2026),</w:t>
      </w:r>
    </w:p>
    <w:p w14:paraId="32180E0C" w14:textId="77777777" w:rsidR="008A364E" w:rsidRPr="00A151A1" w:rsidRDefault="008A364E" w:rsidP="00A151A1">
      <w:pPr>
        <w:pStyle w:val="NormalHanging"/>
      </w:pPr>
      <w:r w:rsidRPr="00A151A1">
        <w:t>A.</w:t>
      </w:r>
      <w:r w:rsidRPr="00A151A1">
        <w:tab/>
        <w:t>vzhledem k tomu, že výzvy, které představuje zhoršení situace v oblasti míru a bezpečnosti na celém světe, útočná válka vedená Ruskem proti Ukrajině a vznik nových a vyvíjejících se hrozeb pro bezpečnost EU, vyžadují, aby EU a její členské státy výrazně zvýšily své investice do obrany s cílem vybudovat vojenské a zpravodajské kapacity, jež jim umožní bránit svou svrchovanost, nezávislost a územní celistvost, a navýšit odstrašující kapacitu a také jednat a reagovat na bezprostřední a budoucí hrozby, a to samostatně nebo ve spolupráci se spojenci, zejména v rámci NATO;</w:t>
      </w:r>
    </w:p>
    <w:p w14:paraId="5FDFBC6C" w14:textId="77777777" w:rsidR="008A364E" w:rsidRPr="00A151A1" w:rsidRDefault="008A364E" w:rsidP="00A151A1">
      <w:pPr>
        <w:pStyle w:val="NormalHanging"/>
      </w:pPr>
      <w:r w:rsidRPr="00A151A1">
        <w:t>B.</w:t>
      </w:r>
      <w:r w:rsidRPr="00A151A1">
        <w:tab/>
        <w:t>vzhledem k tomu, že rostoucí útoky na evropskou kritickou infrastrukturu, včetně kybernetických útoků a sabotáží, závažným způsobem ohrožují náš každodenní život a hospodářskou činnost a vyžadují koordinovanou reakci EU prostřednictvím rozsáhlých evropských projektů;</w:t>
      </w:r>
    </w:p>
    <w:p w14:paraId="254C61D0" w14:textId="77777777" w:rsidR="008A364E" w:rsidRPr="00A151A1" w:rsidRDefault="008A364E" w:rsidP="00A151A1">
      <w:pPr>
        <w:pStyle w:val="NormalHanging"/>
      </w:pPr>
      <w:r w:rsidRPr="00A151A1">
        <w:t>C.</w:t>
      </w:r>
      <w:r w:rsidRPr="00A151A1">
        <w:tab/>
        <w:t>vzhledem k tomu, že se ukazuje, že vedení válek, v nichž v minulosti převládaly konvenční zbraně, se vyvíjí směrem „od oceli k internetu“; vzhledem k tomu, že se do vedení válek stále více začleňují kybernetické schopnosti a síťové operace a strategie válčení se proměňují prostřednictvím nových technologií a umělé inteligence a neomezují se již na shromážděnou palebnou sílu a rozsáhlé střety, ale směřují k miniaturizaci a decentralizaci systémů, o čemž svědčí používání dronů a rojů dronů ve všech oblastech, zbraní využívajících umělou inteligenci, inteligentních min a přenosných raketových systémů na bojišti; vzhledem k tomu, že bojová letadla, lodě, dělostřelecké zbraně, bojové tanky a pozemní vozidla jsou čím dál zranitelnější vůči přesným úderům, a vyžadují proto větší ochranu, neboť jsou pro vojenské a bezpečnostní operace stále nepostradatelné; vzhledem k tomu, že je případě potřeby nutné i nadále vyrábět a používat tradiční zbraňové systémy a střelivo ve velkém měřítku;</w:t>
      </w:r>
    </w:p>
    <w:p w14:paraId="7E513596" w14:textId="77777777" w:rsidR="008A364E" w:rsidRPr="00A151A1" w:rsidRDefault="008A364E" w:rsidP="00A151A1">
      <w:pPr>
        <w:pStyle w:val="NormalHanging"/>
      </w:pPr>
      <w:r w:rsidRPr="00A151A1">
        <w:t>D.</w:t>
      </w:r>
      <w:r w:rsidRPr="00A151A1">
        <w:tab/>
        <w:t>vzhledem k tomu, že toto nové paradigma konfliktů znamená, že žádný region EU není imunní vůči potenciální hrozbě útoku, vměšování, dezinformacím, psychologické subverzi nebo hybridním útokům; vzhledem k tomu, že strategická příprava na dlouhotrvající konflikt má i nadále zásadní význam pro zajištění dlouhodobé odolnosti v oblasti bezpečnosti a obrany;</w:t>
      </w:r>
    </w:p>
    <w:p w14:paraId="0C81B135" w14:textId="77777777" w:rsidR="008A364E" w:rsidRPr="00A151A1" w:rsidRDefault="008A364E" w:rsidP="00A151A1">
      <w:pPr>
        <w:pStyle w:val="NormalHanging"/>
      </w:pPr>
      <w:r w:rsidRPr="00A151A1">
        <w:t>E.</w:t>
      </w:r>
      <w:r w:rsidRPr="00A151A1">
        <w:tab/>
        <w:t>vzhledem k tomu, že vesmír se stává stále více přetíženou strategickou oblastí, v níž sílí konkurence, přičemž roste využívání pozemních i kosmických segmentů jako zbraně; vzhledem k tomu, že NATO uznalo vesmír za pátou strategickou operační oblast a potvrdilo rostoucí bezpečnostní výzvy, jejichž zdrojem je vesmír, a tudíž i potřebu zvýšit jeho bezpečnost;</w:t>
      </w:r>
    </w:p>
    <w:p w14:paraId="6677FF84" w14:textId="77777777" w:rsidR="008A364E" w:rsidRPr="00A151A1" w:rsidRDefault="008A364E" w:rsidP="00A151A1">
      <w:pPr>
        <w:pStyle w:val="NormalHanging"/>
      </w:pPr>
      <w:r w:rsidRPr="00A151A1">
        <w:lastRenderedPageBreak/>
        <w:t>F.</w:t>
      </w:r>
      <w:r w:rsidRPr="00A151A1">
        <w:tab/>
        <w:t>vzhledem k tomu, že Komise ve svém společném sdělení ze dne 5. března 2024 nazvaném „Nová strategie pro evropský obranný průmysl“ zdůrazňuje, že pouze 18 % celkových výdajů členských států EU na vybavení bylo v roce 2022 vyčleněno na kolaborativní zadávání veřejných zakázek EU v oblasti obranného vybavení, což je mnohem méně než stávající společná referenční hodnota 35 % stanovená členskými státy na zasedání ministerského řídícího výboru agentury EDA v roce 2007; vzhledem k tomu, že sdělení „Zachování míru – Plán obranné připravenosti 2030“ stanoví cíl uspořádat do konce roku 2027 alespoň 40 % veřejných zakázek v oblasti obrany v rámci společného zadávání veřejných zakázek; vzhledem k tomu, že v zájmu zvýšení kapacity evropského obranného průmyslu vyzvala Evropská rada dne 23. října 2025 členské státy, aby s podporou Evropské obranné agentury stále více směřovaly investice v oblasti obrany do společného vývoje, výroby a zadávání veřejných zakázek; vzhledem k tomu, že základním předpokladem vybudování plně funkčního trhu v oblasti obrany je koordinace úsilí členských států o zajištění účinného přidělování zdrojů, snížení roztříštěnosti a urychlení vývoje inovativních obranných technologií; vzhledem k tomu, že dosažení těchto cílů vyžaduje silnější pobídky a snížení administrativní zátěže a zároveň zajištění toho, aby spolupráce byla i nadále řízena trhem, a to na základě požadavků na obranné schopnosti a doplňkových procesů obranného plánování EU, jejích členských států a NATO;</w:t>
      </w:r>
    </w:p>
    <w:p w14:paraId="24924CD0" w14:textId="77777777" w:rsidR="008A364E" w:rsidRPr="00A151A1" w:rsidRDefault="008A364E" w:rsidP="00A151A1">
      <w:pPr>
        <w:pStyle w:val="NormalHanging"/>
      </w:pPr>
      <w:r w:rsidRPr="00A151A1">
        <w:t>G.</w:t>
      </w:r>
      <w:r w:rsidRPr="00A151A1">
        <w:tab/>
        <w:t>vzhledem k tomu, že „stěžejní iniciativy pro evropskou připravenost“, jak je uvádí plán „Zachování míru – Plán obranné připravenosti 2030“, jsou založeny na komplexním přístupu k obraně, který zahrnuje jak ochranu před přímými vojenskými útoky, tak připravenost na hybridní hrozby; vzhledem k tomu, že tyto iniciativy představují příležitost k podpoře inovací, interoperability a konkurenceschopnosti v rámci obranného průmyslu EU prostřednictvím rozvoje inovativních společných průmyslových partnerství v oblasti průlomových technologií, podstatného posílení evropské technologické a průmyslové základny obrany (EDTIB) a snížení její závislosti na technologiích třetích zemí;</w:t>
      </w:r>
    </w:p>
    <w:p w14:paraId="1B998395" w14:textId="77777777" w:rsidR="008A364E" w:rsidRPr="00A151A1" w:rsidRDefault="008A364E" w:rsidP="00A151A1">
      <w:pPr>
        <w:pStyle w:val="NormalHanging"/>
      </w:pPr>
      <w:r w:rsidRPr="00A151A1">
        <w:t>H.</w:t>
      </w:r>
      <w:r w:rsidRPr="00A151A1">
        <w:tab/>
        <w:t xml:space="preserve">vzhledem k tomu, že členské státy nacházející se na východních hranicích EU jsou nejvíce vystaveny vážným hrozbám a mají zásadní význam pro bezpečnost EU jako celku; vzhledem k tomu, že Evropská rada ve svých závěrech ze dne 23. října 2025 uvedla, že bezprostřední hrozby na východním křídle EU a poskytování konkrétní podpory členským státům je třeba řešit přednostně; vzhledem k tomu, že v plánu nazvaném „Zachování míru – Plán obranné připravenosti 2030“ je zdůrazněno, že jako první má být zahájena Iniciativa pro evropskou </w:t>
      </w:r>
      <w:proofErr w:type="spellStart"/>
      <w:r w:rsidRPr="00A151A1">
        <w:t>dronovou</w:t>
      </w:r>
      <w:proofErr w:type="spellEnd"/>
      <w:r w:rsidRPr="00A151A1">
        <w:t xml:space="preserve"> obranu a Hlídka východního křídla; vzhledem k tomu, že podle návrhu má Hlídka východního křídla posílit východní hranice EU integrací kapacit pozemní, námořní a vzdušné obrany s účinnými a nejmodernějšími </w:t>
      </w:r>
      <w:proofErr w:type="spellStart"/>
      <w:r w:rsidRPr="00A151A1">
        <w:t>protidronovými</w:t>
      </w:r>
      <w:proofErr w:type="spellEnd"/>
      <w:r w:rsidRPr="00A151A1">
        <w:t xml:space="preserve"> systémy a technologiemi, které jsou rovněž zásadní pro Iniciativu pro evropskou </w:t>
      </w:r>
      <w:proofErr w:type="spellStart"/>
      <w:r w:rsidRPr="00A151A1">
        <w:t>dronovou</w:t>
      </w:r>
      <w:proofErr w:type="spellEnd"/>
      <w:r w:rsidRPr="00A151A1">
        <w:t xml:space="preserve"> obranu;</w:t>
      </w:r>
    </w:p>
    <w:p w14:paraId="6B59B18F" w14:textId="77777777" w:rsidR="008A364E" w:rsidRPr="00A151A1" w:rsidRDefault="008A364E" w:rsidP="00A151A1">
      <w:pPr>
        <w:pStyle w:val="NormalHanging"/>
      </w:pPr>
      <w:r w:rsidRPr="00A151A1">
        <w:t>I.</w:t>
      </w:r>
      <w:r w:rsidRPr="00A151A1">
        <w:tab/>
        <w:t>vzhledem k tomu, že konečnými uživateli obranných produktů jsou především národní ozbrojené síly členských států, a členské státy proto mohou uvažovat o zvýšení svých investic do projektů obranného průmyslu pouze tehdy, když se tyto projekty týkají rozvoje vojenských schopností společného zájmu pro jejich ozbrojené síly; vzhledem k tomu, že článek 346 Smlouvy o fungování EU uvádí, že každý členský stát může učinit opatření, která považuje za nezbytná k ochraně podstatných zájmů své bezpečnosti a která jsou spjata s výrobou zbraní, střeliva a válečného materiálu nebo obchodem s nimi;</w:t>
      </w:r>
    </w:p>
    <w:p w14:paraId="6AFDB142" w14:textId="77777777" w:rsidR="008A364E" w:rsidRPr="00A151A1" w:rsidRDefault="008A364E" w:rsidP="00A151A1">
      <w:pPr>
        <w:pStyle w:val="NormalHanging"/>
      </w:pPr>
      <w:r w:rsidRPr="00A151A1">
        <w:lastRenderedPageBreak/>
        <w:t>J.</w:t>
      </w:r>
      <w:r w:rsidRPr="00A151A1">
        <w:tab/>
        <w:t>vzhledem k tomu, že Strategický kompas pro bezpečnost a obranu stanoví cíl vytvořit pobídky ke stimulaci společných investic členských států do společných projektů a společného zadávání veřejných zakázek v oblasti obranných schopností, které jsou rozvíjeny na základě spolupráce v rámci EU;</w:t>
      </w:r>
    </w:p>
    <w:p w14:paraId="218629FD" w14:textId="77777777" w:rsidR="008A364E" w:rsidRPr="00A151A1" w:rsidRDefault="008A364E" w:rsidP="00A151A1">
      <w:pPr>
        <w:pStyle w:val="NormalHanging"/>
      </w:pPr>
      <w:r w:rsidRPr="00A151A1">
        <w:t>K.</w:t>
      </w:r>
      <w:r w:rsidRPr="00A151A1">
        <w:tab/>
        <w:t xml:space="preserve">vzhledem k tomu, že nařízení (EU) 2025/2643, kterým se zřizuje Program pro evropský obranný průmysl (EDIP), stanoví provádění evropských obranných projektů společného zájmu; vzhledem k tomu, že evropský obranné projekty společného zájmu sestávají z kolaborativních průmyslových projektů zaměřených na posílení konkurenceschopnosti evropské technologické a průmyslové základny obrany (EDTIB) v celé Unii a zároveň přispívají k rozvoji vojenských schopností členských států, jež mají zásadní význam pro bezpečnostní a obranné zájmy Unie, a podporují otevřenou a modulární architekturu, inovace dvojího užití a přeshraniční účast malých a středních podniků (MSP) a podniků se střední tržní kapitalizací ve </w:t>
      </w:r>
      <w:bookmarkStart w:id="8" w:name="_Hlk219991787"/>
      <w:r w:rsidRPr="00A151A1">
        <w:t xml:space="preserve">všech oblastech operací, konkrétně v pozemní, námořní, vzdušné, vesmírné a kybernetické oblasti; </w:t>
      </w:r>
      <w:bookmarkEnd w:id="8"/>
      <w:r w:rsidRPr="00A151A1">
        <w:t>vzhledem k tomu, že program EDIP zahrnuje rovněž nový nástroj, struktury pro evropské zbrojní programy (SEAP), což je nový právní rámec, který lze využít pro iniciativy spolupráce v oblasti vyzbrojování v rámci stěžejních projektů;</w:t>
      </w:r>
    </w:p>
    <w:p w14:paraId="33058FE0" w14:textId="77777777" w:rsidR="008A364E" w:rsidRPr="00A151A1" w:rsidRDefault="008A364E" w:rsidP="00A151A1">
      <w:pPr>
        <w:pStyle w:val="NormalHanging12a"/>
      </w:pPr>
      <w:r w:rsidRPr="00A151A1">
        <w:t>L.</w:t>
      </w:r>
      <w:r w:rsidRPr="00A151A1">
        <w:tab/>
        <w:t>vzhledem k tomu, že jak je zdůrazněno ve sdělení „Zachování míru – Plán obranné připravenosti 2030“, Ukrajina zůstává i nadále první obrannou linií Evropy a tvoří nedílnou součást evropské obranné a bezpečnostní architektury; vzhledem k tomu, že spolupráce mezi obranným průmyslem EU a Ukrajiny, zejména v souvislosti se stěžejními projekty nebo evropskými obrannými projekty společného zájmu, má velký význam pro jejich trhy, konkurenceschopnost a inovační potenciál;</w:t>
      </w:r>
    </w:p>
    <w:p w14:paraId="776D4A5B" w14:textId="77777777" w:rsidR="008A364E" w:rsidRPr="00A151A1" w:rsidRDefault="008A364E" w:rsidP="00A151A1">
      <w:pPr>
        <w:pStyle w:val="NormalHanging12a"/>
      </w:pPr>
      <w:r w:rsidRPr="00A151A1">
        <w:t>1.</w:t>
      </w:r>
      <w:r w:rsidRPr="00A151A1">
        <w:tab/>
        <w:t xml:space="preserve">bere na vědomí celkové zvýšení výdajů na obranu ve členských státech EU, které jasně odráží jejich odhodlání reagovat na zhoršující se bezpečnostní situaci zlepšením vojenských kapacit, posílením odstrašování a upevněním jejich kolektivního závazku k evropské a transatlantické obraně; konstatuje, že některé členské státy, zejména ty, které se nacházejí na východních hranicích EU, splnily nebo překročily výdajový cíl NATO vyčlenit do konce roku 2025 na výdaje na obranu 2 % svého HDP; </w:t>
      </w:r>
    </w:p>
    <w:p w14:paraId="36CA77ED" w14:textId="77777777" w:rsidR="008A364E" w:rsidRPr="00A151A1" w:rsidRDefault="008A364E" w:rsidP="009E507D">
      <w:pPr>
        <w:pStyle w:val="NormalHanging12a"/>
      </w:pPr>
      <w:r w:rsidRPr="00A151A1">
        <w:t>2.</w:t>
      </w:r>
      <w:r w:rsidRPr="00A151A1">
        <w:tab/>
        <w:t>uznává rovněž, že posílení bezpečnosti a obrany v Evropě vyžaduje nejen zvýšení vnitrostátních výdajů na obranu, ale také komplexní posun směrem k větší koordinaci, účinnosti a integraci ve způsobu, jakým členské státy rozvíjejí a provádějí své obranné politiky a zajišťují pro ně zdroje; zdůrazňuje, že tento posun od převážně vnitrostátního přístupu k obraně ke společnému pojetí kolektivního postoje Unie v oblasti bezpečnosti a odstrašování musí být prováděn při plném respektování svrchovanosti členských států a jejich pravomocí v oblasti bezpečnosti a obrany v souladu s čl. 4 odst. 2 Smlouvy o EU;</w:t>
      </w:r>
    </w:p>
    <w:p w14:paraId="1067841C" w14:textId="77777777" w:rsidR="008A364E" w:rsidRPr="00A151A1" w:rsidRDefault="008A364E" w:rsidP="00A151A1">
      <w:pPr>
        <w:pStyle w:val="NormalHanging12a"/>
      </w:pPr>
      <w:r w:rsidRPr="00A151A1">
        <w:t>3.</w:t>
      </w:r>
      <w:r w:rsidRPr="00A151A1">
        <w:tab/>
        <w:t>konstatuje, že navzdory zvýšenému úsilí v oblasti obrany čelí EU a její členské státy i nadále přetrvávajícím nedostatkům ve strategických kolektivních schopnostech, strukturách velení a řízení a udržitelných vojenských kapacitách; zdůrazňuje zejména, že členské státy určily následující výchozí nedostatky v prioritních schopnostech</w:t>
      </w:r>
      <w:r w:rsidRPr="00A151A1">
        <w:rPr>
          <w:vertAlign w:val="superscript"/>
        </w:rPr>
        <w:footnoteReference w:id="7"/>
      </w:r>
      <w:r w:rsidRPr="00A151A1">
        <w:t>: protivzdušná a protiraketová obrana, dělostřelecké systémy, raketové střely a munice, drony a </w:t>
      </w:r>
      <w:proofErr w:type="spellStart"/>
      <w:r w:rsidRPr="00A151A1">
        <w:t>protidronové</w:t>
      </w:r>
      <w:proofErr w:type="spellEnd"/>
      <w:r w:rsidRPr="00A151A1">
        <w:t xml:space="preserve"> systémy, strategické podpůrné schopnosti, a to i ve vztahu </w:t>
      </w:r>
      <w:r w:rsidRPr="00A151A1">
        <w:lastRenderedPageBreak/>
        <w:t>k vesmíru a ke kritické infrastruktuře, vojenská mobilita, kybernetická oblast, umělá inteligence, elektronický boj, pozemní boj a námořní bezpečnost; zdůrazňuje, že tyto nedostatky výrazně omezují schopnost EU a jejích členských států navýšit odstrašující kapacitu a bránit se v dlouhodobém rozsáhlém konfliktu, a to i s ohledem na akty hybridní a konvenční války; vyzývá k přijetí naléhavých opatření k řešení těchto nedostatků v kritických schopnostech prostřednictvím posílené spolupráce, a to jak ve strategických, tak v průmyslových záležitostech, koordinovaného plánování a cílených investic s cílem zajistit obrannou připravenost; uznává úsilí, které zúčastněné strany evropské technologické a průmyslové základny obrany (EDTIB) vynaložily k řešení těchto výzev;</w:t>
      </w:r>
    </w:p>
    <w:p w14:paraId="6E43E4CF" w14:textId="77777777" w:rsidR="008A364E" w:rsidRPr="00A151A1" w:rsidRDefault="008A364E" w:rsidP="00A151A1">
      <w:pPr>
        <w:pStyle w:val="NormalHanging12a"/>
      </w:pPr>
      <w:r w:rsidRPr="00A151A1">
        <w:t>4.</w:t>
      </w:r>
      <w:r w:rsidRPr="00A151A1">
        <w:tab/>
        <w:t>zdůrazňuje, že odstranění nedostatků ve schopnostech vyžaduje vytvoření autonomních strategických podpůrných schopností, bez nichž ozbrojené síly členských států nemohou společné vojenské operace účinně provádět; doporučuje v této souvislosti vývoj bezpečné a zabezpečené společné architektury pro velení, řízení, komunikaci, zpravodajství, pozorování, zjišťování cílů a průzkum, jakož i společných obranných schopností v oblasti vesmíru, strategické letecké a námořní přepravy, doplňování paliva za letu a předcházení chemickým, biologickým, radiologickým a jaderným rizikům; oceňuje práci Evropské obranné agentury, která poskytuje přehled a analýzu obranného prostředí EU a nabízí doporučení ohledně příležitostí ke spolupráci při rozvoji a získávání schopností prostřednictvím priorit rozvoje schopností a koordinovaného každoročního přezkumu v oblasti obrany;</w:t>
      </w:r>
    </w:p>
    <w:p w14:paraId="3DADD3B5" w14:textId="77777777" w:rsidR="008A364E" w:rsidRPr="00A151A1" w:rsidRDefault="008A364E" w:rsidP="00A151A1">
      <w:pPr>
        <w:pStyle w:val="NormalHanging12a"/>
      </w:pPr>
      <w:r w:rsidRPr="00A151A1">
        <w:t>5.</w:t>
      </w:r>
      <w:r w:rsidRPr="00A151A1">
        <w:tab/>
        <w:t>připomíná, že NATO a EU hrají doplňkovou, soudržnou a vzájemně se posilující úlohu; vyzývá k většímu zapojení členských států EU a spojenců NATO do spolupráce v souladu se třetím společným prohlášením ze dne 10. ledna 2023 o spolupráci mezi EU a NATO s cílem rozvíjet obranné schopnosti a odstranit stávající nedostatky; zdůrazňuje, že veškeré evropské úsilí v tomto ohledu by mělo být vyvíjeno v úzké koordinaci s NATO</w:t>
      </w:r>
      <w:bookmarkStart w:id="9" w:name="_Hlk214465974"/>
      <w:r w:rsidRPr="00A151A1">
        <w:t>, a to s cílem posílit průmyslovou spolupráci a interoperabilitu; vyzývá k většímu zapojení Evropy do stávajících struktur NATO pro spolupráci</w:t>
      </w:r>
      <w:bookmarkEnd w:id="9"/>
      <w:r w:rsidRPr="00A151A1">
        <w:t xml:space="preserve"> a rovněž připomíná, že je třeba zajistit soudržnost výstupů mezi procesem programování rozvoje schopností EU a procesem plánování a přezkumu NATO; vyzývá ke zlepšení interoperability vojenského vybavení mezi členskými státy EU a spojenci v NATO, zejména zajištěním slučitelnosti jejich norem a specifikací;</w:t>
      </w:r>
    </w:p>
    <w:p w14:paraId="509F9FFE" w14:textId="77777777" w:rsidR="008A364E" w:rsidRPr="00A151A1" w:rsidRDefault="008A364E" w:rsidP="00A151A1">
      <w:pPr>
        <w:pStyle w:val="NormalHanging12a"/>
      </w:pPr>
      <w:r w:rsidRPr="00A151A1">
        <w:t>6.</w:t>
      </w:r>
      <w:r w:rsidRPr="00A151A1">
        <w:tab/>
        <w:t xml:space="preserve">uznává, že existují okamžité potřeby v oblasti obrany, které je i nadále zapotřebí uspokojit pomocí dodávek nebo podpory ze zemí mimo EU; zdůrazňuje dále, že evropská bezpečnost i nadále silně závisí na obranném průmyslu zemí mimo EU; zdůrazňuje, že v současném geopolitickém kontextu a vzhledem k požadavku, aby EU převzala větší odpovědnost za obranu, je potřebný řízený a postupný přechod od závislosti na zemích mimo EU ke strategické autonomii a posílení evropské technologické a průmyslové základny obrany; souhlasí s cílem výrazně snížit nebo pokud možno postupně ukončit závislost na výrobcích a dodavatelích ze zemí mimo EU, a to i v oblasti surovin a minerálů vzácných zemin, pokud v EU existují nebo mohou být vyvinuta rovnocenná řešení, což má zásadní význam pro strategickou autonomii EU a bezpečnost dodávek; vyzývá proto k přijetí opatření k posílení evropské technologické a průmyslové základny obrany a zvýšení její konkurenceschopnosti, mimo jiné prostřednictvím ambiciózního a dynamického upřednostňování EU při zadávání veřejných zakázek v oblasti obrany, otevřených a konkurenceschopných trhů pro společnosti z EU, přeshraniční průmyslové spolupráce v rámci EU a </w:t>
      </w:r>
      <w:r w:rsidRPr="00A151A1">
        <w:lastRenderedPageBreak/>
        <w:t>s důvěryhodnými a podobně smýšlejícími partnery a spravedlivého přístupu malých a středních podniků k veřejným zakázkám;</w:t>
      </w:r>
    </w:p>
    <w:p w14:paraId="16C9B9EE" w14:textId="397CCB32" w:rsidR="008A364E" w:rsidRPr="00A151A1" w:rsidRDefault="008A364E" w:rsidP="00A151A1">
      <w:pPr>
        <w:pStyle w:val="NormalHanging12a"/>
      </w:pPr>
      <w:r w:rsidRPr="00A151A1">
        <w:t>7.</w:t>
      </w:r>
      <w:r w:rsidRPr="00A151A1">
        <w:tab/>
        <w:t>zdůrazňuje, že bez vytvoření plně funkčního jednotného trhu EU pro obranné produkty a služby hrozí, že rostoucí vnitrostátní výdaje na obranu budou kvůli neefektivnosti proplýtvány, což povede k další roztříštěnosti EDTIB; vyzývá členské státy, aby posílily společné zadávání veřejných zakázek v oblasti obrany a také spolupráci v oblasti rozvoje obranných schopností s cílem zvýšit interoperabilitu a zaměnitelnost, zajistit účinné přidělování zdrojů, posílit EDTIB, přilákat soukromé investice, snížit roztříštěnost obranného trhu EU a omezit počet různých obranných produktů, které řeší podobné operační potřeby v celé Unii; zdůrazňuje, že veřejné zakázky v rámci stěžejních projektů by měly společně zadávat zúčastněné členské státy a že stěžejní projekty by měly přispívat k tomu, aby bylo dosaženo cíle do konce roku 2027 realizovat 40 % veřejných zakázek v oblasti obrany v rámci kolaborativního zadávání veřejných zakázek;</w:t>
      </w:r>
    </w:p>
    <w:p w14:paraId="53EE8D17" w14:textId="77777777" w:rsidR="008A364E" w:rsidRPr="00A151A1" w:rsidRDefault="008A364E" w:rsidP="009E507D">
      <w:pPr>
        <w:spacing w:after="240"/>
        <w:ind w:left="566" w:hanging="566"/>
        <w:rPr>
          <w:b/>
          <w:i/>
          <w:szCs w:val="24"/>
        </w:rPr>
      </w:pPr>
      <w:r w:rsidRPr="00A151A1">
        <w:rPr>
          <w:b/>
          <w:i/>
          <w:szCs w:val="24"/>
        </w:rPr>
        <w:t>Rozvoj obranných schopností prostřednictvím stěžejních projektů v prioritních oblastech</w:t>
      </w:r>
    </w:p>
    <w:p w14:paraId="163CD7D8" w14:textId="77777777" w:rsidR="008A364E" w:rsidRPr="00A151A1" w:rsidRDefault="008A364E" w:rsidP="00A151A1">
      <w:pPr>
        <w:pStyle w:val="NormalHanging12a"/>
        <w:rPr>
          <w:bCs/>
          <w:iCs/>
        </w:rPr>
      </w:pPr>
      <w:bookmarkStart w:id="10" w:name="_Hlk219994569"/>
      <w:r w:rsidRPr="00A151A1">
        <w:t>8.</w:t>
      </w:r>
      <w:r w:rsidRPr="00A151A1">
        <w:tab/>
        <w:t xml:space="preserve">bere na vědomí návrh Komise a vysoké představitelky Unie pro zahraniční věci a bezpečnostní politiku na zahájení souboru počátečních stěžejních iniciativ pro evropskou připravenost v rámci Plánu obranné připravenosti 2030 – zachování míru; bere na vědomí, že Evropská rada tento plán schválila a že členské státy se zavázaly rozvíjet čtyři počáteční stěžejní iniciativy pro evropskou připravenost – Iniciativu pro evropskou </w:t>
      </w:r>
      <w:proofErr w:type="spellStart"/>
      <w:r w:rsidRPr="00A151A1">
        <w:t>dronovou</w:t>
      </w:r>
      <w:proofErr w:type="spellEnd"/>
      <w:r w:rsidRPr="00A151A1">
        <w:t xml:space="preserve"> obranu, Hlídku východního křídla, Evropský vzdušný štít a Evropský kosmický štít; konstatuje, že tyto navrhované stěžejní projekty zahrnují značně širokou škálu obranných schopností; dále konstatuje, že </w:t>
      </w:r>
      <w:bookmarkStart w:id="11" w:name="_Hlk219885051"/>
      <w:r w:rsidRPr="00A151A1">
        <w:t>jsou průřezové povahy a přispívají ke komplexním bezpečnostním zájmům Unie</w:t>
      </w:r>
      <w:bookmarkEnd w:id="11"/>
      <w:r w:rsidRPr="00A151A1">
        <w:t>; naléhavě proto vyzývá Komisi, zúčastněné členské státy a Evropskou obrannou agenturu, aby pro každý z těchto projektů jasně určily konkrétní cíle, harmonogram a milníky provádění, finanční návrhy, mechanismy řízení, technologickou působnost a očekávaný rozsah; zdůrazňuje, že je zapotřebí mít provozní koncepci a jasné řízení, aby bylo možné určit, co kdo dělá, zejména v případech s přeshraničními důsledky, například když nepřátelský dron přelétá z jednoho členského státu do druhého; zdůrazňuje, že návrh a provádění těchto projektů by měly být komplexní a že by mělo být zajištěno, aby vedle pokročilých technologií projekty zahrnovaly i konvenční obranné komponenty, aby byla v případě vleklých konfliktů zaručena provozní udržitelnost; vyzývá zúčastněné členské státy, aby zajistily splnění milníků každého projektu, dokončily schopnostní koalice uvedené v plánu a učinily maximum pro rychlé zahájení stěžejních projektů v souladu se závěry Evropské rady ze dne 23. října 2025;</w:t>
      </w:r>
    </w:p>
    <w:p w14:paraId="37312A79" w14:textId="77777777" w:rsidR="008A364E" w:rsidRPr="00A151A1" w:rsidRDefault="008A364E" w:rsidP="00A151A1">
      <w:pPr>
        <w:pStyle w:val="NormalHanging12a"/>
        <w:rPr>
          <w:bCs/>
          <w:iCs/>
        </w:rPr>
      </w:pPr>
      <w:r w:rsidRPr="00A151A1">
        <w:t>9.</w:t>
      </w:r>
      <w:r w:rsidRPr="00A151A1">
        <w:tab/>
        <w:t xml:space="preserve">vítá přístup navržený pro Iniciativu pro evropskou </w:t>
      </w:r>
      <w:proofErr w:type="spellStart"/>
      <w:r w:rsidRPr="00A151A1">
        <w:t>dronovou</w:t>
      </w:r>
      <w:proofErr w:type="spellEnd"/>
      <w:r w:rsidRPr="00A151A1">
        <w:t xml:space="preserve"> obranu, jehož cílem je vyvinout technologicky vyspělý vícevrstevný systém s interoperabilními schopnostmi pro detekci, sledování a neutralizaci dronů, jakož i schopností zasáhnout pozemní cíle využitím technologie dronů pro přesné údery; uznává, že </w:t>
      </w:r>
      <w:proofErr w:type="spellStart"/>
      <w:r w:rsidRPr="00A151A1">
        <w:t>protidronové</w:t>
      </w:r>
      <w:proofErr w:type="spellEnd"/>
      <w:r w:rsidRPr="00A151A1">
        <w:t xml:space="preserve"> schopnosti by měly být plně interoperabilní a propojené mezi členskými státy, aby se zajistila informovanost o situaci na úrovni EU a schopnost členských států jednat a zabezpečit kritickou infrastrukturu společně s NATO; uznává problémy spojené s vytvořením funkčního systému </w:t>
      </w:r>
      <w:proofErr w:type="spellStart"/>
      <w:r w:rsidRPr="00A151A1">
        <w:t>dronové</w:t>
      </w:r>
      <w:proofErr w:type="spellEnd"/>
      <w:r w:rsidRPr="00A151A1">
        <w:t xml:space="preserve"> obrany v rámci této iniciativy, a vyzývá proto k provádění pilotních projektů, do nichž bude nejprve zapojen menší počet členských států a jakmile budou systémy dostatečně funkční a účinné, aby mohly být šířeji zaváděny, bude zaveden 360stupňový přístup;</w:t>
      </w:r>
    </w:p>
    <w:p w14:paraId="7437415A" w14:textId="77777777" w:rsidR="008A364E" w:rsidRPr="00A151A1" w:rsidRDefault="008A364E" w:rsidP="00A151A1">
      <w:pPr>
        <w:pStyle w:val="NormalHanging12a"/>
        <w:rPr>
          <w:bCs/>
          <w:iCs/>
        </w:rPr>
      </w:pPr>
      <w:r w:rsidRPr="00A151A1">
        <w:lastRenderedPageBreak/>
        <w:t>10.</w:t>
      </w:r>
      <w:r w:rsidRPr="00A151A1">
        <w:tab/>
        <w:t>zdůrazňuje, že stěžejní projekty by měly zohledňovat zvláštní požadavky na obranu a odstrašování východního křídla EU; vítá navrhovaný přístup pro Hlídku východního křídla, jehož cílem je posílit kapacitu členských států sousedících s Ruskem, aby mohly čelit široké škále hrozeb a rizik, včetně hybridních hrozeb, ruské stínové flotily využívané k sabotážním a sledovacím operacím a hrozby ozbrojené agrese; zdůrazňuje, že tento přístup spočívá v integraci čtyř prvků: pozemní obrany, informovanosti o situaci, protivzdušné obrany a </w:t>
      </w:r>
      <w:proofErr w:type="spellStart"/>
      <w:r w:rsidRPr="00A151A1">
        <w:t>protidronových</w:t>
      </w:r>
      <w:proofErr w:type="spellEnd"/>
      <w:r w:rsidRPr="00A151A1">
        <w:t xml:space="preserve"> systémů a námořní bezpečnosti v Baltském a Černém moři; podporuje navrhovaný cíl vytvořit komplexní evropskou kapacitu pro obranu hranic s </w:t>
      </w:r>
      <w:proofErr w:type="spellStart"/>
      <w:r w:rsidRPr="00A151A1">
        <w:t>víceoblastními</w:t>
      </w:r>
      <w:proofErr w:type="spellEnd"/>
      <w:r w:rsidRPr="00A151A1">
        <w:t xml:space="preserve"> systémy ostrahy, schopnostmi v oblasti dronů a obrany proti nim, schopnostmi elektronického boje, přesnými systémy úderu a reaktivní operační koordinací, což přispěje k bezpečnosti celé Unie; vyzývá k zavedení opatření k posílení budoucí odolnosti a opatření zaměřených na ochranu infrastruktury a schopností kybernetické obrany a k zajištění regionální interoperability a plné operační připravenosti v případě krize;</w:t>
      </w:r>
    </w:p>
    <w:p w14:paraId="06D316AE" w14:textId="77777777" w:rsidR="008A364E" w:rsidRPr="00A151A1" w:rsidRDefault="008A364E" w:rsidP="009E507D">
      <w:pPr>
        <w:spacing w:after="240"/>
        <w:ind w:left="566" w:hanging="566"/>
        <w:rPr>
          <w:bCs/>
          <w:szCs w:val="24"/>
        </w:rPr>
      </w:pPr>
      <w:r w:rsidRPr="00A151A1">
        <w:rPr>
          <w:szCs w:val="24"/>
        </w:rPr>
        <w:t>11.</w:t>
      </w:r>
      <w:r w:rsidRPr="00A151A1">
        <w:rPr>
          <w:szCs w:val="24"/>
        </w:rPr>
        <w:tab/>
        <w:t>zdůrazňuje, že stěžejní projekty jsou významnou příležitostí k posílení konkurenceschopnosti, účinnosti a inovační kapacity EDTIB; uznává, že je třeba zavést široce dohodnutou definici „stěžejních projektů společného zájmu“ jako rozsáhlých celoevropských iniciativ spolupráce zahrnujících co největší počet členských států v oblasti obranných schopností a průmyslového rozvoje, včetně strategických podpůrných schopností se společným rámcem, jako je EDTIB, který umožní jejich určení a provádění soudržným způsobem v rámci obranné a průmyslové politiky EU; zdůrazňuje, že vymezení stěžejních projektů má zásadní význam pro zajištění účinné spolupráce mezi členskými státy, sdružování zdrojů k řešení nedostatků v kritických schopnostech a přechod ke skutečné evropské obranné unii;</w:t>
      </w:r>
      <w:r w:rsidRPr="00A151A1">
        <w:rPr>
          <w:i/>
          <w:szCs w:val="24"/>
        </w:rPr>
        <w:t xml:space="preserve"> </w:t>
      </w:r>
    </w:p>
    <w:p w14:paraId="6B19C3C9" w14:textId="77777777" w:rsidR="008A364E" w:rsidRPr="00A151A1" w:rsidRDefault="008A364E" w:rsidP="009E507D">
      <w:pPr>
        <w:pStyle w:val="NormalHanging12a"/>
        <w:rPr>
          <w:bCs/>
          <w:i/>
          <w:iCs/>
        </w:rPr>
      </w:pPr>
      <w:r w:rsidRPr="00A151A1">
        <w:t>12.</w:t>
      </w:r>
      <w:r w:rsidRPr="00A151A1">
        <w:tab/>
        <w:t>zdůrazňuje strategický význam posílení EDTIB prostřednictvím spolupráce s Ukrajinou, přidruženými zeměmi v rámci spolupráce zavedené podle Dohody o Evropském hospodářském prostoru</w:t>
      </w:r>
      <w:r w:rsidRPr="00A151A1">
        <w:rPr>
          <w:rStyle w:val="FootnoteReference"/>
          <w:bCs/>
        </w:rPr>
        <w:footnoteReference w:id="8"/>
      </w:r>
      <w:r w:rsidRPr="00A151A1">
        <w:t xml:space="preserve">, podobně smýšlejícími zeměmi mimo EU a zeměmi, s nimiž EU podepsala partnerství v oblasti bezpečnosti a obrany; v této souvislosti zdůrazňuje, že ukrajinský obranný průmysl získal klíčové technologické odborné znalosti a know-how na základě zkušeností získaných ukrajinskými ozbrojenými silami na bojišti, a bere na vědomí navrhovanou </w:t>
      </w:r>
      <w:proofErr w:type="spellStart"/>
      <w:r w:rsidRPr="00A151A1">
        <w:t>Dronovou</w:t>
      </w:r>
      <w:proofErr w:type="spellEnd"/>
      <w:r w:rsidRPr="00A151A1">
        <w:t xml:space="preserve"> alianci s Ukrajinou; doporučuje, aby v zájmu řešení pomalých inovačních cyklů v EU, propojení výzkumu a vývoje a výroby a zajištění nepřetržitého technologického rozvoje byly stěžejní projekty v co největší míře a při plném respektování bezpečnostních zájmů EU a jejích členských států otevřeny účasti Ukrajiny, přidružených zemí a zemí, které s EU podepsaly partnerství v oblasti bezpečnosti a obrany;</w:t>
      </w:r>
    </w:p>
    <w:p w14:paraId="5678E729" w14:textId="77777777" w:rsidR="008A364E" w:rsidRPr="00A151A1" w:rsidRDefault="008A364E" w:rsidP="009E507D">
      <w:pPr>
        <w:spacing w:after="240"/>
        <w:ind w:left="566" w:hanging="566"/>
        <w:rPr>
          <w:b/>
          <w:i/>
          <w:szCs w:val="24"/>
        </w:rPr>
      </w:pPr>
      <w:r w:rsidRPr="00A151A1">
        <w:rPr>
          <w:b/>
          <w:i/>
          <w:szCs w:val="24"/>
        </w:rPr>
        <w:t>Určení a zajištění řádného zřízení a provádění stěžejních projektů</w:t>
      </w:r>
    </w:p>
    <w:p w14:paraId="44D99059" w14:textId="77777777" w:rsidR="008A364E" w:rsidRPr="00A151A1" w:rsidRDefault="008A364E" w:rsidP="00A151A1">
      <w:pPr>
        <w:pStyle w:val="NormalHanging12a"/>
      </w:pPr>
      <w:bookmarkStart w:id="12" w:name="_Hlk220400357"/>
      <w:r w:rsidRPr="00A151A1">
        <w:t>13.</w:t>
      </w:r>
      <w:r w:rsidRPr="00A151A1">
        <w:tab/>
        <w:t xml:space="preserve">zdůrazňuje, že cíle stěžejních projektů musí být sladěny s dohodnutými obrannými cíli EU a musí být v souladu s cíli NATO pro rozvoj schopností; zdůrazňuje dále, že by se měly týkat inovativních technologických oblastí pro obranu a přispívat k rozvoji špičkových obranných schopností, které budou odpovídat požadavkům moderní války, včetně rostoucí potřeby spojovat </w:t>
      </w:r>
      <w:proofErr w:type="spellStart"/>
      <w:r w:rsidRPr="00A151A1">
        <w:t>víceoblastní</w:t>
      </w:r>
      <w:proofErr w:type="spellEnd"/>
      <w:r w:rsidRPr="00A151A1">
        <w:t xml:space="preserve"> vojenské operace, vojáky a zbraně do sítí, zajišťovat kybernetickou obranu, rozvíjet nástroje na shromažďování, ukládání, zpracování a sdílení zpravodajských dat, bezpilotní systémy a nástroje na podporu rozhodování založené na umělé inteligenci a provádět přesné údery na velkou </w:t>
      </w:r>
      <w:r w:rsidRPr="00A151A1">
        <w:lastRenderedPageBreak/>
        <w:t>vzdálenost a bránit se proti útokům dronů; zdůrazňuje význam etického a odpovědného využívání systémů umělé inteligence v plném souladu s mezinárodním humanitárním právem;</w:t>
      </w:r>
    </w:p>
    <w:bookmarkEnd w:id="12"/>
    <w:p w14:paraId="69836DE3" w14:textId="77777777" w:rsidR="008A364E" w:rsidRPr="00A151A1" w:rsidRDefault="008A364E" w:rsidP="00A151A1">
      <w:pPr>
        <w:pStyle w:val="NormalHanging12a"/>
      </w:pPr>
      <w:r w:rsidRPr="00A151A1">
        <w:t>14.</w:t>
      </w:r>
      <w:r w:rsidRPr="00A151A1">
        <w:tab/>
        <w:t>vyzývá Komisi a členské státy EU, aby začlenily kybernetickou oblast a digitální technologie do hlavních priorit EU v oblasti obrany s cílem zajistit svrchovanost v oblasti údajů a kolektivní připravenost na hybridní a kybernetické hrozby; zdůrazňuje, že zajištění kybernetické bezpečnosti a odolnosti by mělo být průřezovým cílem všech stěžejních projektů, který zajistí bezpečnou digitální infrastrukturu, ochranu systémů velení a kontroly a integritu datových toků napříč operačními oblastmi v souladu s politikou EU v oblasti kybernetické obrany a prioritami Strategického kompasu;</w:t>
      </w:r>
    </w:p>
    <w:p w14:paraId="721B8936" w14:textId="77777777" w:rsidR="008A364E" w:rsidRPr="00A151A1" w:rsidRDefault="008A364E" w:rsidP="009E507D">
      <w:pPr>
        <w:pStyle w:val="NormalHanging12a"/>
        <w:tabs>
          <w:tab w:val="left" w:pos="142"/>
        </w:tabs>
      </w:pPr>
      <w:r w:rsidRPr="00A151A1">
        <w:t>15.</w:t>
      </w:r>
      <w:r w:rsidRPr="00A151A1">
        <w:tab/>
        <w:t>zdůrazňuje, že jsou zapotřebí stěžejní projekty, které se týkají oblasti vesmíru, což je stále více militarizovaná strategická oblast, na níž zároveň závisí několik činností souvisejících s bezpečností, jako je zabezpečená komunikace a shromažďování zpravodajských informací; zdůrazňuje dále, že je důležité propojit stěžejní projekty se strategickou dopravní a logistickou infrastrukturou, jako jsou koridory přeshraniční vojenské mobility a infrastruktura dvojího užití, zejména ve východní a jihovýchodní Evropě, které mají zásadní význam pro rychlé nasazení a odolnost podél východního křídla;</w:t>
      </w:r>
    </w:p>
    <w:p w14:paraId="256BBE1A" w14:textId="77777777" w:rsidR="008A364E" w:rsidRPr="00A151A1" w:rsidRDefault="008A364E" w:rsidP="00A151A1">
      <w:pPr>
        <w:pStyle w:val="NormalHanging12a"/>
      </w:pPr>
      <w:r w:rsidRPr="00A151A1">
        <w:t>16.</w:t>
      </w:r>
      <w:r w:rsidRPr="00A151A1">
        <w:tab/>
        <w:t xml:space="preserve">zdůrazňuje, že stěžejní projekty by se měly zaměřovat na podporu užší spolupráce a inovací v mechanismech řízení na úrovni EU a mezi členskými státy EU a měly by ukazovat osvědčené postupy směřující ke společné a koordinované strategii evropské obrany, přičemž by měly být zohledněny znalosti získané na Ukrajině, pokud jde o vedení moderní války; zdůrazňuje, že Komise by měla zavést jasné krátkodobé, střednědobé a dlouhodobé strategie pro rozvoj stěžejních projektů a zajistit, aby dlouhodobé úsilí v oblasti výzkumu a vývoje a inovací bylo soudržně koordinováno s krátkodobými investicemi do kritických obranných schopností, aby byl zaručen technologický pokrok i okamžitá operační připravenost; zdůrazňuje rovněž, že řádné řízení stěžejních projektů musí být založeno na společné vizi a účinné koordinaci mezi jejich „aktéry programů“, konkrétně Komisí, vládami, vojenskými velitelstvími, agenturami pro zadávání veřejných zakázek v členských státech EU a společnostmi z obranného průmyslu; domnívá se, že stěžejní projekty by mohly těžit ze stávající spolupráce v rámci projektů PESCO a Evropského obranného fondu a stavět na nich; </w:t>
      </w:r>
    </w:p>
    <w:p w14:paraId="3168AB10" w14:textId="77777777" w:rsidR="008A364E" w:rsidRPr="00A151A1" w:rsidRDefault="008A364E" w:rsidP="00A151A1">
      <w:pPr>
        <w:pStyle w:val="NormalHanging12a"/>
      </w:pPr>
      <w:r w:rsidRPr="00A151A1">
        <w:t>17.</w:t>
      </w:r>
      <w:r w:rsidRPr="00A151A1">
        <w:tab/>
        <w:t xml:space="preserve">uznává, že několik evropských obranných společností se již v průběhu času zapojilo do velkých nadnárodních projektů spolupráce v různých oblastech souvisejících s bezpečnostním rozměrem; zdůrazňuje, že tyto případové studie mohou sloužit jako příklady pro navrhování a řízení stěžejních projektů; </w:t>
      </w:r>
      <w:bookmarkStart w:id="13" w:name="_Hlk214892111"/>
      <w:r w:rsidRPr="00A151A1">
        <w:t>zdůrazňuje, že kromě fáze vývoje a výroby by stěžejní projekty měly rovněž zajistit vytvoření společných rámců pro jejich provoz, údržbu a řízení životního cyklu na úrovni Unie;</w:t>
      </w:r>
      <w:bookmarkEnd w:id="13"/>
    </w:p>
    <w:p w14:paraId="17774075" w14:textId="77777777" w:rsidR="008A364E" w:rsidRPr="00A151A1" w:rsidRDefault="008A364E" w:rsidP="00A151A1">
      <w:pPr>
        <w:pStyle w:val="NormalHanging12a"/>
      </w:pPr>
      <w:r w:rsidRPr="00A151A1">
        <w:t>18.</w:t>
      </w:r>
      <w:r w:rsidRPr="00A151A1">
        <w:tab/>
        <w:t>bere na vědomí vytvoření projektů EDPCI jako nového nástroje v rámci programu EDIP; uznává, že by stěžejní projekty také mohly být rozvíjeny v jeho rámci; konstatuje, že projekty EDPCI lze rozvíjet v rámci struktur pro evropský zbrojní program (SEAP); zdůrazňuje, že projekty EDPCI by měly zvýšit interoperabilitu a odolnost dodavatelských řetězců a plně se doplňovat s plánováním schopností NATO, jak je stanoveno v dokumentu „Zachování míru – Plán obranné připravenosti 2030“;</w:t>
      </w:r>
    </w:p>
    <w:p w14:paraId="54F09275" w14:textId="77777777" w:rsidR="008A364E" w:rsidRPr="00A151A1" w:rsidRDefault="008A364E" w:rsidP="00A151A1">
      <w:pPr>
        <w:pStyle w:val="NormalHanging12a"/>
      </w:pPr>
      <w:r w:rsidRPr="00A151A1">
        <w:lastRenderedPageBreak/>
        <w:t>19.</w:t>
      </w:r>
      <w:r w:rsidRPr="00A151A1">
        <w:tab/>
        <w:t xml:space="preserve">vyzývá Komisi, aby usilovala o plné koncepční a procesní sladění prováděcích rámců stěžejních projektů se stávajícími nástroji, jako jsou PESCO, EDF, EDIP a EDPCI, aby tyto nástroje fungovaly soudržně a vzájemně se posilovaly v rámci obranné architektury EU; dále vyzývá Komisi, aby objasnila, jak mají být projekty EDPCI strukturovány a kombinovány v praxi, aby se z nich stal stěžejní projekt, včetně nezbytných mechanismů řízení, posloupnosti a koordinace; </w:t>
      </w:r>
    </w:p>
    <w:p w14:paraId="2C2F770F" w14:textId="77777777" w:rsidR="008A364E" w:rsidRPr="00A151A1" w:rsidRDefault="008A364E" w:rsidP="009E507D">
      <w:pPr>
        <w:spacing w:after="240"/>
        <w:ind w:left="566" w:hanging="566"/>
        <w:rPr>
          <w:szCs w:val="24"/>
        </w:rPr>
      </w:pPr>
      <w:r w:rsidRPr="00A151A1">
        <w:rPr>
          <w:szCs w:val="24"/>
        </w:rPr>
        <w:t>20.</w:t>
      </w:r>
      <w:r w:rsidRPr="00A151A1">
        <w:rPr>
          <w:szCs w:val="24"/>
        </w:rPr>
        <w:tab/>
        <w:t>zdůrazňuje, že je třeba podporovat větší součinnost mezi výzkumem, inovacemi a průmyslovým rozvojem v rámci obranného ekosystému EU; uznává v tomto ohledu přínosnou úlohu příslušných zúčastněných stran, jako jsou výzkumné organizace, akademické instituce, inovační centra, technologická centra a testovací a certifikační orgány ze všech členských států; vyzývá k tomu, aby byla do stěžejních projektů začleněna co nejširší škála průmyslových subjektů, zejména podniků se střední tržní kapitalizací, malých a středních podniků a startupů, a to s cílem umožnit šíření inovací v celém spektru EDTIB a posílit bezpečnost dodávek; vyzývá ke zřízení skupiny na vysoké úrovni pro evropský obranný průmysl, která by zajistila účinnou spolupráci, a k užšímu dialogu a spolupráci s tímto odvětvím v celé Evropě;</w:t>
      </w:r>
    </w:p>
    <w:p w14:paraId="33F74B26" w14:textId="77777777" w:rsidR="008A364E" w:rsidRPr="00A151A1" w:rsidRDefault="008A364E" w:rsidP="009E507D">
      <w:pPr>
        <w:pStyle w:val="NormalHanging12a"/>
        <w:rPr>
          <w:b/>
          <w:i/>
        </w:rPr>
      </w:pPr>
      <w:r w:rsidRPr="00A151A1">
        <w:t>21.</w:t>
      </w:r>
      <w:r w:rsidRPr="00A151A1">
        <w:tab/>
        <w:t>zdůrazňuje, že je důležité zajistit vyváženou geografickou účast na stěžejních projektech, kterých by se mělo účastnit co nejvíce členských států, včetně těch s nově vznikajícím obranným průmyslem; zdůrazňuje, že stěžejní projekty by měly umožnit všem zúčastněným členským státům, aby čerpaly výhody z technologického pokroku a produkčních kapacit, a měly by přispět k posílení schopností a odolnosti v celé Unii jako celku; zdůrazňuje rovněž, že tyto projekty by měly zůstat otevřené účasti nových členských států a že by se měla podporovat a usnadňovat účast dalších členských států v průběhu času; vyzývá k vytvoření flexibilních a inkluzivních mechanismů spolufinancování, které zajistí, aby se všechny členské státy, bez ohledu na jejich ekonomickou velikost, mohly na stěžejních projektech smysluplně podílet;</w:t>
      </w:r>
    </w:p>
    <w:p w14:paraId="310ABC55" w14:textId="77777777" w:rsidR="008A364E" w:rsidRPr="00A151A1" w:rsidRDefault="008A364E" w:rsidP="00A151A1">
      <w:pPr>
        <w:pStyle w:val="NormalHanging12a"/>
      </w:pPr>
      <w:r w:rsidRPr="00A151A1">
        <w:t>22.</w:t>
      </w:r>
      <w:r w:rsidRPr="00A151A1">
        <w:tab/>
        <w:t>zdůrazňuje, že je důležité posílit regionální rozměr strategie EU pro obranný průmysl, a poukazuje na potenciální dopad stěžejních projektů, pokud jde o vedlejší účinky technologií, hospodářské přínosy, kvalifikovaná pracovní místa a sociální soudržnost napříč regiony v EU; vyzývá k zapojení regionálních a místních orgánů a k tomu, aby regiony EU měly příležitost využívat stěžejních projektů, aby se podpořila společná odpovědnost v záležitostech obrany;</w:t>
      </w:r>
    </w:p>
    <w:p w14:paraId="03E7E652" w14:textId="77777777" w:rsidR="008A364E" w:rsidRPr="00A151A1" w:rsidRDefault="008A364E" w:rsidP="00A151A1">
      <w:pPr>
        <w:pStyle w:val="NormalHanging12a"/>
      </w:pPr>
      <w:r w:rsidRPr="00A151A1">
        <w:t>23.</w:t>
      </w:r>
      <w:r w:rsidRPr="00A151A1">
        <w:tab/>
        <w:t>zdůrazňuje, že je třeba zabránit tomu, aby vojenské technologie, zejména citlivé vznikající technologie a kritické zboží dvojího užití, zvláště v oblasti vesmíru, kvantových technologií a umělé inteligence, byly převáděny do nepřátelských zemí nebo k systémovým konkurentům mimo EU; naléhavě vyzývá členské státy, které se účastní stěžejních projektů, aby posílily koordinaci a zavázaly se k dodržování společných přístupů a k vymezení a schválení společné strategie a podmínek pro udělování vývozních licencí zemím mimo EU, které se stěžejních projektů neúčastní, pokud jde o výrobky, které budou výsledkem těchto projektů;</w:t>
      </w:r>
    </w:p>
    <w:p w14:paraId="727B784E" w14:textId="77777777" w:rsidR="008A364E" w:rsidRPr="00A151A1" w:rsidRDefault="008A364E" w:rsidP="009E507D">
      <w:pPr>
        <w:pStyle w:val="NormalHanging12a"/>
        <w:rPr>
          <w:bCs/>
          <w:iCs/>
        </w:rPr>
      </w:pPr>
      <w:r w:rsidRPr="00A151A1">
        <w:t>24.</w:t>
      </w:r>
      <w:r w:rsidRPr="00A151A1">
        <w:tab/>
        <w:t>vyzývá k tomu, aby byl mezi členskými státy účastnícími se stěžejních projektů vytvořen koordinovaný mechanismus kontroly vývozu založeného na posouzení rizik, který bude v souladu s cíli Strategického kompasu EU a s vnitrostátními pravomocemi, výsadami a mezinárodními závazky členských států, a to i v rámci NATO;</w:t>
      </w:r>
    </w:p>
    <w:p w14:paraId="05C34219" w14:textId="77777777" w:rsidR="008A364E" w:rsidRPr="00A151A1" w:rsidRDefault="008A364E" w:rsidP="009E507D">
      <w:pPr>
        <w:spacing w:after="240"/>
        <w:ind w:left="566" w:hanging="566"/>
        <w:rPr>
          <w:b/>
          <w:i/>
          <w:szCs w:val="24"/>
        </w:rPr>
      </w:pPr>
      <w:r w:rsidRPr="00A151A1">
        <w:rPr>
          <w:b/>
          <w:i/>
          <w:szCs w:val="24"/>
        </w:rPr>
        <w:t>Řízení stěžejních projektů a úloha Parlamentu</w:t>
      </w:r>
    </w:p>
    <w:p w14:paraId="4E07B080" w14:textId="77777777" w:rsidR="008A364E" w:rsidRPr="00A151A1" w:rsidRDefault="008A364E" w:rsidP="00A151A1">
      <w:pPr>
        <w:pStyle w:val="NormalHanging12a"/>
      </w:pPr>
      <w:r w:rsidRPr="00A151A1">
        <w:lastRenderedPageBreak/>
        <w:t>25.</w:t>
      </w:r>
      <w:r w:rsidRPr="00A151A1">
        <w:tab/>
        <w:t>vyzývá Komisi a členské státy, aby dále předkládaly návrhy stěžejních projektů, které se budou zabývat rozvojem obranných schopností a umožňovat členským státům lépe slaďovat své vnitrostátní úsilí s dohodnutými obrannými cíli EU a budou v souladu s příslušnými cíli NATO v oblasti rozvoje schopností; zdůrazňuje, že návrhy projektů by měly zohledňovat specifické potřeby členských států, které jsou nejvíce vystaveny riziku naplnění konvenčních vojenských a hybridních hrozeb; zdůrazňuje, že je důležité zapojit obranný průmysl do vymezení priorit a rozsahu budoucích stěžejních projektů;</w:t>
      </w:r>
    </w:p>
    <w:p w14:paraId="180AEEC0" w14:textId="77777777" w:rsidR="008A364E" w:rsidRPr="00A151A1" w:rsidRDefault="008A364E" w:rsidP="00A151A1">
      <w:pPr>
        <w:pStyle w:val="NormalHanging12a"/>
        <w:rPr>
          <w:b/>
          <w:i/>
        </w:rPr>
      </w:pPr>
      <w:r w:rsidRPr="00A151A1">
        <w:t>26.</w:t>
      </w:r>
      <w:r w:rsidRPr="00A151A1">
        <w:tab/>
        <w:t>zdůrazňuje, že výběr stěžejních projektů by měl být založen na zásluhách a transparentních postupech, aby se zajistila vyvážená zeměpisná účast a zabránilo se koncentraci rozhodování nebo průmyslových přínosů v omezeném počtu členských států;</w:t>
      </w:r>
    </w:p>
    <w:p w14:paraId="767603D4" w14:textId="77777777" w:rsidR="008A364E" w:rsidRPr="00A151A1" w:rsidRDefault="008A364E" w:rsidP="00A151A1">
      <w:pPr>
        <w:pStyle w:val="NormalHanging12a"/>
        <w:rPr>
          <w:bCs/>
          <w:iCs/>
        </w:rPr>
      </w:pPr>
      <w:r w:rsidRPr="00A151A1">
        <w:t>27.</w:t>
      </w:r>
      <w:r w:rsidRPr="00A151A1">
        <w:tab/>
        <w:t xml:space="preserve">doporučuje, aby se Komise, vysoká představitelka Unie pro zahraniční věci a bezpečnostní politiku a Evropská obranná agentura v poradní, podpůrné a koordinační roli zapojily do usnadňování provádění stěžejních projektů; poukazuje na zásadní úlohu Vojenského výboru Evropské unie při poskytování strategického </w:t>
      </w:r>
      <w:r w:rsidRPr="009E507D">
        <w:rPr>
          <w:rStyle w:val="Strong"/>
          <w:b w:val="0"/>
          <w:bCs w:val="0"/>
          <w:shd w:val="clear" w:color="auto" w:fill="FFFFFF"/>
        </w:rPr>
        <w:t>vojenského poradenství a doporučení Politickému a bezpečnostnímu výboru</w:t>
      </w:r>
      <w:r w:rsidRPr="009E507D">
        <w:rPr>
          <w:b/>
          <w:shd w:val="clear" w:color="auto" w:fill="FFFFFF"/>
        </w:rPr>
        <w:t>,</w:t>
      </w:r>
      <w:r w:rsidRPr="00A151A1">
        <w:rPr>
          <w:shd w:val="clear" w:color="auto" w:fill="FFFFFF"/>
        </w:rPr>
        <w:t xml:space="preserve"> zejména pokud jde o </w:t>
      </w:r>
      <w:r w:rsidRPr="00A151A1">
        <w:t>rozvoj, posuzování a přezkum cílů v oblasti schopností, a vyzývá v této souvislosti k jeho formálnímu začlenění do rámce pro řízení stěžejních projektů;</w:t>
      </w:r>
    </w:p>
    <w:p w14:paraId="287DD22E" w14:textId="77777777" w:rsidR="008A364E" w:rsidRPr="00A151A1" w:rsidRDefault="008A364E" w:rsidP="00A151A1">
      <w:pPr>
        <w:pStyle w:val="NormalHanging12a"/>
        <w:rPr>
          <w:bCs/>
          <w:iCs/>
        </w:rPr>
      </w:pPr>
      <w:r w:rsidRPr="00A151A1">
        <w:t>28.</w:t>
      </w:r>
      <w:r w:rsidRPr="00A151A1">
        <w:tab/>
        <w:t>zavazuje se, že bude vykonávat svou kontrolní, legislativní a rozpočtovou úlohu v souvislosti s koordinací, prováděním a financováním stěžejních projektů na základě pravidelných a komplexních informací a zpráv, které získá od Komise; poukazuje na svou rozpočtovou pravomoc a odpovědnost, pokud jde o využívání finančních prostředků EU; vyzývá k pravidelnému podávání zpráv veřejnosti a parlamentní kontrole s cílem zajistit odpovědnost a podpořit důvěru ve stěžejní projekty;</w:t>
      </w:r>
    </w:p>
    <w:p w14:paraId="7DF4F36B" w14:textId="77777777" w:rsidR="008A364E" w:rsidRPr="00A151A1" w:rsidRDefault="008A364E" w:rsidP="00A151A1">
      <w:pPr>
        <w:pStyle w:val="NormalHanging12a"/>
        <w:rPr>
          <w:b/>
          <w:i/>
        </w:rPr>
      </w:pPr>
      <w:r w:rsidRPr="00A151A1">
        <w:rPr>
          <w:b/>
          <w:i/>
        </w:rPr>
        <w:t xml:space="preserve">Zajištění dlouhodobého financování stěžejních projektů </w:t>
      </w:r>
    </w:p>
    <w:p w14:paraId="392B3F5D" w14:textId="77777777" w:rsidR="008A364E" w:rsidRPr="00A151A1" w:rsidRDefault="008A364E" w:rsidP="00A151A1">
      <w:pPr>
        <w:pStyle w:val="NormalHanging12a"/>
        <w:rPr>
          <w:bCs/>
          <w:iCs/>
        </w:rPr>
      </w:pPr>
      <w:r w:rsidRPr="00A151A1">
        <w:t>29.</w:t>
      </w:r>
      <w:r w:rsidRPr="00A151A1">
        <w:tab/>
        <w:t>vyzývá k tomu, aby bylo v rámci příštího víceletého finančního rámce vyčleněno odpovídající zvláštní financování, které pro stěžejní projekty zajistí dlouhodobé financování; zdůrazňuje, že je pro stěžejní projekty třeba zajistit odpovídající a vhodné financování, které nebude ohrožovat finanční prostředky přidělené na jiné strategické oblasti rozpočtu EU určeného na obranu; zdůrazňuje, že je třeba vyčlenit část těchto finančních prostředků na odbornou přípravu, rozvoj dovedností a iniciativy zaměřené na udržení talentů;</w:t>
      </w:r>
    </w:p>
    <w:p w14:paraId="4B2AB76A" w14:textId="77777777" w:rsidR="008A364E" w:rsidRPr="00A151A1" w:rsidRDefault="008A364E" w:rsidP="00A151A1">
      <w:pPr>
        <w:pStyle w:val="NormalHanging12a"/>
        <w:rPr>
          <w:bCs/>
          <w:iCs/>
        </w:rPr>
      </w:pPr>
      <w:r w:rsidRPr="00A151A1">
        <w:t>30.</w:t>
      </w:r>
      <w:r w:rsidRPr="00A151A1">
        <w:tab/>
        <w:t xml:space="preserve">zdůrazňuje, že kolektivní rozvoj obranných schopností na úrovni Unie může přinést značné úspory z rozsahu, snížit náklady a zajistit, aby veřejné prostředky a peníze daňových poplatníků byly využívány co nejefektivněji a nejodpovědněji; </w:t>
      </w:r>
    </w:p>
    <w:p w14:paraId="40CB352D" w14:textId="77777777" w:rsidR="008A364E" w:rsidRPr="00A151A1" w:rsidRDefault="008A364E" w:rsidP="00A151A1">
      <w:pPr>
        <w:pStyle w:val="NormalHanging12a"/>
        <w:rPr>
          <w:bCs/>
          <w:iCs/>
        </w:rPr>
      </w:pPr>
      <w:r w:rsidRPr="00A151A1">
        <w:t>31.</w:t>
      </w:r>
      <w:r w:rsidRPr="00A151A1">
        <w:tab/>
        <w:t>sdílí názor vyjádřený v připomínce Evropského účetního dvora týkající se návrhu na EDIP, že doba potřebná k dokončení stěžejních projektů bude pravděpodobně přesahovat dvouleté prováděcí období stanovené v programu EDIP; zdůrazňuje proto, že aby mohly být stěžejní projekty financovány z programu EDIP, musí se dotčené členské státy zavázat ke spolufinancování těchto projektů po celou dobu jejich trvání, a to výrazně nad rámec počátečního dvouletého období; zdůrazňuje, že je důležité dlouhodobě plánovat trvalé investice a průmyslovou kontinuitu, aby se zajistila strategická autonomie Evropy;</w:t>
      </w:r>
    </w:p>
    <w:p w14:paraId="4EC3C6C1" w14:textId="77777777" w:rsidR="008A364E" w:rsidRPr="00A151A1" w:rsidRDefault="008A364E" w:rsidP="00A151A1">
      <w:pPr>
        <w:pStyle w:val="NormalHanging12a"/>
        <w:rPr>
          <w:bCs/>
          <w:iCs/>
        </w:rPr>
      </w:pPr>
      <w:r w:rsidRPr="00A151A1">
        <w:lastRenderedPageBreak/>
        <w:t>32.</w:t>
      </w:r>
      <w:r w:rsidRPr="00A151A1">
        <w:tab/>
        <w:t>zdůrazňuje, že spolufinancování stěžejních projektů by mělo být založeno na řádném řízení a rozpočtovém plánování, nákladové efektivnosti a transparentnosti; vyzývá proto Komisi a členské státy, aby stanovily milníky, ukazatele výkonnosti, pravidelné finanční kontroly a přezkumy výdajů vzniklých při provádění stěžejních projektů;</w:t>
      </w:r>
    </w:p>
    <w:p w14:paraId="47ACB7EC" w14:textId="77777777" w:rsidR="008A364E" w:rsidRPr="00A151A1" w:rsidRDefault="008A364E" w:rsidP="00A151A1">
      <w:pPr>
        <w:pStyle w:val="NormalHanging12a"/>
        <w:rPr>
          <w:bCs/>
          <w:iCs/>
        </w:rPr>
      </w:pPr>
      <w:r w:rsidRPr="00A151A1">
        <w:t>33.</w:t>
      </w:r>
      <w:r w:rsidRPr="00A151A1">
        <w:tab/>
        <w:t>vyzývá členské státy EU, aby zvážily systematické vyčleňování části svých vnitrostátních rozpočtů na obranu na rozvoj iniciativ partnerství a pořizování obranného vybavení, jež bude vyráběno v rámci stěžejních projektů v oblastech, kde společné úsilí generuje přidanou hodnotu, v souladu s čl. 4 odst. 2 Smlouvy o EU a článkem 346 Smlouvy o fungování EU;</w:t>
      </w:r>
    </w:p>
    <w:p w14:paraId="4818C275" w14:textId="77777777" w:rsidR="008A364E" w:rsidRPr="00A151A1" w:rsidRDefault="008A364E" w:rsidP="00A151A1">
      <w:pPr>
        <w:pStyle w:val="NormalHanging12a"/>
        <w:rPr>
          <w:bCs/>
          <w:iCs/>
        </w:rPr>
      </w:pPr>
      <w:r w:rsidRPr="00A151A1">
        <w:t>34.</w:t>
      </w:r>
      <w:r w:rsidRPr="00A151A1">
        <w:tab/>
        <w:t>vybízí členské státy, aby koordinovaly vnitrostátní plánování rozpočtu na obranu s cíli NATO v oblasti schopností, aby se zajistila doplňkovost a zabránilo se roztříštěnosti zdrojů; vyzývá členské státy, aby prozkoumaly způsoby, jak zřídit mimorozpočtový finanční nástroj, který by umožnil sdružování a sdílení některých částí vnitrostátních rozpočtů na obranu na úrovni EU, s cílem pokrýt celý životní cyklus stěžejních projektů;</w:t>
      </w:r>
    </w:p>
    <w:p w14:paraId="256352BF" w14:textId="6E6A20AE" w:rsidR="00B74D1D" w:rsidRPr="00A151A1" w:rsidRDefault="00B74D1D" w:rsidP="009E507D">
      <w:pPr>
        <w:pStyle w:val="NormalHanging12a"/>
        <w:jc w:val="center"/>
        <w:rPr>
          <w:bCs/>
          <w:iCs/>
        </w:rPr>
      </w:pPr>
      <w:r w:rsidRPr="00A151A1">
        <w:rPr>
          <w:bCs/>
          <w:iCs/>
        </w:rPr>
        <w:t>°</w:t>
      </w:r>
    </w:p>
    <w:p w14:paraId="305E77E5" w14:textId="332A4E34" w:rsidR="00B74D1D" w:rsidRPr="00A151A1" w:rsidRDefault="00B74D1D" w:rsidP="009E507D">
      <w:pPr>
        <w:pStyle w:val="NormalHanging12a"/>
        <w:jc w:val="center"/>
        <w:rPr>
          <w:bCs/>
          <w:iCs/>
        </w:rPr>
      </w:pPr>
      <w:r w:rsidRPr="00A151A1">
        <w:rPr>
          <w:bCs/>
          <w:iCs/>
        </w:rPr>
        <w:t>°     °</w:t>
      </w:r>
    </w:p>
    <w:p w14:paraId="4D6C77CF" w14:textId="148619F1" w:rsidR="00F31FFB" w:rsidRPr="00A151A1" w:rsidRDefault="008A364E" w:rsidP="00A151A1">
      <w:pPr>
        <w:pStyle w:val="NormalHanging12a"/>
      </w:pPr>
      <w:r w:rsidRPr="00A151A1">
        <w:t>35.</w:t>
      </w:r>
      <w:r w:rsidRPr="00A151A1">
        <w:tab/>
        <w:t>pověřuje svou předsedkyni, aby předala toto usnesení Radě, Komisi, NATO, Parlamentnímu shromáždění NATO, bezpečnostním a obranným agenturám EU a vládám a parlamentům členských států.</w:t>
      </w:r>
      <w:bookmarkEnd w:id="10"/>
    </w:p>
    <w:p w14:paraId="3118BF61" w14:textId="00417B9A" w:rsidR="00E365E1" w:rsidRPr="00A151A1" w:rsidRDefault="00E365E1" w:rsidP="009E507D">
      <w:pPr>
        <w:spacing w:after="240"/>
        <w:ind w:left="566" w:hanging="566"/>
        <w:rPr>
          <w:szCs w:val="24"/>
        </w:rPr>
      </w:pPr>
    </w:p>
    <w:sectPr w:rsidR="00E365E1" w:rsidRPr="00A151A1" w:rsidSect="00F31FF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0DF9E" w14:textId="77777777" w:rsidR="003D5D68" w:rsidRPr="00F31FFB" w:rsidRDefault="003D5D68">
      <w:r w:rsidRPr="00F31FFB">
        <w:separator/>
      </w:r>
    </w:p>
  </w:endnote>
  <w:endnote w:type="continuationSeparator" w:id="0">
    <w:p w14:paraId="34687C7E" w14:textId="77777777" w:rsidR="003D5D68" w:rsidRPr="00F31FFB" w:rsidRDefault="003D5D68">
      <w:r w:rsidRPr="00F31F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3A359" w14:textId="77777777" w:rsidR="00064002" w:rsidRPr="00F31FF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BEA71" w14:textId="77777777" w:rsidR="00064002" w:rsidRPr="00F31FF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F4E37" w14:textId="77777777" w:rsidR="00064002" w:rsidRPr="00F31FF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BA8C7" w14:textId="77777777" w:rsidR="003D5D68" w:rsidRPr="00F31FFB" w:rsidRDefault="003D5D68">
      <w:r w:rsidRPr="00F31FFB">
        <w:separator/>
      </w:r>
    </w:p>
  </w:footnote>
  <w:footnote w:type="continuationSeparator" w:id="0">
    <w:p w14:paraId="6A2A82D8" w14:textId="77777777" w:rsidR="003D5D68" w:rsidRPr="00F31FFB" w:rsidRDefault="003D5D68">
      <w:r w:rsidRPr="00F31FFB">
        <w:continuationSeparator/>
      </w:r>
    </w:p>
  </w:footnote>
  <w:footnote w:id="1">
    <w:p w14:paraId="06A9E848" w14:textId="242F9667" w:rsidR="006902AC" w:rsidRPr="009E507D" w:rsidRDefault="006902AC" w:rsidP="009E507D">
      <w:pPr>
        <w:pStyle w:val="FootnoteText"/>
        <w:ind w:left="567" w:hanging="567"/>
        <w:rPr>
          <w:sz w:val="24"/>
          <w:szCs w:val="24"/>
          <w:lang w:val="cs-CZ"/>
        </w:rPr>
      </w:pPr>
      <w:r w:rsidRPr="009E507D">
        <w:rPr>
          <w:rStyle w:val="FootnoteReference"/>
          <w:sz w:val="24"/>
          <w:szCs w:val="24"/>
        </w:rPr>
        <w:footnoteRef/>
      </w:r>
      <w:r w:rsidRPr="009E507D">
        <w:rPr>
          <w:sz w:val="24"/>
          <w:szCs w:val="24"/>
          <w:lang w:val="cs-CZ"/>
        </w:rPr>
        <w:t xml:space="preserve"> </w:t>
      </w:r>
      <w:r w:rsidRPr="009E507D">
        <w:rPr>
          <w:sz w:val="24"/>
          <w:szCs w:val="24"/>
          <w:lang w:val="cs-CZ"/>
        </w:rPr>
        <w:tab/>
      </w:r>
      <w:proofErr w:type="spellStart"/>
      <w:r w:rsidRPr="009E507D">
        <w:rPr>
          <w:sz w:val="24"/>
          <w:szCs w:val="24"/>
          <w:lang w:val="cs-CZ"/>
        </w:rPr>
        <w:t>Úř</w:t>
      </w:r>
      <w:proofErr w:type="spellEnd"/>
      <w:r w:rsidRPr="009E507D">
        <w:rPr>
          <w:sz w:val="24"/>
          <w:szCs w:val="24"/>
          <w:lang w:val="cs-CZ"/>
        </w:rPr>
        <w:t xml:space="preserve">. </w:t>
      </w:r>
      <w:proofErr w:type="spellStart"/>
      <w:r w:rsidRPr="009E507D">
        <w:rPr>
          <w:sz w:val="24"/>
          <w:szCs w:val="24"/>
          <w:lang w:val="cs-CZ"/>
        </w:rPr>
        <w:t>věst</w:t>
      </w:r>
      <w:proofErr w:type="spellEnd"/>
      <w:r w:rsidRPr="009E507D">
        <w:rPr>
          <w:sz w:val="24"/>
          <w:szCs w:val="24"/>
          <w:lang w:val="cs-CZ"/>
        </w:rPr>
        <w:t>. L 170, 12.5.2021, s</w:t>
      </w:r>
      <w:r w:rsidR="001770B5">
        <w:rPr>
          <w:sz w:val="24"/>
          <w:szCs w:val="24"/>
          <w:lang w:val="cs-CZ"/>
        </w:rPr>
        <w:t>.</w:t>
      </w:r>
      <w:r w:rsidRPr="009E507D">
        <w:rPr>
          <w:sz w:val="24"/>
          <w:szCs w:val="24"/>
          <w:lang w:val="cs-CZ"/>
        </w:rPr>
        <w:t xml:space="preserve"> 149, ELI: http://data.europa.eu/eli/reg/2021/697/oj.</w:t>
      </w:r>
    </w:p>
  </w:footnote>
  <w:footnote w:id="2">
    <w:p w14:paraId="672E3B87" w14:textId="5958D533" w:rsidR="008A364E" w:rsidRPr="00F31FFB" w:rsidRDefault="008A364E" w:rsidP="00F31FFB">
      <w:pPr>
        <w:pStyle w:val="FootnoteText"/>
        <w:ind w:left="567" w:hanging="567"/>
        <w:rPr>
          <w:sz w:val="24"/>
          <w:lang w:val="cs-CZ"/>
        </w:rPr>
      </w:pPr>
      <w:r w:rsidRPr="006902AC">
        <w:rPr>
          <w:rStyle w:val="FootnoteReference"/>
          <w:sz w:val="24"/>
          <w:szCs w:val="24"/>
          <w:lang w:val="cs-CZ"/>
        </w:rPr>
        <w:footnoteRef/>
      </w:r>
      <w:r w:rsidR="00F31FFB" w:rsidRPr="006902AC">
        <w:rPr>
          <w:sz w:val="24"/>
          <w:szCs w:val="24"/>
          <w:lang w:val="cs-CZ"/>
        </w:rPr>
        <w:t xml:space="preserve"> </w:t>
      </w:r>
      <w:r w:rsidR="00F31FFB" w:rsidRPr="006902AC">
        <w:rPr>
          <w:sz w:val="24"/>
          <w:szCs w:val="24"/>
          <w:lang w:val="cs-CZ"/>
        </w:rPr>
        <w:tab/>
      </w:r>
      <w:proofErr w:type="spellStart"/>
      <w:r w:rsidRPr="006902AC">
        <w:rPr>
          <w:sz w:val="24"/>
          <w:szCs w:val="24"/>
          <w:lang w:val="cs-CZ"/>
        </w:rPr>
        <w:t>Úř</w:t>
      </w:r>
      <w:proofErr w:type="spellEnd"/>
      <w:r w:rsidRPr="006902AC">
        <w:rPr>
          <w:sz w:val="24"/>
          <w:szCs w:val="24"/>
          <w:lang w:val="cs-CZ"/>
        </w:rPr>
        <w:t xml:space="preserve">. </w:t>
      </w:r>
      <w:proofErr w:type="spellStart"/>
      <w:r w:rsidRPr="006902AC">
        <w:rPr>
          <w:sz w:val="24"/>
          <w:szCs w:val="24"/>
          <w:lang w:val="cs-CZ"/>
        </w:rPr>
        <w:t>věst</w:t>
      </w:r>
      <w:proofErr w:type="spellEnd"/>
      <w:r w:rsidRPr="006902AC">
        <w:rPr>
          <w:sz w:val="24"/>
          <w:szCs w:val="24"/>
          <w:lang w:val="cs-CZ"/>
        </w:rPr>
        <w:t xml:space="preserve">. L, 2025/2643, 29.12.2025, ELI: </w:t>
      </w:r>
      <w:hyperlink r:id="rId1" w:history="1">
        <w:r w:rsidRPr="006902AC">
          <w:rPr>
            <w:rStyle w:val="Hyperlink"/>
            <w:sz w:val="24"/>
            <w:szCs w:val="24"/>
            <w:lang w:val="cs-CZ"/>
          </w:rPr>
          <w:t>http://data.europa.eu/eli/reg/2025/2643/oj</w:t>
        </w:r>
      </w:hyperlink>
      <w:r w:rsidRPr="006902AC">
        <w:rPr>
          <w:sz w:val="24"/>
          <w:szCs w:val="24"/>
          <w:lang w:val="cs-CZ"/>
        </w:rPr>
        <w:t>.</w:t>
      </w:r>
    </w:p>
  </w:footnote>
  <w:footnote w:id="3">
    <w:p w14:paraId="73AEAAEB" w14:textId="3FF7FCF7" w:rsidR="008A364E" w:rsidRPr="00F31FFB" w:rsidRDefault="008A364E" w:rsidP="00F31FFB">
      <w:pPr>
        <w:pStyle w:val="FootnoteText"/>
        <w:ind w:left="567" w:hanging="567"/>
        <w:rPr>
          <w:sz w:val="24"/>
          <w:lang w:val="cs-CZ"/>
        </w:rPr>
      </w:pPr>
      <w:r w:rsidRPr="00F31FFB">
        <w:rPr>
          <w:rStyle w:val="FootnoteReference"/>
          <w:sz w:val="24"/>
          <w:lang w:val="cs-CZ"/>
        </w:rPr>
        <w:footnoteRef/>
      </w:r>
      <w:r w:rsidR="00F31FFB" w:rsidRPr="00F31FFB">
        <w:rPr>
          <w:sz w:val="24"/>
          <w:lang w:val="cs-CZ"/>
        </w:rPr>
        <w:t xml:space="preserve"> </w:t>
      </w:r>
      <w:r w:rsidR="00F31FFB" w:rsidRPr="00F31FFB">
        <w:rPr>
          <w:sz w:val="24"/>
          <w:lang w:val="cs-CZ"/>
        </w:rPr>
        <w:tab/>
      </w:r>
      <w:proofErr w:type="spellStart"/>
      <w:r w:rsidRPr="00F31FFB">
        <w:rPr>
          <w:sz w:val="24"/>
          <w:lang w:val="cs-CZ"/>
        </w:rPr>
        <w:t>Úř</w:t>
      </w:r>
      <w:proofErr w:type="spellEnd"/>
      <w:r w:rsidRPr="00F31FFB">
        <w:rPr>
          <w:sz w:val="24"/>
          <w:lang w:val="cs-CZ"/>
        </w:rPr>
        <w:t xml:space="preserve">. </w:t>
      </w:r>
      <w:proofErr w:type="spellStart"/>
      <w:r w:rsidRPr="00F31FFB">
        <w:rPr>
          <w:sz w:val="24"/>
          <w:lang w:val="cs-CZ"/>
        </w:rPr>
        <w:t>věst</w:t>
      </w:r>
      <w:proofErr w:type="spellEnd"/>
      <w:r w:rsidRPr="00F31FFB">
        <w:rPr>
          <w:sz w:val="24"/>
          <w:lang w:val="cs-CZ"/>
        </w:rPr>
        <w:t xml:space="preserve">. L, 2025/1106, 28.5.2025, ELI: </w:t>
      </w:r>
      <w:hyperlink r:id="rId2" w:history="1">
        <w:r w:rsidRPr="00F31FFB">
          <w:rPr>
            <w:rStyle w:val="Hyperlink"/>
            <w:sz w:val="24"/>
            <w:lang w:val="cs-CZ"/>
          </w:rPr>
          <w:t>http://data.europa.eu/eli/reg/2025/1106/oj</w:t>
        </w:r>
      </w:hyperlink>
      <w:r w:rsidRPr="00F31FFB">
        <w:rPr>
          <w:sz w:val="24"/>
          <w:lang w:val="cs-CZ"/>
        </w:rPr>
        <w:t>.</w:t>
      </w:r>
    </w:p>
  </w:footnote>
  <w:footnote w:id="4">
    <w:p w14:paraId="0EDFE366" w14:textId="27B057BD" w:rsidR="008A364E" w:rsidRPr="00F31FFB" w:rsidRDefault="008A364E" w:rsidP="00F31FFB">
      <w:pPr>
        <w:pStyle w:val="FootnoteText"/>
        <w:ind w:left="567" w:hanging="567"/>
        <w:rPr>
          <w:sz w:val="24"/>
          <w:lang w:val="cs-CZ"/>
        </w:rPr>
      </w:pPr>
      <w:r w:rsidRPr="00F31FFB">
        <w:rPr>
          <w:rStyle w:val="FootnoteReference"/>
          <w:sz w:val="24"/>
          <w:lang w:val="cs-CZ"/>
        </w:rPr>
        <w:footnoteRef/>
      </w:r>
      <w:r w:rsidR="00F31FFB" w:rsidRPr="00F31FFB">
        <w:rPr>
          <w:sz w:val="24"/>
          <w:lang w:val="cs-CZ"/>
        </w:rPr>
        <w:t xml:space="preserve"> </w:t>
      </w:r>
      <w:r w:rsidR="00F31FFB" w:rsidRPr="00F31FFB">
        <w:rPr>
          <w:sz w:val="24"/>
          <w:lang w:val="cs-CZ"/>
        </w:rPr>
        <w:tab/>
      </w:r>
      <w:proofErr w:type="spellStart"/>
      <w:r w:rsidRPr="00F31FFB">
        <w:rPr>
          <w:sz w:val="24"/>
          <w:lang w:val="cs-CZ"/>
        </w:rPr>
        <w:t>Úř</w:t>
      </w:r>
      <w:proofErr w:type="spellEnd"/>
      <w:r w:rsidRPr="00F31FFB">
        <w:rPr>
          <w:sz w:val="24"/>
          <w:lang w:val="cs-CZ"/>
        </w:rPr>
        <w:t xml:space="preserve">. </w:t>
      </w:r>
      <w:proofErr w:type="spellStart"/>
      <w:r w:rsidRPr="00F31FFB">
        <w:rPr>
          <w:sz w:val="24"/>
          <w:lang w:val="cs-CZ"/>
        </w:rPr>
        <w:t>věst</w:t>
      </w:r>
      <w:proofErr w:type="spellEnd"/>
      <w:r w:rsidRPr="00F31FFB">
        <w:rPr>
          <w:sz w:val="24"/>
          <w:lang w:val="cs-CZ"/>
        </w:rPr>
        <w:t xml:space="preserve">. L 335, 13.12.2008, s. 99, ELI: </w:t>
      </w:r>
      <w:hyperlink r:id="rId3" w:history="1">
        <w:r w:rsidRPr="00F31FFB">
          <w:rPr>
            <w:rStyle w:val="Hyperlink"/>
            <w:sz w:val="24"/>
            <w:lang w:val="cs-CZ"/>
          </w:rPr>
          <w:t>http://data.europa.eu/eli/compos/2008/944/oj</w:t>
        </w:r>
      </w:hyperlink>
      <w:r w:rsidRPr="00F31FFB">
        <w:rPr>
          <w:sz w:val="24"/>
          <w:lang w:val="cs-CZ"/>
        </w:rPr>
        <w:t>.</w:t>
      </w:r>
    </w:p>
  </w:footnote>
  <w:footnote w:id="5">
    <w:p w14:paraId="3E23746E" w14:textId="3322B67E" w:rsidR="008A364E" w:rsidRPr="00F31FFB" w:rsidRDefault="008A364E" w:rsidP="00F31FFB">
      <w:pPr>
        <w:pStyle w:val="FootnoteText"/>
        <w:ind w:left="567" w:hanging="567"/>
        <w:rPr>
          <w:sz w:val="24"/>
          <w:lang w:val="cs-CZ"/>
        </w:rPr>
      </w:pPr>
      <w:r w:rsidRPr="00F31FFB">
        <w:rPr>
          <w:rStyle w:val="FootnoteReference"/>
          <w:sz w:val="24"/>
          <w:lang w:val="cs-CZ"/>
        </w:rPr>
        <w:footnoteRef/>
      </w:r>
      <w:r w:rsidR="00F31FFB" w:rsidRPr="00F31FFB">
        <w:rPr>
          <w:sz w:val="24"/>
          <w:lang w:val="cs-CZ"/>
        </w:rPr>
        <w:t xml:space="preserve"> </w:t>
      </w:r>
      <w:r w:rsidR="00F31FFB" w:rsidRPr="00F31FFB">
        <w:rPr>
          <w:sz w:val="24"/>
          <w:lang w:val="cs-CZ"/>
        </w:rPr>
        <w:tab/>
      </w:r>
      <w:proofErr w:type="spellStart"/>
      <w:r w:rsidRPr="00F31FFB">
        <w:rPr>
          <w:sz w:val="24"/>
          <w:lang w:val="cs-CZ"/>
        </w:rPr>
        <w:t>Úř</w:t>
      </w:r>
      <w:proofErr w:type="spellEnd"/>
      <w:r w:rsidRPr="00F31FFB">
        <w:rPr>
          <w:sz w:val="24"/>
          <w:lang w:val="cs-CZ"/>
        </w:rPr>
        <w:t xml:space="preserve">. </w:t>
      </w:r>
      <w:proofErr w:type="spellStart"/>
      <w:r w:rsidRPr="00F31FFB">
        <w:rPr>
          <w:sz w:val="24"/>
          <w:lang w:val="cs-CZ"/>
        </w:rPr>
        <w:t>věst</w:t>
      </w:r>
      <w:proofErr w:type="spellEnd"/>
      <w:r w:rsidRPr="00F31FFB">
        <w:rPr>
          <w:sz w:val="24"/>
          <w:lang w:val="cs-CZ"/>
        </w:rPr>
        <w:t xml:space="preserve">. C, C/2025/3151, 20.6.2025, ELI: </w:t>
      </w:r>
      <w:hyperlink r:id="rId4" w:history="1">
        <w:r w:rsidRPr="00F31FFB">
          <w:rPr>
            <w:rStyle w:val="Hyperlink"/>
            <w:sz w:val="24"/>
            <w:lang w:val="cs-CZ"/>
          </w:rPr>
          <w:t>http://data.europa.eu/eli/C/2025/3151/oj</w:t>
        </w:r>
      </w:hyperlink>
      <w:r w:rsidRPr="00F31FFB">
        <w:rPr>
          <w:sz w:val="24"/>
          <w:lang w:val="cs-CZ"/>
        </w:rPr>
        <w:t>.</w:t>
      </w:r>
    </w:p>
  </w:footnote>
  <w:footnote w:id="6">
    <w:p w14:paraId="71367886" w14:textId="55BFC887" w:rsidR="008A364E" w:rsidRPr="00F31FFB" w:rsidRDefault="008A364E" w:rsidP="00F31FFB">
      <w:pPr>
        <w:pStyle w:val="FootnoteText"/>
        <w:ind w:left="567" w:hanging="567"/>
        <w:rPr>
          <w:sz w:val="24"/>
          <w:lang w:val="cs-CZ"/>
        </w:rPr>
      </w:pPr>
      <w:r w:rsidRPr="00F31FFB">
        <w:rPr>
          <w:rStyle w:val="FootnoteReference"/>
          <w:sz w:val="24"/>
          <w:lang w:val="cs-CZ"/>
        </w:rPr>
        <w:footnoteRef/>
      </w:r>
      <w:r w:rsidR="00F31FFB" w:rsidRPr="00F31FFB">
        <w:rPr>
          <w:sz w:val="24"/>
          <w:lang w:val="cs-CZ"/>
        </w:rPr>
        <w:t xml:space="preserve"> </w:t>
      </w:r>
      <w:r w:rsidR="00F31FFB" w:rsidRPr="00F31FFB">
        <w:rPr>
          <w:sz w:val="24"/>
          <w:lang w:val="cs-CZ"/>
        </w:rPr>
        <w:tab/>
      </w:r>
      <w:proofErr w:type="spellStart"/>
      <w:r w:rsidRPr="00F31FFB">
        <w:rPr>
          <w:sz w:val="24"/>
          <w:lang w:val="cs-CZ"/>
        </w:rPr>
        <w:t>Úř</w:t>
      </w:r>
      <w:proofErr w:type="spellEnd"/>
      <w:r w:rsidRPr="00F31FFB">
        <w:rPr>
          <w:sz w:val="24"/>
          <w:lang w:val="cs-CZ"/>
        </w:rPr>
        <w:t xml:space="preserve">. </w:t>
      </w:r>
      <w:proofErr w:type="spellStart"/>
      <w:r w:rsidRPr="00F31FFB">
        <w:rPr>
          <w:sz w:val="24"/>
          <w:lang w:val="cs-CZ"/>
        </w:rPr>
        <w:t>věst</w:t>
      </w:r>
      <w:proofErr w:type="spellEnd"/>
      <w:r w:rsidRPr="00F31FFB">
        <w:rPr>
          <w:sz w:val="24"/>
          <w:lang w:val="cs-CZ"/>
        </w:rPr>
        <w:t xml:space="preserve">. C, C/2025/4389, 9.9.2025, ELI: </w:t>
      </w:r>
      <w:hyperlink r:id="rId5" w:history="1">
        <w:r w:rsidRPr="00F31FFB">
          <w:rPr>
            <w:rStyle w:val="Hyperlink"/>
            <w:sz w:val="24"/>
            <w:lang w:val="cs-CZ"/>
          </w:rPr>
          <w:t>http://data.europa.eu/eli/C/2025/4389/oj</w:t>
        </w:r>
      </w:hyperlink>
      <w:r w:rsidRPr="00F31FFB">
        <w:rPr>
          <w:sz w:val="24"/>
          <w:lang w:val="cs-CZ"/>
        </w:rPr>
        <w:t>.</w:t>
      </w:r>
    </w:p>
  </w:footnote>
  <w:footnote w:id="7">
    <w:p w14:paraId="51BAA158" w14:textId="3C4117F0" w:rsidR="008A364E" w:rsidRPr="00F31FFB" w:rsidRDefault="008A364E" w:rsidP="00F31FFB">
      <w:pPr>
        <w:pStyle w:val="FootnoteText"/>
        <w:ind w:left="567" w:hanging="567"/>
        <w:rPr>
          <w:sz w:val="24"/>
          <w:lang w:val="cs-CZ"/>
        </w:rPr>
      </w:pPr>
      <w:r w:rsidRPr="00F31FFB">
        <w:rPr>
          <w:rStyle w:val="FootnoteReference"/>
          <w:sz w:val="24"/>
          <w:lang w:val="cs-CZ"/>
        </w:rPr>
        <w:footnoteRef/>
      </w:r>
      <w:r w:rsidR="00F31FFB" w:rsidRPr="00F31FFB">
        <w:rPr>
          <w:sz w:val="24"/>
          <w:lang w:val="cs-CZ"/>
        </w:rPr>
        <w:t xml:space="preserve"> </w:t>
      </w:r>
      <w:r w:rsidR="00F31FFB" w:rsidRPr="00F31FFB">
        <w:rPr>
          <w:sz w:val="24"/>
          <w:lang w:val="cs-CZ"/>
        </w:rPr>
        <w:tab/>
      </w:r>
      <w:r w:rsidRPr="00F31FFB">
        <w:rPr>
          <w:sz w:val="24"/>
          <w:lang w:val="cs-CZ"/>
        </w:rPr>
        <w:t>Viz strana 3 společného sdělení nazvaného „Zachování míru – Plán obranné připravenosti 2030“.</w:t>
      </w:r>
    </w:p>
  </w:footnote>
  <w:footnote w:id="8">
    <w:p w14:paraId="7FCC7FC3" w14:textId="038C0314" w:rsidR="008A364E" w:rsidRPr="00F31FFB" w:rsidRDefault="008A364E" w:rsidP="00F31FFB">
      <w:pPr>
        <w:pStyle w:val="FootnoteText"/>
        <w:ind w:left="567" w:hanging="567"/>
        <w:rPr>
          <w:sz w:val="24"/>
          <w:lang w:val="cs-CZ"/>
        </w:rPr>
      </w:pPr>
      <w:r w:rsidRPr="00F31FFB">
        <w:rPr>
          <w:rStyle w:val="FootnoteReference"/>
          <w:sz w:val="24"/>
          <w:lang w:val="cs-CZ"/>
        </w:rPr>
        <w:footnoteRef/>
      </w:r>
      <w:r w:rsidR="00F31FFB" w:rsidRPr="00F31FFB">
        <w:rPr>
          <w:sz w:val="24"/>
          <w:lang w:val="cs-CZ"/>
        </w:rPr>
        <w:t xml:space="preserve"> </w:t>
      </w:r>
      <w:r w:rsidR="00F31FFB" w:rsidRPr="00F31FFB">
        <w:rPr>
          <w:sz w:val="24"/>
          <w:lang w:val="cs-CZ"/>
        </w:rPr>
        <w:tab/>
      </w:r>
      <w:proofErr w:type="spellStart"/>
      <w:r w:rsidRPr="00F31FFB">
        <w:rPr>
          <w:sz w:val="24"/>
          <w:lang w:val="cs-CZ"/>
        </w:rPr>
        <w:t>Úř</w:t>
      </w:r>
      <w:proofErr w:type="spellEnd"/>
      <w:r w:rsidRPr="00F31FFB">
        <w:rPr>
          <w:sz w:val="24"/>
          <w:lang w:val="cs-CZ"/>
        </w:rPr>
        <w:t xml:space="preserve">. </w:t>
      </w:r>
      <w:proofErr w:type="spellStart"/>
      <w:r w:rsidRPr="00F31FFB">
        <w:rPr>
          <w:sz w:val="24"/>
          <w:lang w:val="cs-CZ"/>
        </w:rPr>
        <w:t>věst</w:t>
      </w:r>
      <w:proofErr w:type="spellEnd"/>
      <w:r w:rsidRPr="00F31FFB">
        <w:rPr>
          <w:sz w:val="24"/>
          <w:lang w:val="cs-CZ"/>
        </w:rPr>
        <w:t xml:space="preserve">. L 1, 3.1.1994, s. 3, ELI: </w:t>
      </w:r>
      <w:hyperlink r:id="rId6" w:history="1">
        <w:r w:rsidRPr="00F31FFB">
          <w:rPr>
            <w:rStyle w:val="Hyperlink"/>
            <w:sz w:val="24"/>
            <w:lang w:val="cs-CZ"/>
          </w:rPr>
          <w:t>http://data.europa.eu/eli/agree_internation/1994/1/oj</w:t>
        </w:r>
      </w:hyperlink>
      <w:r w:rsidRPr="00F31FFB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A772B" w14:textId="77777777" w:rsidR="00064002" w:rsidRPr="00F31FF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27945" w14:textId="77777777" w:rsidR="00064002" w:rsidRPr="00F31FF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05F7A" w14:textId="77777777" w:rsidR="00064002" w:rsidRPr="00F31FF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hybridMultilevel"/>
    <w:tmpl w:val="00000001"/>
    <w:lvl w:ilvl="0" w:tplc="516612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EFD8E8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CA6BD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41D283D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57C023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AC468C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EF4E26E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A5A6C2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32AB2C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 w15:restartNumberingAfterBreak="0">
    <w:nsid w:val="00000002"/>
    <w:multiLevelType w:val="hybridMultilevel"/>
    <w:tmpl w:val="00000001"/>
    <w:lvl w:ilvl="0" w:tplc="EA600AFC">
      <w:start w:val="1"/>
      <w:numFmt w:val="bullet"/>
      <w:pStyle w:val="Normal12Bullet2"/>
      <w:lvlText w:val="o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CBD2C84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E96421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588A48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F1467F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1C6F81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BC4B42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18451B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CAAFA9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48475606">
    <w:abstractNumId w:val="9"/>
  </w:num>
  <w:num w:numId="2" w16cid:durableId="935020544">
    <w:abstractNumId w:val="9"/>
  </w:num>
  <w:num w:numId="3" w16cid:durableId="2167447">
    <w:abstractNumId w:val="7"/>
  </w:num>
  <w:num w:numId="4" w16cid:durableId="112553964">
    <w:abstractNumId w:val="7"/>
  </w:num>
  <w:num w:numId="5" w16cid:durableId="2007320679">
    <w:abstractNumId w:val="6"/>
  </w:num>
  <w:num w:numId="6" w16cid:durableId="1131704744">
    <w:abstractNumId w:val="6"/>
  </w:num>
  <w:num w:numId="7" w16cid:durableId="937449715">
    <w:abstractNumId w:val="5"/>
  </w:num>
  <w:num w:numId="8" w16cid:durableId="505949437">
    <w:abstractNumId w:val="5"/>
  </w:num>
  <w:num w:numId="9" w16cid:durableId="1711614418">
    <w:abstractNumId w:val="4"/>
  </w:num>
  <w:num w:numId="10" w16cid:durableId="1090857377">
    <w:abstractNumId w:val="4"/>
  </w:num>
  <w:num w:numId="11" w16cid:durableId="2085254216">
    <w:abstractNumId w:val="8"/>
  </w:num>
  <w:num w:numId="12" w16cid:durableId="2096003302">
    <w:abstractNumId w:val="8"/>
  </w:num>
  <w:num w:numId="13" w16cid:durableId="908463715">
    <w:abstractNumId w:val="3"/>
  </w:num>
  <w:num w:numId="14" w16cid:durableId="1321353508">
    <w:abstractNumId w:val="3"/>
  </w:num>
  <w:num w:numId="15" w16cid:durableId="1265961288">
    <w:abstractNumId w:val="2"/>
  </w:num>
  <w:num w:numId="16" w16cid:durableId="1958177843">
    <w:abstractNumId w:val="2"/>
  </w:num>
  <w:num w:numId="17" w16cid:durableId="1217660605">
    <w:abstractNumId w:val="1"/>
  </w:num>
  <w:num w:numId="18" w16cid:durableId="868102377">
    <w:abstractNumId w:val="1"/>
  </w:num>
  <w:num w:numId="19" w16cid:durableId="192617195">
    <w:abstractNumId w:val="0"/>
  </w:num>
  <w:num w:numId="20" w16cid:durableId="1941520183">
    <w:abstractNumId w:val="0"/>
  </w:num>
  <w:num w:numId="21" w16cid:durableId="518930780">
    <w:abstractNumId w:val="9"/>
  </w:num>
  <w:num w:numId="22" w16cid:durableId="714542822">
    <w:abstractNumId w:val="7"/>
  </w:num>
  <w:num w:numId="23" w16cid:durableId="1483354678">
    <w:abstractNumId w:val="6"/>
  </w:num>
  <w:num w:numId="24" w16cid:durableId="988822631">
    <w:abstractNumId w:val="5"/>
  </w:num>
  <w:num w:numId="25" w16cid:durableId="1827937136">
    <w:abstractNumId w:val="4"/>
  </w:num>
  <w:num w:numId="26" w16cid:durableId="727000455">
    <w:abstractNumId w:val="8"/>
  </w:num>
  <w:num w:numId="27" w16cid:durableId="1191991489">
    <w:abstractNumId w:val="3"/>
  </w:num>
  <w:num w:numId="28" w16cid:durableId="480392655">
    <w:abstractNumId w:val="2"/>
  </w:num>
  <w:num w:numId="29" w16cid:durableId="1660230936">
    <w:abstractNumId w:val="1"/>
  </w:num>
  <w:num w:numId="30" w16cid:durableId="1555197253">
    <w:abstractNumId w:val="0"/>
  </w:num>
  <w:num w:numId="31" w16cid:durableId="1909001272">
    <w:abstractNumId w:val="9"/>
  </w:num>
  <w:num w:numId="32" w16cid:durableId="1559901269">
    <w:abstractNumId w:val="7"/>
  </w:num>
  <w:num w:numId="33" w16cid:durableId="797987622">
    <w:abstractNumId w:val="6"/>
  </w:num>
  <w:num w:numId="34" w16cid:durableId="2060663386">
    <w:abstractNumId w:val="5"/>
  </w:num>
  <w:num w:numId="35" w16cid:durableId="1047875811">
    <w:abstractNumId w:val="4"/>
  </w:num>
  <w:num w:numId="36" w16cid:durableId="129977825">
    <w:abstractNumId w:val="8"/>
  </w:num>
  <w:num w:numId="37" w16cid:durableId="1445491658">
    <w:abstractNumId w:val="3"/>
  </w:num>
  <w:num w:numId="38" w16cid:durableId="860632007">
    <w:abstractNumId w:val="2"/>
  </w:num>
  <w:num w:numId="39" w16cid:durableId="375391162">
    <w:abstractNumId w:val="1"/>
  </w:num>
  <w:num w:numId="40" w16cid:durableId="1300376808">
    <w:abstractNumId w:val="0"/>
  </w:num>
  <w:num w:numId="41" w16cid:durableId="855313459">
    <w:abstractNumId w:val="12"/>
  </w:num>
  <w:num w:numId="42" w16cid:durableId="1479302416">
    <w:abstractNumId w:val="12"/>
  </w:num>
  <w:num w:numId="43" w16cid:durableId="2141922217">
    <w:abstractNumId w:val="12"/>
  </w:num>
  <w:num w:numId="44" w16cid:durableId="7410915">
    <w:abstractNumId w:val="13"/>
  </w:num>
  <w:num w:numId="45" w16cid:durableId="893351002">
    <w:abstractNumId w:val="10"/>
  </w:num>
  <w:num w:numId="46" w16cid:durableId="798380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4/2026"/>
    <w:docVar w:name="dvlangue" w:val="CS"/>
    <w:docVar w:name="dvnumam" w:val="38"/>
    <w:docVar w:name="dvpe" w:val="776.841"/>
    <w:docVar w:name="dvrapporteur" w:val="Zpravodajka: "/>
    <w:docVar w:name="dvtitre" w:val="Usnesení Evropského parlamentu ze dne 11. března 2026 o stěžejních evropských obranných projektech společného zájmu(2025/2144(INI))"/>
  </w:docVars>
  <w:rsids>
    <w:rsidRoot w:val="003D5D68"/>
    <w:rsid w:val="00002272"/>
    <w:rsid w:val="00064002"/>
    <w:rsid w:val="000677B9"/>
    <w:rsid w:val="000831BA"/>
    <w:rsid w:val="000A42CC"/>
    <w:rsid w:val="000E7DD9"/>
    <w:rsid w:val="0010095E"/>
    <w:rsid w:val="00125B37"/>
    <w:rsid w:val="001770B5"/>
    <w:rsid w:val="00187494"/>
    <w:rsid w:val="001F32AE"/>
    <w:rsid w:val="002767FF"/>
    <w:rsid w:val="002B18FE"/>
    <w:rsid w:val="002B5493"/>
    <w:rsid w:val="00343214"/>
    <w:rsid w:val="00361C00"/>
    <w:rsid w:val="00395FA1"/>
    <w:rsid w:val="003D5D68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02AC"/>
    <w:rsid w:val="006F4589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364E"/>
    <w:rsid w:val="008C2AC6"/>
    <w:rsid w:val="00930C23"/>
    <w:rsid w:val="0093193B"/>
    <w:rsid w:val="009509D8"/>
    <w:rsid w:val="00950B64"/>
    <w:rsid w:val="00981893"/>
    <w:rsid w:val="009E507D"/>
    <w:rsid w:val="00A151A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5D80"/>
    <w:rsid w:val="00B558F0"/>
    <w:rsid w:val="00B74D1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7583"/>
    <w:rsid w:val="00D834A0"/>
    <w:rsid w:val="00D872DF"/>
    <w:rsid w:val="00D91E21"/>
    <w:rsid w:val="00DA7FCD"/>
    <w:rsid w:val="00E365E1"/>
    <w:rsid w:val="00E503E5"/>
    <w:rsid w:val="00E60A45"/>
    <w:rsid w:val="00E6427F"/>
    <w:rsid w:val="00E820A4"/>
    <w:rsid w:val="00EB006A"/>
    <w:rsid w:val="00EB4772"/>
    <w:rsid w:val="00ED169E"/>
    <w:rsid w:val="00ED4235"/>
    <w:rsid w:val="00F04346"/>
    <w:rsid w:val="00F075DC"/>
    <w:rsid w:val="00F149E9"/>
    <w:rsid w:val="00F31FFB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73E7B9"/>
  <w15:chartTrackingRefBased/>
  <w15:docId w15:val="{B8F0715E-1AE3-4887-9EE7-88194D2BD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8A364E"/>
    <w:rPr>
      <w:b/>
      <w:kern w:val="28"/>
      <w:sz w:val="28"/>
      <w:lang w:val="fr-FR" w:eastAsia="fr-FR"/>
    </w:rPr>
  </w:style>
  <w:style w:type="paragraph" w:styleId="TOCHeading">
    <w:name w:val="TOC Heading"/>
    <w:basedOn w:val="Normal"/>
    <w:next w:val="Normal"/>
    <w:uiPriority w:val="39"/>
    <w:unhideWhenUsed/>
    <w:qFormat/>
    <w:rsid w:val="008A364E"/>
    <w:pPr>
      <w:widowControl/>
      <w:spacing w:after="240"/>
    </w:pPr>
    <w:rPr>
      <w:lang w:val="en-GB"/>
    </w:rPr>
  </w:style>
  <w:style w:type="paragraph" w:customStyle="1" w:styleId="TOCPage">
    <w:name w:val="TOC Page"/>
    <w:basedOn w:val="Normal"/>
    <w:rsid w:val="008A364E"/>
    <w:pPr>
      <w:keepNext/>
      <w:widowControl/>
      <w:spacing w:after="240"/>
      <w:jc w:val="right"/>
    </w:pPr>
    <w:rPr>
      <w:rFonts w:ascii="Arial" w:hAnsi="Arial"/>
      <w:b/>
      <w:szCs w:val="24"/>
      <w:lang w:eastAsia="en-US"/>
    </w:rPr>
  </w:style>
  <w:style w:type="paragraph" w:customStyle="1" w:styleId="PageHeading">
    <w:name w:val="PageHeading"/>
    <w:basedOn w:val="Normal"/>
    <w:rsid w:val="008A364E"/>
    <w:pPr>
      <w:keepNext/>
      <w:widowControl/>
      <w:spacing w:after="480"/>
      <w:jc w:val="center"/>
    </w:pPr>
    <w:rPr>
      <w:rFonts w:ascii="Arial" w:eastAsia="Arial" w:hAnsi="Arial" w:cs="Arial"/>
      <w:b/>
      <w:szCs w:val="24"/>
      <w:lang w:eastAsia="en-US"/>
    </w:rPr>
  </w:style>
  <w:style w:type="paragraph" w:customStyle="1" w:styleId="EPComma">
    <w:name w:val="EPComma"/>
    <w:basedOn w:val="Normal"/>
    <w:rsid w:val="008A364E"/>
    <w:pPr>
      <w:widowControl/>
      <w:spacing w:before="480" w:after="240"/>
    </w:pPr>
    <w:rPr>
      <w:szCs w:val="24"/>
      <w:lang w:eastAsia="en-US"/>
    </w:rPr>
  </w:style>
  <w:style w:type="paragraph" w:customStyle="1" w:styleId="NormalBold">
    <w:name w:val="NormalBold"/>
    <w:basedOn w:val="Normal"/>
    <w:rsid w:val="008A364E"/>
    <w:pPr>
      <w:widowControl/>
    </w:pPr>
    <w:rPr>
      <w:b/>
      <w:szCs w:val="24"/>
      <w:lang w:eastAsia="en-US"/>
    </w:rPr>
  </w:style>
  <w:style w:type="paragraph" w:customStyle="1" w:styleId="EPFooter2">
    <w:name w:val="EPFooter2"/>
    <w:basedOn w:val="Normal"/>
    <w:next w:val="Normal"/>
    <w:rsid w:val="008A364E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  <w:szCs w:val="24"/>
      <w:lang w:eastAsia="en-US"/>
    </w:rPr>
  </w:style>
  <w:style w:type="paragraph" w:customStyle="1" w:styleId="Normal12a">
    <w:name w:val="Normal12a"/>
    <w:basedOn w:val="Normal"/>
    <w:rsid w:val="008A364E"/>
    <w:pPr>
      <w:widowControl/>
      <w:spacing w:after="240"/>
    </w:pPr>
    <w:rPr>
      <w:szCs w:val="24"/>
      <w:lang w:eastAsia="en-US"/>
    </w:rPr>
  </w:style>
  <w:style w:type="paragraph" w:customStyle="1" w:styleId="CoverNormal24a">
    <w:name w:val="CoverNormal24a"/>
    <w:basedOn w:val="Normal"/>
    <w:rsid w:val="008A364E"/>
    <w:pPr>
      <w:widowControl/>
      <w:spacing w:after="480"/>
      <w:ind w:left="1416"/>
    </w:pPr>
    <w:rPr>
      <w:szCs w:val="24"/>
      <w:lang w:eastAsia="en-US"/>
    </w:rPr>
  </w:style>
  <w:style w:type="paragraph" w:customStyle="1" w:styleId="CoverNormal">
    <w:name w:val="CoverNormal"/>
    <w:basedOn w:val="Normal"/>
    <w:rsid w:val="008A364E"/>
    <w:pPr>
      <w:widowControl/>
      <w:ind w:left="1418"/>
    </w:pPr>
    <w:rPr>
      <w:szCs w:val="24"/>
      <w:lang w:eastAsia="en-US"/>
    </w:rPr>
  </w:style>
  <w:style w:type="paragraph" w:customStyle="1" w:styleId="CoverReference">
    <w:name w:val="CoverReference"/>
    <w:basedOn w:val="Normal"/>
    <w:rsid w:val="008A364E"/>
    <w:pPr>
      <w:widowControl/>
      <w:spacing w:before="1080"/>
      <w:jc w:val="right"/>
    </w:pPr>
    <w:rPr>
      <w:rFonts w:ascii="Arial" w:hAnsi="Arial"/>
      <w:b/>
      <w:szCs w:val="24"/>
      <w:lang w:eastAsia="en-US"/>
    </w:rPr>
  </w:style>
  <w:style w:type="paragraph" w:customStyle="1" w:styleId="CoverDocType24a">
    <w:name w:val="CoverDocType24a"/>
    <w:basedOn w:val="Normal"/>
    <w:rsid w:val="008A364E"/>
    <w:pPr>
      <w:widowControl/>
      <w:spacing w:after="480"/>
      <w:ind w:left="1416"/>
    </w:pPr>
    <w:rPr>
      <w:rFonts w:ascii="Arial" w:eastAsia="Arial" w:hAnsi="Arial" w:cs="Arial"/>
      <w:b/>
      <w:sz w:val="48"/>
      <w:szCs w:val="24"/>
      <w:lang w:eastAsia="en-US"/>
    </w:rPr>
  </w:style>
  <w:style w:type="paragraph" w:customStyle="1" w:styleId="CoverDate">
    <w:name w:val="CoverDate"/>
    <w:basedOn w:val="Normal"/>
    <w:rsid w:val="008A364E"/>
    <w:pPr>
      <w:widowControl/>
      <w:spacing w:before="240" w:after="1200"/>
    </w:pPr>
    <w:rPr>
      <w:szCs w:val="24"/>
      <w:lang w:eastAsia="en-US"/>
    </w:rPr>
  </w:style>
  <w:style w:type="paragraph" w:customStyle="1" w:styleId="NormalHanging12a">
    <w:name w:val="NormalHanging12a"/>
    <w:basedOn w:val="Normal"/>
    <w:link w:val="NormalHanging12aChar"/>
    <w:rsid w:val="008A364E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EPBody">
    <w:name w:val="EPBody"/>
    <w:basedOn w:val="Normal"/>
    <w:rsid w:val="008A364E"/>
    <w:pPr>
      <w:widowControl/>
      <w:jc w:val="center"/>
    </w:pPr>
    <w:rPr>
      <w:rFonts w:ascii="Arial" w:eastAsia="Arial" w:hAnsi="Arial" w:cs="Arial"/>
      <w:i/>
      <w:sz w:val="22"/>
      <w:szCs w:val="24"/>
      <w:lang w:eastAsia="en-US"/>
    </w:rPr>
  </w:style>
  <w:style w:type="paragraph" w:customStyle="1" w:styleId="EPFooter">
    <w:name w:val="EPFooter"/>
    <w:basedOn w:val="Normal"/>
    <w:rsid w:val="008A364E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  <w:szCs w:val="24"/>
      <w:lang w:eastAsia="en-US"/>
    </w:rPr>
  </w:style>
  <w:style w:type="paragraph" w:customStyle="1" w:styleId="CoverNormal12a">
    <w:name w:val="CoverNormal12a"/>
    <w:basedOn w:val="Normal"/>
    <w:rsid w:val="008A364E"/>
    <w:pPr>
      <w:widowControl/>
      <w:spacing w:after="240"/>
      <w:ind w:left="1418"/>
    </w:pPr>
    <w:rPr>
      <w:szCs w:val="24"/>
      <w:lang w:eastAsia="en-US"/>
    </w:rPr>
  </w:style>
  <w:style w:type="paragraph" w:customStyle="1" w:styleId="LegendSign">
    <w:name w:val="LegendSign"/>
    <w:basedOn w:val="Normal"/>
    <w:rsid w:val="008A364E"/>
    <w:pPr>
      <w:widowControl/>
      <w:tabs>
        <w:tab w:val="right" w:pos="454"/>
        <w:tab w:val="left" w:pos="736"/>
      </w:tabs>
      <w:ind w:left="736" w:hanging="736"/>
    </w:pPr>
    <w:rPr>
      <w:sz w:val="18"/>
      <w:szCs w:val="24"/>
      <w:lang w:eastAsia="en-US"/>
    </w:rPr>
  </w:style>
  <w:style w:type="paragraph" w:customStyle="1" w:styleId="LegendStandard">
    <w:name w:val="LegendStandard"/>
    <w:basedOn w:val="LegendSign"/>
    <w:rsid w:val="008A364E"/>
    <w:pPr>
      <w:ind w:left="0" w:firstLine="0"/>
    </w:pPr>
  </w:style>
  <w:style w:type="paragraph" w:customStyle="1" w:styleId="LegendTitle">
    <w:name w:val="LegendTitle"/>
    <w:basedOn w:val="Normal"/>
    <w:rsid w:val="008A364E"/>
    <w:pPr>
      <w:widowControl/>
      <w:spacing w:before="240" w:after="240"/>
    </w:pPr>
    <w:rPr>
      <w:b/>
      <w:i/>
      <w:szCs w:val="24"/>
      <w:lang w:eastAsia="en-US"/>
    </w:rPr>
  </w:style>
  <w:style w:type="character" w:customStyle="1" w:styleId="EPFooter2Motto">
    <w:name w:val="EPFooter2Motto"/>
    <w:rsid w:val="008A364E"/>
    <w:rPr>
      <w:rFonts w:ascii="Arial" w:hAnsi="Arial"/>
      <w:b/>
      <w:i/>
      <w:color w:val="C0C0C0"/>
      <w:sz w:val="22"/>
    </w:rPr>
  </w:style>
  <w:style w:type="paragraph" w:customStyle="1" w:styleId="Normal12b">
    <w:name w:val="Normal12b"/>
    <w:basedOn w:val="Normal"/>
    <w:rsid w:val="008A364E"/>
    <w:pPr>
      <w:widowControl/>
      <w:spacing w:before="240"/>
    </w:pPr>
    <w:rPr>
      <w:szCs w:val="24"/>
      <w:lang w:eastAsia="en-US"/>
    </w:rPr>
  </w:style>
  <w:style w:type="paragraph" w:customStyle="1" w:styleId="PMissingStyle">
    <w:name w:val="P_MissingStyle"/>
    <w:basedOn w:val="Normal"/>
    <w:rsid w:val="008A364E"/>
    <w:pPr>
      <w:widowControl/>
    </w:pPr>
    <w:rPr>
      <w:color w:val="FFFFFF"/>
      <w:szCs w:val="24"/>
      <w:lang w:eastAsia="en-US"/>
    </w:rPr>
  </w:style>
  <w:style w:type="character" w:customStyle="1" w:styleId="CMissingStyle">
    <w:name w:val="C_MissingStyle"/>
    <w:rsid w:val="008A364E"/>
    <w:rPr>
      <w:color w:val="FFFFFF"/>
      <w:sz w:val="22"/>
    </w:rPr>
  </w:style>
  <w:style w:type="paragraph" w:customStyle="1" w:styleId="Normal12">
    <w:name w:val="Normal12"/>
    <w:basedOn w:val="Normal"/>
    <w:rsid w:val="008A364E"/>
    <w:pPr>
      <w:widowControl/>
      <w:spacing w:after="240"/>
    </w:pPr>
    <w:rPr>
      <w:szCs w:val="24"/>
      <w:lang w:eastAsia="en-US"/>
    </w:rPr>
  </w:style>
  <w:style w:type="paragraph" w:customStyle="1" w:styleId="NormalHanging12a4">
    <w:name w:val="NormalHanging12a4"/>
    <w:basedOn w:val="NormalHanging12a3"/>
    <w:rsid w:val="008A364E"/>
    <w:pPr>
      <w:ind w:left="2268"/>
    </w:pPr>
  </w:style>
  <w:style w:type="paragraph" w:customStyle="1" w:styleId="NormalHanging12a5">
    <w:name w:val="NormalHanging12a5"/>
    <w:basedOn w:val="NormalHanging12a4"/>
    <w:rsid w:val="008A364E"/>
    <w:pPr>
      <w:ind w:left="2692"/>
    </w:pPr>
  </w:style>
  <w:style w:type="paragraph" w:customStyle="1" w:styleId="NormalHanging12a6">
    <w:name w:val="NormalHanging12a6"/>
    <w:basedOn w:val="NormalHanging12a5"/>
    <w:rsid w:val="008A364E"/>
    <w:pPr>
      <w:ind w:left="3118"/>
    </w:pPr>
  </w:style>
  <w:style w:type="paragraph" w:customStyle="1" w:styleId="NormalHanging12a7">
    <w:name w:val="NormalHanging12a7"/>
    <w:basedOn w:val="NormalHanging12a6"/>
    <w:rsid w:val="008A364E"/>
    <w:pPr>
      <w:ind w:left="3544"/>
    </w:pPr>
  </w:style>
  <w:style w:type="paragraph" w:customStyle="1" w:styleId="NormalHanging12a1">
    <w:name w:val="NormalHanging12a1"/>
    <w:basedOn w:val="Normal"/>
    <w:rsid w:val="008A364E"/>
    <w:pPr>
      <w:widowControl/>
      <w:spacing w:after="240"/>
      <w:ind w:left="992" w:hanging="424"/>
    </w:pPr>
    <w:rPr>
      <w:szCs w:val="24"/>
      <w:lang w:eastAsia="en-US"/>
    </w:rPr>
  </w:style>
  <w:style w:type="paragraph" w:customStyle="1" w:styleId="NormalHanging12a2">
    <w:name w:val="NormalHanging12a2"/>
    <w:basedOn w:val="NormalHanging12a1"/>
    <w:rsid w:val="008A364E"/>
    <w:pPr>
      <w:ind w:left="1416"/>
    </w:pPr>
  </w:style>
  <w:style w:type="paragraph" w:customStyle="1" w:styleId="NormalHanging12a3">
    <w:name w:val="NormalHanging12a3"/>
    <w:basedOn w:val="NormalHanging12a2"/>
    <w:rsid w:val="008A364E"/>
    <w:pPr>
      <w:ind w:left="1842"/>
    </w:pPr>
  </w:style>
  <w:style w:type="paragraph" w:customStyle="1" w:styleId="NormalHanging">
    <w:name w:val="NormalHanging"/>
    <w:basedOn w:val="Normal"/>
    <w:rsid w:val="008A364E"/>
    <w:pPr>
      <w:widowControl/>
      <w:spacing w:after="240"/>
      <w:ind w:left="566" w:hanging="566"/>
    </w:pPr>
    <w:rPr>
      <w:szCs w:val="24"/>
      <w:lang w:eastAsia="en-US"/>
    </w:rPr>
  </w:style>
  <w:style w:type="character" w:customStyle="1" w:styleId="FooterChar">
    <w:name w:val="Footer Char"/>
    <w:rsid w:val="008A364E"/>
    <w:rPr>
      <w:rFonts w:ascii="Times New Roman" w:eastAsia="Times New Roman" w:hAnsi="Times New Roman" w:cs="Times New Roman"/>
      <w:sz w:val="24"/>
    </w:rPr>
  </w:style>
  <w:style w:type="paragraph" w:customStyle="1" w:styleId="NormalBold12a">
    <w:name w:val="NormalBold12a"/>
    <w:basedOn w:val="Normal"/>
    <w:rsid w:val="008A364E"/>
    <w:pPr>
      <w:widowControl/>
      <w:spacing w:after="240"/>
    </w:pPr>
    <w:rPr>
      <w:b/>
      <w:szCs w:val="24"/>
      <w:lang w:eastAsia="en-US"/>
    </w:rPr>
  </w:style>
  <w:style w:type="paragraph" w:customStyle="1" w:styleId="NormalCenter12a">
    <w:name w:val="NormalCenter12a"/>
    <w:basedOn w:val="Normal"/>
    <w:rsid w:val="008A364E"/>
    <w:pPr>
      <w:widowControl/>
      <w:spacing w:after="240"/>
      <w:jc w:val="center"/>
    </w:pPr>
    <w:rPr>
      <w:szCs w:val="24"/>
      <w:lang w:eastAsia="en-US"/>
    </w:rPr>
  </w:style>
  <w:style w:type="paragraph" w:customStyle="1" w:styleId="Normal12BoldUnderline">
    <w:name w:val="Normal12BoldUnderline"/>
    <w:basedOn w:val="Normal"/>
    <w:rsid w:val="008A364E"/>
    <w:pPr>
      <w:widowControl/>
      <w:spacing w:before="480"/>
    </w:pPr>
    <w:rPr>
      <w:b/>
      <w:szCs w:val="24"/>
      <w:u w:val="single"/>
      <w:lang w:eastAsia="en-US"/>
    </w:rPr>
  </w:style>
  <w:style w:type="paragraph" w:customStyle="1" w:styleId="Normal12Bullet2">
    <w:name w:val="Normal12Bullet2"/>
    <w:basedOn w:val="Normal"/>
    <w:rsid w:val="008A364E"/>
    <w:pPr>
      <w:widowControl/>
      <w:numPr>
        <w:numId w:val="46"/>
      </w:numPr>
    </w:pPr>
    <w:rPr>
      <w:szCs w:val="24"/>
      <w:lang w:eastAsia="en-US"/>
    </w:rPr>
  </w:style>
  <w:style w:type="paragraph" w:customStyle="1" w:styleId="NormalHangingJustified">
    <w:name w:val="NormalHangingJustified"/>
    <w:basedOn w:val="Normal"/>
    <w:rsid w:val="008A364E"/>
    <w:pPr>
      <w:widowControl/>
      <w:spacing w:after="240"/>
      <w:ind w:left="714" w:hanging="356"/>
      <w:jc w:val="both"/>
    </w:pPr>
    <w:rPr>
      <w:szCs w:val="24"/>
      <w:lang w:eastAsia="en-US"/>
    </w:rPr>
  </w:style>
  <w:style w:type="paragraph" w:customStyle="1" w:styleId="NormalCenter">
    <w:name w:val="NormalCenter"/>
    <w:basedOn w:val="Normal"/>
    <w:rsid w:val="008A364E"/>
    <w:pPr>
      <w:widowControl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8A364E"/>
    <w:rPr>
      <w:color w:val="0000FF"/>
      <w:u w:val="single"/>
    </w:rPr>
  </w:style>
  <w:style w:type="paragraph" w:styleId="Header">
    <w:name w:val="header"/>
    <w:basedOn w:val="Normal"/>
    <w:link w:val="HeaderChar"/>
    <w:rsid w:val="008A364E"/>
    <w:pPr>
      <w:tabs>
        <w:tab w:val="center" w:pos="4513"/>
        <w:tab w:val="right" w:pos="9026"/>
      </w:tabs>
    </w:pPr>
    <w:rPr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8A364E"/>
    <w:rPr>
      <w:sz w:val="24"/>
      <w:szCs w:val="24"/>
      <w:lang w:val="cs-CZ"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sid w:val="008A364E"/>
    <w:rPr>
      <w:sz w:val="24"/>
      <w:szCs w:val="24"/>
      <w:lang w:val="cs-CZ" w:eastAsia="en-US"/>
    </w:rPr>
  </w:style>
  <w:style w:type="character" w:styleId="Strong">
    <w:name w:val="Strong"/>
    <w:basedOn w:val="DefaultParagraphFont"/>
    <w:uiPriority w:val="22"/>
    <w:qFormat/>
    <w:rsid w:val="008A364E"/>
    <w:rPr>
      <w:b/>
      <w:bCs/>
    </w:rPr>
  </w:style>
  <w:style w:type="paragraph" w:customStyle="1" w:styleId="RollCallVotes">
    <w:name w:val="RollCallVotes"/>
    <w:basedOn w:val="Normal"/>
    <w:rsid w:val="008A364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8A364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NormalBold12b">
    <w:name w:val="NormalBold12b"/>
    <w:basedOn w:val="Normal"/>
    <w:rsid w:val="008A364E"/>
    <w:pPr>
      <w:widowControl/>
      <w:spacing w:before="240"/>
    </w:pPr>
    <w:rPr>
      <w:b/>
      <w:szCs w:val="24"/>
      <w:lang w:eastAsia="en-US"/>
    </w:rPr>
  </w:style>
  <w:style w:type="paragraph" w:customStyle="1" w:styleId="Normal6a">
    <w:name w:val="Normal6a"/>
    <w:basedOn w:val="Normal"/>
    <w:rsid w:val="008A364E"/>
    <w:pPr>
      <w:widowControl/>
      <w:spacing w:after="120"/>
    </w:pPr>
    <w:rPr>
      <w:szCs w:val="24"/>
      <w:lang w:eastAsia="en-US"/>
    </w:rPr>
  </w:style>
  <w:style w:type="paragraph" w:customStyle="1" w:styleId="AmJustText">
    <w:name w:val="AmJustText"/>
    <w:basedOn w:val="Normal"/>
    <w:rsid w:val="008A364E"/>
    <w:pPr>
      <w:widowControl/>
      <w:spacing w:after="240"/>
    </w:pPr>
    <w:rPr>
      <w:i/>
      <w:szCs w:val="24"/>
      <w:lang w:eastAsia="en-US"/>
    </w:rPr>
  </w:style>
  <w:style w:type="paragraph" w:customStyle="1" w:styleId="AmOrLang">
    <w:name w:val="AmOrLang"/>
    <w:basedOn w:val="Normal"/>
    <w:rsid w:val="008A364E"/>
    <w:pPr>
      <w:widowControl/>
      <w:spacing w:before="240" w:after="240"/>
      <w:jc w:val="right"/>
    </w:pPr>
    <w:rPr>
      <w:szCs w:val="24"/>
      <w:lang w:eastAsia="en-US"/>
    </w:rPr>
  </w:style>
  <w:style w:type="paragraph" w:customStyle="1" w:styleId="AmCrossRef">
    <w:name w:val="AmCrossRef"/>
    <w:basedOn w:val="Normal"/>
    <w:rsid w:val="008A364E"/>
    <w:pPr>
      <w:widowControl/>
      <w:spacing w:before="240" w:after="240"/>
      <w:jc w:val="center"/>
    </w:pPr>
    <w:rPr>
      <w:i/>
      <w:szCs w:val="24"/>
      <w:lang w:eastAsia="en-US"/>
    </w:rPr>
  </w:style>
  <w:style w:type="paragraph" w:customStyle="1" w:styleId="AmJustTitle">
    <w:name w:val="AmJustTitle"/>
    <w:basedOn w:val="Normal"/>
    <w:next w:val="AmJustText"/>
    <w:rsid w:val="008A364E"/>
    <w:pPr>
      <w:keepNext/>
      <w:widowControl/>
      <w:spacing w:before="240" w:after="240"/>
      <w:jc w:val="center"/>
    </w:pPr>
    <w:rPr>
      <w:i/>
      <w:szCs w:val="24"/>
      <w:lang w:eastAsia="en-US"/>
    </w:rPr>
  </w:style>
  <w:style w:type="paragraph" w:customStyle="1" w:styleId="AmColumnHeading">
    <w:name w:val="AmColumnHeading"/>
    <w:basedOn w:val="Normal"/>
    <w:rsid w:val="008A364E"/>
    <w:pPr>
      <w:widowControl/>
      <w:spacing w:after="240"/>
      <w:jc w:val="center"/>
    </w:pPr>
    <w:rPr>
      <w:i/>
      <w:szCs w:val="24"/>
      <w:lang w:eastAsia="en-US"/>
    </w:rPr>
  </w:style>
  <w:style w:type="paragraph" w:customStyle="1" w:styleId="AmNumberTabs">
    <w:name w:val="AmNumberTabs"/>
    <w:basedOn w:val="Normal"/>
    <w:rsid w:val="008A364E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4"/>
      <w:lang w:eastAsia="en-US"/>
    </w:rPr>
  </w:style>
  <w:style w:type="paragraph" w:customStyle="1" w:styleId="PageHeadingNotTOC">
    <w:name w:val="PageHeadingNotTOC"/>
    <w:basedOn w:val="Normal"/>
    <w:rsid w:val="008A364E"/>
    <w:pPr>
      <w:keepNext/>
      <w:widowControl/>
      <w:spacing w:after="480"/>
      <w:jc w:val="center"/>
    </w:pPr>
    <w:rPr>
      <w:rFonts w:ascii="Arial" w:eastAsia="Arial" w:hAnsi="Arial" w:cs="Arial"/>
      <w:b/>
      <w:szCs w:val="24"/>
      <w:lang w:eastAsia="en-US"/>
    </w:rPr>
  </w:style>
  <w:style w:type="paragraph" w:customStyle="1" w:styleId="AmDocTypeTab">
    <w:name w:val="AmDocTypeTab"/>
    <w:basedOn w:val="Normal"/>
    <w:rsid w:val="008A364E"/>
    <w:pPr>
      <w:widowControl/>
      <w:tabs>
        <w:tab w:val="right" w:pos="9070"/>
      </w:tabs>
    </w:pPr>
    <w:rPr>
      <w:b/>
      <w:szCs w:val="24"/>
      <w:lang w:eastAsia="en-US"/>
    </w:rPr>
  </w:style>
  <w:style w:type="paragraph" w:customStyle="1" w:styleId="AmDateTab">
    <w:name w:val="AmDateTab"/>
    <w:basedOn w:val="Normal"/>
    <w:rsid w:val="008A364E"/>
    <w:pPr>
      <w:widowControl/>
      <w:tabs>
        <w:tab w:val="right" w:pos="9070"/>
      </w:tabs>
    </w:pPr>
    <w:rPr>
      <w:szCs w:val="24"/>
      <w:lang w:eastAsia="en-US"/>
    </w:rPr>
  </w:style>
  <w:style w:type="paragraph" w:customStyle="1" w:styleId="Normal24a">
    <w:name w:val="Normal24a"/>
    <w:basedOn w:val="Normal"/>
    <w:rsid w:val="008A364E"/>
    <w:pPr>
      <w:widowControl/>
      <w:spacing w:after="480"/>
    </w:pPr>
    <w:rPr>
      <w:szCs w:val="24"/>
      <w:lang w:eastAsia="en-US"/>
    </w:rPr>
  </w:style>
  <w:style w:type="paragraph" w:customStyle="1" w:styleId="Arial14CentreBold">
    <w:name w:val="Arial14CentreBold"/>
    <w:basedOn w:val="Normal"/>
    <w:rsid w:val="008A364E"/>
    <w:pPr>
      <w:widowControl/>
      <w:jc w:val="center"/>
    </w:pPr>
    <w:rPr>
      <w:rFonts w:ascii="Arial" w:eastAsia="Arial" w:hAnsi="Arial" w:cs="Arial"/>
      <w:b/>
      <w:sz w:val="28"/>
      <w:szCs w:val="24"/>
      <w:lang w:eastAsia="en-US"/>
    </w:rPr>
  </w:style>
  <w:style w:type="paragraph" w:customStyle="1" w:styleId="ProcedureTable">
    <w:name w:val="ProcedureTable"/>
    <w:basedOn w:val="Normal"/>
    <w:rsid w:val="008A364E"/>
    <w:pPr>
      <w:widowControl/>
    </w:pPr>
    <w:rPr>
      <w:sz w:val="20"/>
      <w:szCs w:val="24"/>
      <w:lang w:eastAsia="en-US"/>
    </w:rPr>
  </w:style>
  <w:style w:type="paragraph" w:customStyle="1" w:styleId="ProcedureTableBold">
    <w:name w:val="ProcedureTableBold"/>
    <w:basedOn w:val="Normal"/>
    <w:rsid w:val="008A364E"/>
    <w:pPr>
      <w:widowControl/>
    </w:pPr>
    <w:rPr>
      <w:b/>
      <w:sz w:val="20"/>
      <w:szCs w:val="24"/>
      <w:lang w:eastAsia="en-US"/>
    </w:rPr>
  </w:style>
  <w:style w:type="paragraph" w:customStyle="1" w:styleId="NormalTab">
    <w:name w:val="NormalTab"/>
    <w:basedOn w:val="Normal"/>
    <w:rsid w:val="008A364E"/>
    <w:pPr>
      <w:widowControl/>
      <w:tabs>
        <w:tab w:val="center" w:pos="284"/>
        <w:tab w:val="left" w:pos="424"/>
      </w:tabs>
    </w:pPr>
    <w:rPr>
      <w:szCs w:val="24"/>
      <w:lang w:eastAsia="en-US"/>
    </w:rPr>
  </w:style>
  <w:style w:type="paragraph" w:customStyle="1" w:styleId="EPFooterLandscape">
    <w:name w:val="EPFooterLandscape"/>
    <w:rsid w:val="008A364E"/>
    <w:pPr>
      <w:tabs>
        <w:tab w:val="center" w:pos="6800"/>
        <w:tab w:val="right" w:pos="15020"/>
      </w:tabs>
    </w:pPr>
    <w:rPr>
      <w:sz w:val="22"/>
      <w:lang w:val="cs-CZ" w:eastAsia="en-US"/>
    </w:rPr>
  </w:style>
  <w:style w:type="paragraph" w:customStyle="1" w:styleId="Normal0">
    <w:name w:val="Normal0"/>
    <w:basedOn w:val="Normal"/>
    <w:rsid w:val="008A364E"/>
    <w:pPr>
      <w:widowControl/>
    </w:pPr>
    <w:rPr>
      <w:sz w:val="0"/>
      <w:szCs w:val="24"/>
      <w:lang w:eastAsia="en-US"/>
    </w:rPr>
  </w:style>
  <w:style w:type="paragraph" w:customStyle="1" w:styleId="EPFooter2Landscape">
    <w:name w:val="EPFooter2Landscape"/>
    <w:rsid w:val="008A364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val="cs-CZ" w:eastAsia="en-US"/>
    </w:rPr>
  </w:style>
  <w:style w:type="character" w:customStyle="1" w:styleId="EPFooter2Middle">
    <w:name w:val="EPFooter2Middle"/>
    <w:rsid w:val="008A364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RollCallSymbols14pt">
    <w:name w:val="RollCallSymbols14pt"/>
    <w:basedOn w:val="Normal"/>
    <w:rsid w:val="008A364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8A364E"/>
    <w:pPr>
      <w:spacing w:before="120" w:after="120"/>
    </w:pPr>
    <w:rPr>
      <w:snapToGrid w:val="0"/>
      <w:sz w:val="16"/>
      <w:lang w:eastAsia="en-US"/>
    </w:rPr>
  </w:style>
  <w:style w:type="paragraph" w:customStyle="1" w:styleId="NormalBoldCenter">
    <w:name w:val="NormalBoldCenter"/>
    <w:basedOn w:val="Normal"/>
    <w:rsid w:val="008A364E"/>
    <w:pPr>
      <w:jc w:val="center"/>
    </w:pPr>
    <w:rPr>
      <w:b/>
    </w:rPr>
  </w:style>
  <w:style w:type="paragraph" w:customStyle="1" w:styleId="Footprint12b">
    <w:name w:val="Footprint12b"/>
    <w:basedOn w:val="Normal"/>
    <w:rsid w:val="008A364E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8A364E"/>
    <w:rPr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A364E"/>
    <w:rPr>
      <w:color w:val="605E5C"/>
      <w:shd w:val="clear" w:color="auto" w:fill="E1DFDD"/>
    </w:rPr>
  </w:style>
  <w:style w:type="paragraph" w:styleId="Footer">
    <w:name w:val="footer"/>
    <w:basedOn w:val="Normal"/>
    <w:link w:val="FooterChar1"/>
    <w:rsid w:val="008A364E"/>
    <w:pPr>
      <w:tabs>
        <w:tab w:val="center" w:pos="4513"/>
        <w:tab w:val="right" w:pos="9026"/>
      </w:tabs>
    </w:pPr>
    <w:rPr>
      <w:szCs w:val="24"/>
      <w:lang w:eastAsia="en-US"/>
    </w:rPr>
  </w:style>
  <w:style w:type="character" w:customStyle="1" w:styleId="FooterChar1">
    <w:name w:val="Footer Char1"/>
    <w:basedOn w:val="DefaultParagraphFont"/>
    <w:link w:val="Footer"/>
    <w:rsid w:val="008A364E"/>
    <w:rPr>
      <w:sz w:val="24"/>
      <w:szCs w:val="24"/>
      <w:lang w:val="cs-CZ" w:eastAsia="en-US"/>
    </w:rPr>
  </w:style>
  <w:style w:type="paragraph" w:styleId="Revision">
    <w:name w:val="Revision"/>
    <w:hidden/>
    <w:uiPriority w:val="99"/>
    <w:semiHidden/>
    <w:rsid w:val="00E6427F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ompos/2008/944/oj" TargetMode="External"/><Relationship Id="rId2" Type="http://schemas.openxmlformats.org/officeDocument/2006/relationships/hyperlink" Target="http://data.europa.eu/eli/reg/2025/1106/oj" TargetMode="External"/><Relationship Id="rId1" Type="http://schemas.openxmlformats.org/officeDocument/2006/relationships/hyperlink" Target="http://data.europa.eu/eli/reg/2025/2643/oj" TargetMode="External"/><Relationship Id="rId6" Type="http://schemas.openxmlformats.org/officeDocument/2006/relationships/hyperlink" Target="http://data.europa.eu/eli/agree_internation/1994/1/oj" TargetMode="External"/><Relationship Id="rId5" Type="http://schemas.openxmlformats.org/officeDocument/2006/relationships/hyperlink" Target="http://data.europa.eu/eli/C/2025/4389/oj" TargetMode="External"/><Relationship Id="rId4" Type="http://schemas.openxmlformats.org/officeDocument/2006/relationships/hyperlink" Target="http://data.europa.eu/eli/C/2025/315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5578</Words>
  <Characters>33698</Characters>
  <Application>Microsoft Office Word</Application>
  <DocSecurity>0</DocSecurity>
  <Lines>1248</Lines>
  <Paragraphs>324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SOCHOROVA Lenka</cp:lastModifiedBy>
  <cp:revision>2</cp:revision>
  <cp:lastPrinted>2004-11-19T15:42:00Z</cp:lastPrinted>
  <dcterms:created xsi:type="dcterms:W3CDTF">2026-04-22T15:26:00Z</dcterms:created>
  <dcterms:modified xsi:type="dcterms:W3CDTF">2026-04-22T15:26:00Z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A10-0014/2026</vt:lpwstr>
  </property>
  <property fmtid="{D5CDD505-2E9C-101B-9397-08002B2CF9AE}" pid="4" name="&lt;Type&gt;">
    <vt:lpwstr>RR</vt:lpwstr>
  </property>
</Properties>
</file>