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001" w14:paraId="6E122122" w14:textId="77777777" w:rsidTr="0010095E">
        <w:trPr>
          <w:trHeight w:hRule="exact" w:val="1418"/>
        </w:trPr>
        <w:tc>
          <w:tcPr>
            <w:tcW w:w="6804" w:type="dxa"/>
            <w:shd w:val="clear" w:color="auto" w:fill="auto"/>
            <w:vAlign w:val="center"/>
          </w:tcPr>
          <w:p w14:paraId="26BD71BC" w14:textId="77777777" w:rsidR="00751A4A" w:rsidRPr="007E4001" w:rsidRDefault="00A80AEF" w:rsidP="0010095E">
            <w:pPr>
              <w:pStyle w:val="EPName"/>
            </w:pPr>
            <w:r w:rsidRPr="007E4001">
              <w:t>Euroopan parlamentti</w:t>
            </w:r>
          </w:p>
          <w:p w14:paraId="4CC0F730" w14:textId="77777777" w:rsidR="00751A4A" w:rsidRPr="007E4001" w:rsidRDefault="005F1B17" w:rsidP="005F1B17">
            <w:pPr>
              <w:pStyle w:val="EPTerm"/>
              <w:rPr>
                <w:rStyle w:val="HideTWBExt"/>
                <w:noProof w:val="0"/>
                <w:vanish w:val="0"/>
                <w:color w:val="auto"/>
              </w:rPr>
            </w:pPr>
            <w:r w:rsidRPr="007E4001">
              <w:t>2024</w:t>
            </w:r>
            <w:r w:rsidR="00817416" w:rsidRPr="007E4001">
              <w:t>-202</w:t>
            </w:r>
            <w:r w:rsidRPr="007E4001">
              <w:t>9</w:t>
            </w:r>
          </w:p>
        </w:tc>
        <w:tc>
          <w:tcPr>
            <w:tcW w:w="2268" w:type="dxa"/>
            <w:shd w:val="clear" w:color="auto" w:fill="auto"/>
          </w:tcPr>
          <w:p w14:paraId="21D7C7A1" w14:textId="77777777" w:rsidR="00751A4A" w:rsidRPr="007E4001" w:rsidRDefault="00187494" w:rsidP="0010095E">
            <w:pPr>
              <w:pStyle w:val="EPLogo"/>
            </w:pPr>
            <w:r w:rsidRPr="007E4001">
              <w:rPr>
                <w:noProof/>
                <w:lang w:eastAsia="ja-JP"/>
              </w:rPr>
              <w:drawing>
                <wp:inline distT="0" distB="0" distL="0" distR="0" wp14:anchorId="37FCD09D" wp14:editId="78DBEA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8E17A7" w14:textId="77777777" w:rsidR="00D058B8" w:rsidRPr="007E4001" w:rsidRDefault="00D058B8" w:rsidP="004C5D52">
      <w:pPr>
        <w:pStyle w:val="LineTop"/>
      </w:pPr>
    </w:p>
    <w:p w14:paraId="0E2E36B7" w14:textId="77777777" w:rsidR="00680577" w:rsidRPr="007E4001" w:rsidRDefault="00A80AEF" w:rsidP="00680577">
      <w:pPr>
        <w:pStyle w:val="EPBodyTA1"/>
      </w:pPr>
      <w:r w:rsidRPr="007E4001">
        <w:t>HYVÄKSYTYT TEKSTIT</w:t>
      </w:r>
    </w:p>
    <w:p w14:paraId="1DF5C42D" w14:textId="77777777" w:rsidR="00D058B8" w:rsidRPr="007E4001" w:rsidRDefault="00D058B8" w:rsidP="00D058B8">
      <w:pPr>
        <w:pStyle w:val="LineBottom"/>
      </w:pPr>
    </w:p>
    <w:p w14:paraId="7873C6F0" w14:textId="76DD7C39" w:rsidR="00A80AEF" w:rsidRPr="007E4001" w:rsidRDefault="00A80AEF" w:rsidP="00A80AEF">
      <w:pPr>
        <w:pStyle w:val="ATHeading1"/>
      </w:pPr>
      <w:bookmarkStart w:id="0" w:name="TANumber"/>
      <w:r w:rsidRPr="007E4001">
        <w:t>P10_TA(2026)00</w:t>
      </w:r>
      <w:r w:rsidR="005E2897" w:rsidRPr="007E4001">
        <w:t>8</w:t>
      </w:r>
      <w:bookmarkEnd w:id="0"/>
      <w:r w:rsidR="00BB6669">
        <w:t>0</w:t>
      </w:r>
    </w:p>
    <w:p w14:paraId="0CA3E82A" w14:textId="77777777" w:rsidR="00A80AEF" w:rsidRPr="007E4001" w:rsidRDefault="00A80AEF" w:rsidP="00A80AEF">
      <w:pPr>
        <w:pStyle w:val="ATHeading2"/>
      </w:pPr>
      <w:bookmarkStart w:id="1" w:name="title"/>
      <w:r w:rsidRPr="007E4001">
        <w:t>Yhteistä etua koskevat puolustusalan eurooppalaiset lippulaivahankkeet</w:t>
      </w:r>
      <w:bookmarkEnd w:id="1"/>
    </w:p>
    <w:p w14:paraId="070E5A38" w14:textId="77777777" w:rsidR="00A80AEF" w:rsidRPr="007E4001" w:rsidRDefault="00A80AEF" w:rsidP="00A80AEF">
      <w:pPr>
        <w:rPr>
          <w:i/>
          <w:vanish/>
        </w:rPr>
      </w:pPr>
      <w:r w:rsidRPr="007E4001">
        <w:rPr>
          <w:i/>
        </w:rPr>
        <w:fldChar w:fldCharType="begin"/>
      </w:r>
      <w:r w:rsidRPr="007E4001">
        <w:rPr>
          <w:i/>
        </w:rPr>
        <w:instrText xml:space="preserve"> TC"(</w:instrText>
      </w:r>
      <w:bookmarkStart w:id="2" w:name="DocNumber"/>
      <w:r w:rsidRPr="007E4001">
        <w:rPr>
          <w:i/>
        </w:rPr>
        <w:instrText>A10-0014/2026</w:instrText>
      </w:r>
      <w:bookmarkEnd w:id="2"/>
      <w:r w:rsidRPr="007E4001">
        <w:rPr>
          <w:i/>
        </w:rPr>
        <w:instrText xml:space="preserve"> - Esittelijä: Lucia Annunziata)"\l3 \n&gt; \* MERGEFORMAT </w:instrText>
      </w:r>
      <w:r w:rsidRPr="007E4001">
        <w:rPr>
          <w:i/>
        </w:rPr>
        <w:fldChar w:fldCharType="end"/>
      </w:r>
    </w:p>
    <w:p w14:paraId="4CA7CA58" w14:textId="77777777" w:rsidR="00A80AEF" w:rsidRPr="007E4001" w:rsidRDefault="00A80AEF" w:rsidP="00A80AEF">
      <w:pPr>
        <w:rPr>
          <w:vanish/>
        </w:rPr>
      </w:pPr>
      <w:bookmarkStart w:id="3" w:name="Commission"/>
      <w:r w:rsidRPr="007E4001">
        <w:rPr>
          <w:vanish/>
        </w:rPr>
        <w:t>Turvallisuus- ja puolustuspolitiikan valiokunta</w:t>
      </w:r>
      <w:bookmarkEnd w:id="3"/>
    </w:p>
    <w:p w14:paraId="5C0A6E0E" w14:textId="77777777" w:rsidR="00A80AEF" w:rsidRPr="007E4001" w:rsidRDefault="00A80AEF" w:rsidP="00A80AEF">
      <w:pPr>
        <w:rPr>
          <w:vanish/>
        </w:rPr>
      </w:pPr>
      <w:bookmarkStart w:id="4" w:name="PE"/>
      <w:r w:rsidRPr="007E4001">
        <w:rPr>
          <w:vanish/>
        </w:rPr>
        <w:t>PE776.841</w:t>
      </w:r>
      <w:bookmarkEnd w:id="4"/>
    </w:p>
    <w:p w14:paraId="172CF1FE" w14:textId="385D129B" w:rsidR="00A80AEF" w:rsidRPr="007E4001" w:rsidRDefault="00A80AEF" w:rsidP="00A80AEF">
      <w:pPr>
        <w:pStyle w:val="ATHeading3"/>
      </w:pPr>
      <w:bookmarkStart w:id="5" w:name="Sujet"/>
      <w:r w:rsidRPr="007E4001">
        <w:t xml:space="preserve">Euroopan parlamentin päätöslauselma </w:t>
      </w:r>
      <w:r w:rsidR="00944055" w:rsidRPr="007E4001">
        <w:t>11</w:t>
      </w:r>
      <w:r w:rsidRPr="007E4001">
        <w:t>. maaliskuuta 2026 yhteistä etua koskevista puolustusalan eurooppalaisista lippulaivahankkeista</w:t>
      </w:r>
      <w:bookmarkEnd w:id="5"/>
      <w:r w:rsidRPr="007E4001">
        <w:t xml:space="preserve"> </w:t>
      </w:r>
      <w:bookmarkStart w:id="6" w:name="References"/>
      <w:r w:rsidRPr="007E4001">
        <w:t>(2025/2144(INI))</w:t>
      </w:r>
      <w:bookmarkEnd w:id="6"/>
    </w:p>
    <w:p w14:paraId="3A02ADA0" w14:textId="77777777" w:rsidR="00F73C0E" w:rsidRPr="007E4001" w:rsidRDefault="00F73C0E" w:rsidP="00BA1188">
      <w:pPr>
        <w:pStyle w:val="Normal12"/>
      </w:pPr>
      <w:r w:rsidRPr="007E4001">
        <w:rPr>
          <w:i/>
        </w:rPr>
        <w:t>Euroopan parlamentti</w:t>
      </w:r>
      <w:r w:rsidRPr="007E4001">
        <w:t>, joka</w:t>
      </w:r>
    </w:p>
    <w:p w14:paraId="13CBB536" w14:textId="77777777" w:rsidR="00F73C0E" w:rsidRPr="007E4001" w:rsidRDefault="00F73C0E" w:rsidP="00BA1188">
      <w:pPr>
        <w:pStyle w:val="NormalHanging"/>
      </w:pPr>
      <w:r w:rsidRPr="007E4001">
        <w:t>–</w:t>
      </w:r>
      <w:r w:rsidRPr="007E4001">
        <w:tab/>
        <w:t>ottaa huomioon Euroopan unionista tehdyn sopimuksen (SEU) ja erityisesti sen 42 artiklan 2 ja 3 kohdan,</w:t>
      </w:r>
    </w:p>
    <w:p w14:paraId="08F3832E" w14:textId="05A60381" w:rsidR="00F73C0E" w:rsidRPr="007E4001" w:rsidRDefault="00F73C0E" w:rsidP="00BA1188">
      <w:pPr>
        <w:pStyle w:val="NormalHanging"/>
      </w:pPr>
      <w:r w:rsidRPr="007E4001">
        <w:t>–</w:t>
      </w:r>
      <w:r w:rsidRPr="007E4001">
        <w:tab/>
        <w:t>ottaa huomioon Euroopan unionin toiminnasta tehdyn sopimuksen (SEUT) ja erityisesti sen 2 artiklan, 107 artiklan 3 kohdan b alakohdan sekä 114 ja 346 artiklan,</w:t>
      </w:r>
    </w:p>
    <w:p w14:paraId="00FC35C9" w14:textId="21D2D1C1" w:rsidR="00F73C0E" w:rsidRPr="007E4001" w:rsidRDefault="00F73C0E" w:rsidP="00BA1188">
      <w:pPr>
        <w:pStyle w:val="NormalHanging"/>
      </w:pPr>
      <w:r w:rsidRPr="007E4001">
        <w:t>–</w:t>
      </w:r>
      <w:r w:rsidRPr="007E4001">
        <w:tab/>
        <w:t xml:space="preserve">ottaa huomioon SEU 42 artiklan 6 kohtaan perustuvasta pysyvästä rakenteellisesta yhteistyöstä (PRY) tehdyssä pöytäkirjassa N:o 10 olevan 2 artiklan e alakohdan ja 23 EU-jäsenvaltion ministerien 13. marraskuuta 2017 allekirjoittaman yhteisen ilmoituksen </w:t>
      </w:r>
      <w:proofErr w:type="spellStart"/>
      <w:r w:rsidRPr="007E4001">
        <w:t>PRY:stä</w:t>
      </w:r>
      <w:proofErr w:type="spellEnd"/>
      <w:r w:rsidRPr="007E4001">
        <w:t>,</w:t>
      </w:r>
    </w:p>
    <w:p w14:paraId="66A80ABA" w14:textId="77777777" w:rsidR="00F73C0E" w:rsidRPr="007E4001" w:rsidRDefault="00F73C0E" w:rsidP="00BA1188">
      <w:pPr>
        <w:pStyle w:val="NormalHanging"/>
      </w:pPr>
      <w:r w:rsidRPr="007E4001">
        <w:t>–</w:t>
      </w:r>
      <w:r w:rsidRPr="007E4001">
        <w:tab/>
        <w:t xml:space="preserve">ottaa huomioon valtion- tai hallitusten johtajien epävirallisessa kokouksessa 11. maaliskuuta 2022 annetun </w:t>
      </w:r>
      <w:proofErr w:type="spellStart"/>
      <w:r w:rsidRPr="007E4001">
        <w:t>Versailles’n</w:t>
      </w:r>
      <w:proofErr w:type="spellEnd"/>
      <w:r w:rsidRPr="007E4001">
        <w:t xml:space="preserve"> julistuksen ja erityisesti sen 22 kohdan,</w:t>
      </w:r>
    </w:p>
    <w:p w14:paraId="57B06FF1" w14:textId="77777777" w:rsidR="00F73C0E" w:rsidRPr="007E4001" w:rsidRDefault="00F73C0E" w:rsidP="00BA1188">
      <w:pPr>
        <w:pStyle w:val="NormalHanging"/>
      </w:pPr>
      <w:r w:rsidRPr="007E4001">
        <w:t>–</w:t>
      </w:r>
      <w:r w:rsidRPr="007E4001">
        <w:tab/>
        <w:t>ottaa huomioon asiakirjan ”Turvallisuus- ja puolustusalan strateginen kompassi – Euroopan unioni, joka suojaa kansalaisiaan, arvojaan ja etujaan sekä edistää kansainvälistä rauhaa ja turvallisuutta”, jonka neuvosto hyväksyi 21. maaliskuuta 2022 ja Eurooppa-neuvosto vahvisti 25. maaliskuuta 2022,</w:t>
      </w:r>
    </w:p>
    <w:p w14:paraId="26C344D9" w14:textId="77777777" w:rsidR="00F73C0E" w:rsidRPr="007E4001" w:rsidRDefault="00F73C0E" w:rsidP="00BA1188">
      <w:pPr>
        <w:pStyle w:val="NormalHanging"/>
      </w:pPr>
      <w:r w:rsidRPr="007E4001">
        <w:t>–</w:t>
      </w:r>
      <w:r w:rsidRPr="007E4001">
        <w:tab/>
        <w:t>ottaa huomioon 18. toukokuuta 2022 annetun komission ja unionin ulkoasioiden ja turvallisuuspolitiikan korkean edustajan yhteisen tiedonannon puolustusalan investointivajeiden analyysistä ja siihen perustuvista jatkotoimista (JOIN(2022)0024),</w:t>
      </w:r>
    </w:p>
    <w:p w14:paraId="2C34F992" w14:textId="77777777" w:rsidR="00F73C0E" w:rsidRPr="007E4001" w:rsidRDefault="00F73C0E" w:rsidP="00BA1188">
      <w:pPr>
        <w:pStyle w:val="NormalHanging"/>
      </w:pPr>
      <w:r w:rsidRPr="007E4001">
        <w:t>–</w:t>
      </w:r>
      <w:r w:rsidRPr="007E4001">
        <w:tab/>
        <w:t xml:space="preserve">ottaa huomioon 10. maaliskuuta 2023 annetun komission ja unionin ulkoasioiden ja turvallisuuspolitiikan korkean edustajan yhteisen tiedonannon ”Turvallisuutta ja puolustusta tukeva Euroopan unionin avaruusstrategia” (JOIN(2023)0009), </w:t>
      </w:r>
    </w:p>
    <w:p w14:paraId="3678A08D" w14:textId="77777777" w:rsidR="00F73C0E" w:rsidRPr="007E4001" w:rsidRDefault="00F73C0E" w:rsidP="00BA1188">
      <w:pPr>
        <w:pStyle w:val="NormalHanging"/>
      </w:pPr>
      <w:r w:rsidRPr="007E4001">
        <w:t>–</w:t>
      </w:r>
      <w:r w:rsidRPr="007E4001">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14:paraId="4CB40508" w14:textId="77777777" w:rsidR="00F73C0E" w:rsidRPr="007E4001" w:rsidRDefault="00F73C0E" w:rsidP="00BA1188">
      <w:pPr>
        <w:pStyle w:val="NormalHanging"/>
      </w:pPr>
      <w:r w:rsidRPr="007E4001">
        <w:lastRenderedPageBreak/>
        <w:t>–</w:t>
      </w:r>
      <w:r w:rsidRPr="007E4001">
        <w:tab/>
        <w:t>ottaa huomioon 21. helmikuuta 2025 annetun komission ja unionin ulkoasioiden ja turvallisuuspolitiikan korkean edustajan yhteisen tiedonannon ”Kaapeliturvallisuutta koskeva EU:n toimintasuunnitelma” (JOIN(2025)0009),</w:t>
      </w:r>
    </w:p>
    <w:p w14:paraId="3131EC82" w14:textId="77777777" w:rsidR="00F73C0E" w:rsidRPr="007E4001" w:rsidRDefault="00F73C0E" w:rsidP="00BA1188">
      <w:pPr>
        <w:pStyle w:val="NormalHanging"/>
      </w:pPr>
      <w:r w:rsidRPr="007E4001">
        <w:t>–</w:t>
      </w:r>
      <w:r w:rsidRPr="007E4001">
        <w:tab/>
        <w:t>ottaa huomioon 19. maaliskuuta 2025 annetun komission ja unionin ulkoasioiden ja turvallisuuspolitiikan korkean edustajan yhteisen valkoisen kirjan Euroopan puolustusvalmiudesta vuoteen 2030 mennessä (JOIN(2025)0120),</w:t>
      </w:r>
    </w:p>
    <w:p w14:paraId="634B0094" w14:textId="6F977CD3" w:rsidR="00F73C0E" w:rsidRPr="007E4001" w:rsidRDefault="00F73C0E" w:rsidP="00BA1188">
      <w:pPr>
        <w:pStyle w:val="NormalHanging"/>
      </w:pPr>
      <w:r w:rsidRPr="007E4001">
        <w:t>–</w:t>
      </w:r>
      <w:r w:rsidRPr="007E4001">
        <w:tab/>
        <w:t>ottaa huomioon Euroopan puolustusrahaston perustamisesta 29. huhtikuuta 2021 annetun Euroopan parlamentin ja neuvoston asetuksen (EU) 2021/697</w:t>
      </w:r>
      <w:r w:rsidR="00944055" w:rsidRPr="007E4001">
        <w:rPr>
          <w:rStyle w:val="FootnoteReference"/>
        </w:rPr>
        <w:footnoteReference w:id="1"/>
      </w:r>
      <w:r w:rsidRPr="007E4001">
        <w:t>,</w:t>
      </w:r>
    </w:p>
    <w:p w14:paraId="4F62274C" w14:textId="77777777" w:rsidR="00F73C0E" w:rsidRPr="007E4001" w:rsidRDefault="00F73C0E" w:rsidP="00BA1188">
      <w:pPr>
        <w:pStyle w:val="NormalHanging"/>
      </w:pPr>
      <w:r w:rsidRPr="007E4001">
        <w:t>–</w:t>
      </w:r>
      <w:r w:rsidRPr="007E4001">
        <w:tab/>
        <w:t>ottaa huomioon Euroopan puolustusteollisuusohjelman ja puolustustarvikkeiden oikea-aikaisen saatavuuden ja toimituksen varmistamista koskevan toimenpidekehyksen perustamisesta 16. joulukuuta 2025 annetun Euroopan parlamentin ja neuvoston asetuksen (EU) 2025/2643</w:t>
      </w:r>
      <w:r w:rsidRPr="007E4001">
        <w:rPr>
          <w:rStyle w:val="FootnoteReference"/>
        </w:rPr>
        <w:footnoteReference w:id="2"/>
      </w:r>
      <w:r w:rsidRPr="007E4001">
        <w:t xml:space="preserve"> (EDIP-asetus) ja erityisesti sen IV luvun, joka koskee Euroopan yhteistä etua koskevia puolustushankkeita, </w:t>
      </w:r>
    </w:p>
    <w:p w14:paraId="038A8048" w14:textId="77777777" w:rsidR="00F73C0E" w:rsidRPr="007E4001" w:rsidRDefault="00F73C0E" w:rsidP="00BA1188">
      <w:pPr>
        <w:pStyle w:val="NormalHanging"/>
      </w:pPr>
      <w:r w:rsidRPr="007E4001">
        <w:t>–</w:t>
      </w:r>
      <w:r w:rsidRPr="007E4001">
        <w:tab/>
        <w:t>ottaa huomioon 19. maaliskuuta 2025 annetun komission ehdotuksen neuvoston asetukseksi välineen perustamisesta Euroopan turvallisuuden edistämiseksi Euroopan puolustusteollisuutta vahvistamalla (SAFE) (COM(2025)0122),</w:t>
      </w:r>
    </w:p>
    <w:p w14:paraId="7367EC52" w14:textId="77777777" w:rsidR="00F73C0E" w:rsidRPr="007E4001" w:rsidRDefault="00F73C0E" w:rsidP="00BA1188">
      <w:pPr>
        <w:pStyle w:val="NormalHanging"/>
      </w:pPr>
      <w:r w:rsidRPr="007E4001">
        <w:t>–</w:t>
      </w:r>
      <w:r w:rsidRPr="007E4001">
        <w:tab/>
        <w:t>ottaa huomioon 22. huhtikuuta 2025 annetun komission ehdotuksen Euroopan parlamentin ja neuvoston asetukseksi asetusten (EU) 2021/694, (EU) 2021/695, (EU) 2021/697, (EU) 2021/1153, (EU) 2023/1525 ja (EU) 2024/795 muuttamisesta siltä osin kuin on kyse puolustukseen liittyvien investointien edistämisestä EU:n talousarviossa ReARM Europe -suunnitelman toteuttamiseksi (COM(2025)0188),</w:t>
      </w:r>
    </w:p>
    <w:p w14:paraId="74E1FF65" w14:textId="77777777" w:rsidR="00F73C0E" w:rsidRPr="007E4001" w:rsidRDefault="00F73C0E" w:rsidP="00BA1188">
      <w:pPr>
        <w:pStyle w:val="NormalHanging"/>
      </w:pPr>
      <w:r w:rsidRPr="007E4001">
        <w:t>–</w:t>
      </w:r>
      <w:r w:rsidRPr="007E4001">
        <w:tab/>
        <w:t>ottaa huomioon välineen perustamisesta Euroopan turvallisuuden edistämiseksi Euroopan puolustusteollisuutta vahvistamalla (SAFE) 27. toukokuuta 2025 annetun neuvoston asetuksen (EU) 2025/1106</w:t>
      </w:r>
      <w:r w:rsidRPr="007E4001">
        <w:rPr>
          <w:rStyle w:val="FootnoteReference"/>
        </w:rPr>
        <w:footnoteReference w:id="3"/>
      </w:r>
      <w:r w:rsidRPr="007E4001">
        <w:t>,</w:t>
      </w:r>
    </w:p>
    <w:p w14:paraId="1D0FBE67" w14:textId="77777777" w:rsidR="00F73C0E" w:rsidRPr="007E4001" w:rsidRDefault="00F73C0E" w:rsidP="00BA1188">
      <w:pPr>
        <w:pStyle w:val="NormalHanging"/>
      </w:pPr>
      <w:r w:rsidRPr="007E4001">
        <w:t>–</w:t>
      </w:r>
      <w:r w:rsidRPr="007E4001">
        <w:tab/>
        <w:t>ottaa huomioon 16. lokakuuta 2025 annetun komission ja unionin ulkoasioiden ja turvallisuuspolitiikan korkean edustajan yhteisen tiedonannon ”Rauhan puolesta - puolustusvalmiuden tiekartta 2030” (JOIN(2025)0027),</w:t>
      </w:r>
    </w:p>
    <w:p w14:paraId="000840E0" w14:textId="77777777" w:rsidR="00F73C0E" w:rsidRPr="007E4001" w:rsidRDefault="00F73C0E" w:rsidP="00BA1188">
      <w:pPr>
        <w:pStyle w:val="NormalHanging"/>
      </w:pPr>
      <w:r w:rsidRPr="007E4001">
        <w:t>–</w:t>
      </w:r>
      <w:r w:rsidRPr="007E4001">
        <w:tab/>
        <w:t>ottaa huomioon sotilasteknologian ja puolustustarvikkeiden viennin valvontaa koskevien yhteisten sääntöjen määrittämisestä 8. joulukuuta 2008 vahvistetun neuvoston yhteisen kannan 2008/944/YUTP</w:t>
      </w:r>
      <w:r w:rsidRPr="007E4001">
        <w:rPr>
          <w:rStyle w:val="FootnoteReference"/>
        </w:rPr>
        <w:footnoteReference w:id="4"/>
      </w:r>
      <w:r w:rsidRPr="007E4001">
        <w:t>,</w:t>
      </w:r>
    </w:p>
    <w:p w14:paraId="57AD817A" w14:textId="77777777" w:rsidR="00F73C0E" w:rsidRPr="007E4001" w:rsidRDefault="00F73C0E" w:rsidP="00BA1188">
      <w:pPr>
        <w:pStyle w:val="NormalHanging"/>
      </w:pPr>
      <w:r w:rsidRPr="007E4001">
        <w:t>–</w:t>
      </w:r>
      <w:r w:rsidRPr="007E4001">
        <w:tab/>
        <w:t>ottaa huomioon 29. syyskuuta 2025 julkaistun puolustusvalmiutta vuoteen 2030 mennessä koskevan komission tausta-asiakirjan ”Puolustusvalmiuden tiekartta 2030”,</w:t>
      </w:r>
    </w:p>
    <w:p w14:paraId="364D16B0" w14:textId="77777777" w:rsidR="00F73C0E" w:rsidRPr="007E4001" w:rsidRDefault="00F73C0E" w:rsidP="00BA1188">
      <w:pPr>
        <w:pStyle w:val="NormalHanging"/>
      </w:pPr>
      <w:r w:rsidRPr="007E4001">
        <w:t>–</w:t>
      </w:r>
      <w:r w:rsidRPr="007E4001">
        <w:tab/>
        <w:t>ottaa huomioon unionin ulkoasioiden ja turvallisuuspolitiikan korkean edustajan 11. huhtikuuta 2025 neuvostolle antaman turvallisuus- ja puolustusalan strategisen kompassin täytäntöönpanoa koskevan vuotuisen selvityksen,</w:t>
      </w:r>
    </w:p>
    <w:p w14:paraId="466C3E98" w14:textId="77777777" w:rsidR="00F73C0E" w:rsidRPr="007E4001" w:rsidRDefault="00F73C0E" w:rsidP="00BA1188">
      <w:pPr>
        <w:pStyle w:val="NormalHanging"/>
      </w:pPr>
      <w:r w:rsidRPr="007E4001">
        <w:lastRenderedPageBreak/>
        <w:t>–</w:t>
      </w:r>
      <w:r w:rsidRPr="007E4001">
        <w:tab/>
        <w:t xml:space="preserve">ottaa huomioon 22. ja 23. kesäkuuta 2017 kokoontuneen Eurooppa-neuvoston päätelmät ja erityisesti niiden </w:t>
      </w:r>
      <w:proofErr w:type="spellStart"/>
      <w:r w:rsidRPr="007E4001">
        <w:t>PRY:tä</w:t>
      </w:r>
      <w:proofErr w:type="spellEnd"/>
      <w:r w:rsidRPr="007E4001">
        <w:t xml:space="preserve"> koskevan 8 kohdan sekä 6. maaliskuuta 2025 annetut päätelmät ja erityisesti niiden 3 kohdan f alakohdan,</w:t>
      </w:r>
    </w:p>
    <w:p w14:paraId="41AA3332" w14:textId="77777777" w:rsidR="00F73C0E" w:rsidRPr="007E4001" w:rsidRDefault="00F73C0E" w:rsidP="00BA1188">
      <w:pPr>
        <w:pStyle w:val="NormalHanging"/>
      </w:pPr>
      <w:r w:rsidRPr="007E4001">
        <w:t>–</w:t>
      </w:r>
      <w:r w:rsidRPr="007E4001">
        <w:tab/>
        <w:t>ottaa huomioon 23. lokakuuta 2025 kokoontuneen Eurooppa-neuvoston päätelmät,</w:t>
      </w:r>
    </w:p>
    <w:p w14:paraId="397AE72C" w14:textId="77777777" w:rsidR="00F73C0E" w:rsidRPr="007E4001" w:rsidRDefault="00F73C0E" w:rsidP="00BA1188">
      <w:pPr>
        <w:pStyle w:val="NormalHanging"/>
      </w:pPr>
      <w:r w:rsidRPr="007E4001">
        <w:t>–</w:t>
      </w:r>
      <w:r w:rsidRPr="007E4001">
        <w:tab/>
        <w:t xml:space="preserve">ottaa huomioon EU:n jäsenvaltioiden kansalliset turvallisuusstrategiat, </w:t>
      </w:r>
    </w:p>
    <w:p w14:paraId="3B034CF0" w14:textId="0229C989" w:rsidR="00F73C0E" w:rsidRPr="007E4001" w:rsidRDefault="00F73C0E" w:rsidP="00BA1188">
      <w:pPr>
        <w:pStyle w:val="NormalHanging"/>
      </w:pPr>
      <w:r w:rsidRPr="007E4001">
        <w:t>–</w:t>
      </w:r>
      <w:r w:rsidRPr="007E4001">
        <w:tab/>
      </w:r>
      <w:bookmarkStart w:id="7" w:name="_Hlk220570567"/>
      <w:r w:rsidRPr="007E4001">
        <w:t>ottaa huomioon 3. lokakuuta 2024 annetun Euroopan tilintarkastustuomioistuimen lausunnon 02/2024 ehdotuksesta Euroopan parlamentin ja neuvoston asetukseksi Euroopan puolustusteollisuusohjelman</w:t>
      </w:r>
      <w:bookmarkEnd w:id="7"/>
      <w:r w:rsidRPr="007E4001">
        <w:t xml:space="preserve"> ja puolustustarvikkeiden oikea-aikaisen saatavuuden ja toimituksen varmistamista koskevan toimenpidekehyksen perustamisesta ja erityisesti sen 42 kohdan,</w:t>
      </w:r>
    </w:p>
    <w:p w14:paraId="08AB77BF" w14:textId="77777777" w:rsidR="00F73C0E" w:rsidRPr="007E4001" w:rsidRDefault="00F73C0E" w:rsidP="00BA1188">
      <w:pPr>
        <w:pStyle w:val="NormalHanging"/>
      </w:pPr>
      <w:r w:rsidRPr="007E4001">
        <w:t>–</w:t>
      </w:r>
      <w:r w:rsidRPr="007E4001">
        <w:tab/>
        <w:t>ottaa huomioon Euroopan puolustusviraston vuosikertomuksen vuodelta 2024, sen 14. marraskuuta 2023 antaman raportin ”</w:t>
      </w:r>
      <w:proofErr w:type="spellStart"/>
      <w:r w:rsidRPr="007E4001">
        <w:t>The</w:t>
      </w:r>
      <w:proofErr w:type="spellEnd"/>
      <w:r w:rsidRPr="007E4001">
        <w:t xml:space="preserve"> 2023 EU </w:t>
      </w:r>
      <w:proofErr w:type="spellStart"/>
      <w:r w:rsidRPr="007E4001">
        <w:t>Capability</w:t>
      </w:r>
      <w:proofErr w:type="spellEnd"/>
      <w:r w:rsidRPr="007E4001">
        <w:t xml:space="preserve"> </w:t>
      </w:r>
      <w:proofErr w:type="spellStart"/>
      <w:r w:rsidRPr="007E4001">
        <w:t>Development</w:t>
      </w:r>
      <w:proofErr w:type="spellEnd"/>
      <w:r w:rsidRPr="007E4001">
        <w:t xml:space="preserve"> </w:t>
      </w:r>
      <w:proofErr w:type="spellStart"/>
      <w:r w:rsidRPr="007E4001">
        <w:t>Priorities</w:t>
      </w:r>
      <w:proofErr w:type="spellEnd"/>
      <w:r w:rsidRPr="007E4001">
        <w:t>” ja vuoden 2024 raportin ”</w:t>
      </w:r>
      <w:proofErr w:type="spellStart"/>
      <w:r w:rsidRPr="007E4001">
        <w:t>Coordinated</w:t>
      </w:r>
      <w:proofErr w:type="spellEnd"/>
      <w:r w:rsidRPr="007E4001">
        <w:t xml:space="preserve"> </w:t>
      </w:r>
      <w:proofErr w:type="spellStart"/>
      <w:r w:rsidRPr="007E4001">
        <w:t>Annual</w:t>
      </w:r>
      <w:proofErr w:type="spellEnd"/>
      <w:r w:rsidRPr="007E4001">
        <w:t xml:space="preserve"> </w:t>
      </w:r>
      <w:proofErr w:type="spellStart"/>
      <w:r w:rsidRPr="007E4001">
        <w:t>Review</w:t>
      </w:r>
      <w:proofErr w:type="spellEnd"/>
      <w:r w:rsidRPr="007E4001">
        <w:t xml:space="preserve"> on </w:t>
      </w:r>
      <w:proofErr w:type="spellStart"/>
      <w:r w:rsidRPr="007E4001">
        <w:t>Defence</w:t>
      </w:r>
      <w:proofErr w:type="spellEnd"/>
      <w:r w:rsidRPr="007E4001">
        <w:t>”,</w:t>
      </w:r>
    </w:p>
    <w:p w14:paraId="351D84B9" w14:textId="77777777" w:rsidR="00F73C0E" w:rsidRPr="007E4001" w:rsidRDefault="00F73C0E" w:rsidP="00BA1188">
      <w:pPr>
        <w:pStyle w:val="NormalHanging"/>
      </w:pPr>
      <w:r w:rsidRPr="007E4001">
        <w:t>–</w:t>
      </w:r>
      <w:r w:rsidRPr="007E4001">
        <w:tab/>
        <w:t xml:space="preserve">ottaa huomioon </w:t>
      </w:r>
      <w:proofErr w:type="spellStart"/>
      <w:r w:rsidRPr="007E4001">
        <w:t>PRY:n</w:t>
      </w:r>
      <w:proofErr w:type="spellEnd"/>
      <w:r w:rsidRPr="007E4001">
        <w:t xml:space="preserve"> sihteeristön syyskuussa 2025 antaman edistymiskertomuksen PRY-hankkeista,</w:t>
      </w:r>
    </w:p>
    <w:p w14:paraId="487978BC" w14:textId="77777777" w:rsidR="00F73C0E" w:rsidRPr="007E4001" w:rsidRDefault="00F73C0E" w:rsidP="00BA1188">
      <w:pPr>
        <w:pStyle w:val="NormalHanging"/>
      </w:pPr>
      <w:r w:rsidRPr="007E4001">
        <w:t>–</w:t>
      </w:r>
      <w:r w:rsidRPr="007E4001">
        <w:tab/>
        <w:t>ottaa huomioon 9. syyskuuta 2024 julkaistun Mario Draghin raportin Euroopan kilpailukyvyn tulevaisuudesta ja sen luvun 4 ”</w:t>
      </w:r>
      <w:proofErr w:type="spellStart"/>
      <w:r w:rsidRPr="007E4001">
        <w:t>Increasing</w:t>
      </w:r>
      <w:proofErr w:type="spellEnd"/>
      <w:r w:rsidRPr="007E4001">
        <w:t xml:space="preserve"> </w:t>
      </w:r>
      <w:proofErr w:type="spellStart"/>
      <w:r w:rsidRPr="007E4001">
        <w:t>security</w:t>
      </w:r>
      <w:proofErr w:type="spellEnd"/>
      <w:r w:rsidRPr="007E4001">
        <w:t xml:space="preserve"> and </w:t>
      </w:r>
      <w:proofErr w:type="spellStart"/>
      <w:r w:rsidRPr="007E4001">
        <w:t>reducing</w:t>
      </w:r>
      <w:proofErr w:type="spellEnd"/>
      <w:r w:rsidRPr="007E4001">
        <w:t xml:space="preserve"> </w:t>
      </w:r>
      <w:proofErr w:type="spellStart"/>
      <w:r w:rsidRPr="007E4001">
        <w:t>dependencies</w:t>
      </w:r>
      <w:proofErr w:type="spellEnd"/>
      <w:r w:rsidRPr="007E4001">
        <w:t>”,</w:t>
      </w:r>
    </w:p>
    <w:p w14:paraId="7719A1BB" w14:textId="77777777" w:rsidR="00F73C0E" w:rsidRPr="007E4001" w:rsidRDefault="00F73C0E" w:rsidP="00BA1188">
      <w:pPr>
        <w:pStyle w:val="NormalHanging"/>
      </w:pPr>
      <w:r w:rsidRPr="007E4001">
        <w:t>–</w:t>
      </w:r>
      <w:r w:rsidRPr="007E4001">
        <w:tab/>
        <w:t xml:space="preserve">ottaa huomioon 17. huhtikuuta 2024 julkaistun Enrico </w:t>
      </w:r>
      <w:proofErr w:type="spellStart"/>
      <w:r w:rsidRPr="007E4001">
        <w:t>Lettan</w:t>
      </w:r>
      <w:proofErr w:type="spellEnd"/>
      <w:r w:rsidRPr="007E4001">
        <w:t xml:space="preserve"> raportin ”</w:t>
      </w:r>
      <w:proofErr w:type="spellStart"/>
      <w:r w:rsidRPr="007E4001">
        <w:t>Much</w:t>
      </w:r>
      <w:proofErr w:type="spellEnd"/>
      <w:r w:rsidRPr="007E4001">
        <w:t xml:space="preserve"> </w:t>
      </w:r>
      <w:proofErr w:type="spellStart"/>
      <w:r w:rsidRPr="007E4001">
        <w:t>more</w:t>
      </w:r>
      <w:proofErr w:type="spellEnd"/>
      <w:r w:rsidRPr="007E4001">
        <w:t xml:space="preserve"> </w:t>
      </w:r>
      <w:proofErr w:type="spellStart"/>
      <w:r w:rsidRPr="007E4001">
        <w:t>than</w:t>
      </w:r>
      <w:proofErr w:type="spellEnd"/>
      <w:r w:rsidRPr="007E4001">
        <w:t xml:space="preserve"> a market” ja erityisesti sen luvun 3 ”A single market to play </w:t>
      </w:r>
      <w:proofErr w:type="spellStart"/>
      <w:r w:rsidRPr="007E4001">
        <w:t>big</w:t>
      </w:r>
      <w:proofErr w:type="spellEnd"/>
      <w:r w:rsidRPr="007E4001">
        <w:t xml:space="preserve">: </w:t>
      </w:r>
      <w:proofErr w:type="spellStart"/>
      <w:r w:rsidRPr="007E4001">
        <w:t>scale</w:t>
      </w:r>
      <w:proofErr w:type="spellEnd"/>
      <w:r w:rsidRPr="007E4001">
        <w:t xml:space="preserve"> </w:t>
      </w:r>
      <w:proofErr w:type="spellStart"/>
      <w:r w:rsidRPr="007E4001">
        <w:t>matters</w:t>
      </w:r>
      <w:proofErr w:type="spellEnd"/>
      <w:r w:rsidRPr="007E4001">
        <w:t>”,</w:t>
      </w:r>
    </w:p>
    <w:p w14:paraId="2D5E702E" w14:textId="77777777" w:rsidR="00F73C0E" w:rsidRPr="007E4001" w:rsidRDefault="00F73C0E" w:rsidP="00BA1188">
      <w:pPr>
        <w:pStyle w:val="NormalHanging"/>
      </w:pPr>
      <w:r w:rsidRPr="007E4001">
        <w:t>–</w:t>
      </w:r>
      <w:r w:rsidRPr="007E4001">
        <w:tab/>
        <w:t>ottaa huomioon 30. lokakuuta 2024 julkaistun Sauli Niinistön raportin ”</w:t>
      </w:r>
      <w:proofErr w:type="spellStart"/>
      <w:r w:rsidRPr="007E4001">
        <w:t>Safer</w:t>
      </w:r>
      <w:proofErr w:type="spellEnd"/>
      <w:r w:rsidRPr="007E4001">
        <w:t xml:space="preserve"> </w:t>
      </w:r>
      <w:proofErr w:type="spellStart"/>
      <w:r w:rsidRPr="007E4001">
        <w:t>Together</w:t>
      </w:r>
      <w:proofErr w:type="spellEnd"/>
      <w:r w:rsidRPr="007E4001">
        <w:t xml:space="preserve">: </w:t>
      </w:r>
      <w:proofErr w:type="spellStart"/>
      <w:r w:rsidRPr="007E4001">
        <w:t>Strengthening</w:t>
      </w:r>
      <w:proofErr w:type="spellEnd"/>
      <w:r w:rsidRPr="007E4001">
        <w:t xml:space="preserve"> </w:t>
      </w:r>
      <w:proofErr w:type="spellStart"/>
      <w:r w:rsidRPr="007E4001">
        <w:t>Europe’s</w:t>
      </w:r>
      <w:proofErr w:type="spellEnd"/>
      <w:r w:rsidRPr="007E4001">
        <w:t xml:space="preserve"> </w:t>
      </w:r>
      <w:proofErr w:type="spellStart"/>
      <w:r w:rsidRPr="007E4001">
        <w:t>Civilian</w:t>
      </w:r>
      <w:proofErr w:type="spellEnd"/>
      <w:r w:rsidRPr="007E4001">
        <w:t xml:space="preserve"> and </w:t>
      </w:r>
      <w:proofErr w:type="spellStart"/>
      <w:r w:rsidRPr="007E4001">
        <w:t>Military</w:t>
      </w:r>
      <w:proofErr w:type="spellEnd"/>
      <w:r w:rsidRPr="007E4001">
        <w:t xml:space="preserve"> </w:t>
      </w:r>
      <w:proofErr w:type="spellStart"/>
      <w:r w:rsidRPr="007E4001">
        <w:t>Preparedness</w:t>
      </w:r>
      <w:proofErr w:type="spellEnd"/>
      <w:r w:rsidRPr="007E4001">
        <w:t xml:space="preserve"> and Readiness” ja erityisesti sen luvun 7,</w:t>
      </w:r>
    </w:p>
    <w:p w14:paraId="1B026842" w14:textId="77777777" w:rsidR="00F73C0E" w:rsidRPr="007E4001" w:rsidRDefault="00F73C0E" w:rsidP="00BA1188">
      <w:pPr>
        <w:pStyle w:val="NormalHanging"/>
      </w:pPr>
      <w:r w:rsidRPr="007E4001">
        <w:t>–</w:t>
      </w:r>
      <w:r w:rsidRPr="007E4001">
        <w:tab/>
        <w:t>ottaa huomioon 10. tammikuuta 2023 annetun yhteisen julistuksen EU:n ja Naton yhteistyöstä,</w:t>
      </w:r>
    </w:p>
    <w:p w14:paraId="466673C2" w14:textId="77777777" w:rsidR="00F73C0E" w:rsidRPr="007E4001" w:rsidRDefault="00F73C0E" w:rsidP="00BA1188">
      <w:pPr>
        <w:pStyle w:val="NormalHanging"/>
      </w:pPr>
      <w:r w:rsidRPr="007E4001">
        <w:t>–</w:t>
      </w:r>
      <w:r w:rsidRPr="007E4001">
        <w:tab/>
        <w:t>ottaa huomioon Pohjois-Atlantin neuvoston kokoukseen Haagissa 25. kesäkuuta 2025 osallistuneiden Nato-maiden valtion- ja hallitusten johtajien antaman Haagin huippukokouksen julistuksen,</w:t>
      </w:r>
    </w:p>
    <w:p w14:paraId="6373B3C3" w14:textId="77777777" w:rsidR="00F73C0E" w:rsidRPr="007E4001" w:rsidRDefault="00F73C0E" w:rsidP="00BA1188">
      <w:pPr>
        <w:pStyle w:val="NormalHanging"/>
      </w:pPr>
      <w:r w:rsidRPr="007E4001">
        <w:t>–</w:t>
      </w:r>
      <w:r w:rsidRPr="007E4001">
        <w:tab/>
        <w:t>ottaa huomioon EU:n neuvoston 6. joulukuuta 2016 ja Naton neuvoston 5. joulukuuta 2017 vahvistamien yhteisten ehdotusten täytäntöönpanosta 10. kesäkuuta 2025 annetun kymmenennen tilanneselvityksen,</w:t>
      </w:r>
    </w:p>
    <w:p w14:paraId="68C43B52" w14:textId="77777777" w:rsidR="00F73C0E" w:rsidRPr="007E4001" w:rsidRDefault="00F73C0E" w:rsidP="00BA1188">
      <w:pPr>
        <w:pStyle w:val="NormalHanging"/>
      </w:pPr>
      <w:r w:rsidRPr="007E4001">
        <w:t>–</w:t>
      </w:r>
      <w:r w:rsidRPr="007E4001">
        <w:tab/>
        <w:t>ottaa huomioon puolustusmateriaalialan yhteistyöorganisaation (OCCAR) hallinnoimat yhteistoiminnalliset kalusto-ohjelmat,</w:t>
      </w:r>
    </w:p>
    <w:p w14:paraId="4B249FD1" w14:textId="77777777" w:rsidR="00F73C0E" w:rsidRPr="007E4001" w:rsidRDefault="00F73C0E" w:rsidP="00BA1188">
      <w:pPr>
        <w:pStyle w:val="NormalHanging"/>
      </w:pPr>
      <w:r w:rsidRPr="007E4001">
        <w:t>–</w:t>
      </w:r>
      <w:r w:rsidRPr="007E4001">
        <w:tab/>
        <w:t>ottaa huomioon 12. maaliskuuta 2025 antamansa päätöslauselman Euroopan puolustuksen tulevaisuutta käsittelevästä valkoisesta kirjasta</w:t>
      </w:r>
      <w:r w:rsidRPr="007E4001">
        <w:rPr>
          <w:rStyle w:val="FootnoteReference"/>
        </w:rPr>
        <w:footnoteReference w:id="5"/>
      </w:r>
      <w:r w:rsidRPr="007E4001">
        <w:t xml:space="preserve"> ja erityisesti sen 4 ja 58 kohdan,</w:t>
      </w:r>
    </w:p>
    <w:p w14:paraId="5713E566" w14:textId="77777777" w:rsidR="00F73C0E" w:rsidRPr="007E4001" w:rsidRDefault="00F73C0E" w:rsidP="00BA1188">
      <w:pPr>
        <w:pStyle w:val="NormalHanging"/>
      </w:pPr>
      <w:r w:rsidRPr="007E4001">
        <w:lastRenderedPageBreak/>
        <w:t>–</w:t>
      </w:r>
      <w:r w:rsidRPr="007E4001">
        <w:tab/>
        <w:t>ottaa huomioon 2. huhtikuuta 2025 antamansa päätöslauselman yhteisen turvallisuus- ja puolustuspolitiikan täytäntöönpanosta – vuosikertomus 2024</w:t>
      </w:r>
      <w:r w:rsidRPr="007E4001">
        <w:rPr>
          <w:rStyle w:val="FootnoteReference"/>
        </w:rPr>
        <w:footnoteReference w:id="6"/>
      </w:r>
      <w:r w:rsidRPr="007E4001">
        <w:t xml:space="preserve"> ja erityisesti sen 46 kohdan,</w:t>
      </w:r>
    </w:p>
    <w:p w14:paraId="3154570B" w14:textId="77777777" w:rsidR="00F73C0E" w:rsidRPr="007E4001" w:rsidRDefault="00F73C0E" w:rsidP="00BA1188">
      <w:pPr>
        <w:pStyle w:val="NormalHanging"/>
      </w:pPr>
      <w:r w:rsidRPr="007E4001">
        <w:t>–</w:t>
      </w:r>
      <w:r w:rsidRPr="007E4001">
        <w:tab/>
        <w:t>ottaa huomioon työjärjestyksen 55 artiklan,</w:t>
      </w:r>
    </w:p>
    <w:p w14:paraId="0B9C046F" w14:textId="77777777" w:rsidR="00F73C0E" w:rsidRPr="007E4001" w:rsidRDefault="00F73C0E" w:rsidP="00BA1188">
      <w:pPr>
        <w:pStyle w:val="NormalHanging"/>
      </w:pPr>
      <w:r w:rsidRPr="007E4001">
        <w:t>–</w:t>
      </w:r>
      <w:r w:rsidRPr="007E4001">
        <w:tab/>
        <w:t>ottaa huomioon sisämarkkina- ja kuluttajansuojavaliokunnan lausunnon,</w:t>
      </w:r>
    </w:p>
    <w:p w14:paraId="7B62DC14" w14:textId="77777777" w:rsidR="00F73C0E" w:rsidRPr="007E4001" w:rsidRDefault="00F73C0E" w:rsidP="00BA1188">
      <w:pPr>
        <w:pStyle w:val="NormalHanging"/>
      </w:pPr>
      <w:r w:rsidRPr="007E4001">
        <w:t>–</w:t>
      </w:r>
      <w:r w:rsidRPr="007E4001">
        <w:tab/>
        <w:t>ottaa huomioon turvallisuus- ja puolustuspolitiikan valiokunnan mietinnön (A10</w:t>
      </w:r>
      <w:r w:rsidRPr="007E4001">
        <w:noBreakHyphen/>
        <w:t>0014/2026),</w:t>
      </w:r>
    </w:p>
    <w:p w14:paraId="1AA1EF97" w14:textId="77777777" w:rsidR="00F73C0E" w:rsidRPr="007E4001" w:rsidRDefault="00F73C0E" w:rsidP="00BA1188">
      <w:pPr>
        <w:pStyle w:val="NormalHanging"/>
      </w:pPr>
      <w:r w:rsidRPr="007E4001">
        <w:t>A.</w:t>
      </w:r>
      <w:r w:rsidRPr="007E4001">
        <w:tab/>
        <w:t>katsoo, että maailmanlaajuisen rauhan ja turvallisuuden heikkenemisen, Venäjän Ukrainaa vastaan käymän hyökkäyssodan ja EU:n turvallisuuteen kohdistuvien uusien ja muuttuvien uhkien syntymisen aiheuttamat haasteet edellyttävät, että EU ja sen jäsenvaltiot lisäävät merkittävästi puolustusinvestointejaan, jotta voidaan kehittää sotilaallisia suorituskykyjä ja tiedusteluvalmiuksia, joiden avulla ne voivat puolustaa suvereniteettiaan, itsenäisyyttään ja alueellista koskemattomuuttaan, vahvistaa pelotevaikutusta sekä toimia ja reagoida välittömiin ja tuleviin uhkiin itsenäisesti tai yhteistyössä liittolaistensa kanssa, erityisesti Natossa;</w:t>
      </w:r>
    </w:p>
    <w:p w14:paraId="5171454D" w14:textId="77777777" w:rsidR="00F73C0E" w:rsidRPr="007E4001" w:rsidRDefault="00F73C0E" w:rsidP="00BA1188">
      <w:pPr>
        <w:pStyle w:val="NormalHanging"/>
      </w:pPr>
      <w:r w:rsidRPr="007E4001">
        <w:t>B.</w:t>
      </w:r>
      <w:r w:rsidRPr="007E4001">
        <w:tab/>
        <w:t>toteaa, että yleistyvät hyökkäykset Euroopan kriittistä infrastruktuuria vastaan, mukaan lukien kyberhyökkäykset ja sabotaasit, uhkaavat vakavasti arkielämää ja taloudellista toimintaa kaikkialla EU:ssa ja että ne edellyttävät koordinoituja EU:n toimia laajamittaisten eurooppalaisten hankkeiden kautta;</w:t>
      </w:r>
    </w:p>
    <w:p w14:paraId="017C85D3" w14:textId="77777777" w:rsidR="00F73C0E" w:rsidRPr="007E4001" w:rsidRDefault="00F73C0E" w:rsidP="00BA1188">
      <w:pPr>
        <w:pStyle w:val="NormalHanging"/>
      </w:pPr>
      <w:r w:rsidRPr="007E4001">
        <w:t>C.</w:t>
      </w:r>
      <w:r w:rsidRPr="007E4001">
        <w:tab/>
        <w:t xml:space="preserve">ottaa huomioon, että sodankäynnissä, jota ovat perinteisesti hallinneet tavanomaiset aseet, vaikuttaa olevan käynnissä siirtymä raudasta verkkoon; ottaa huomioon, että siihen sisältyy yhä enemmän kybervalmiuksia ja verkotettuja operaatioita ja että uudet teknologiat ja tekoäly muuttavat sodankäyntistrategioita niin, etteivät ne enää rajoitu suureen tulivoimaan ja laajamittaisiin yhteenottoihin vaan niissä siirrytään kohti järjestelmien </w:t>
      </w:r>
      <w:proofErr w:type="spellStart"/>
      <w:r w:rsidRPr="007E4001">
        <w:t>miniatyrisointia</w:t>
      </w:r>
      <w:proofErr w:type="spellEnd"/>
      <w:r w:rsidRPr="007E4001">
        <w:t xml:space="preserve"> ja hajauttamista, mistä on osoituksena droonien ja </w:t>
      </w:r>
      <w:proofErr w:type="spellStart"/>
      <w:r w:rsidRPr="007E4001">
        <w:t>drooniparvien</w:t>
      </w:r>
      <w:proofErr w:type="spellEnd"/>
      <w:r w:rsidRPr="007E4001">
        <w:t xml:space="preserve"> käyttö kaikissa toimintaympäristöissä sekä tekoälyä hyödyntävien aseiden, älykkäiden miinojen ja kannettavien ohjusjärjestelmien käyttö taistelukentillä; ottaa huomioon, että hävittäjät, laivat, tykistö, taistelupanssarivaunut ja maa-ajoneuvot ovat yhä alttiimpia </w:t>
      </w:r>
      <w:proofErr w:type="spellStart"/>
      <w:r w:rsidRPr="007E4001">
        <w:t>täsmäiskuille</w:t>
      </w:r>
      <w:proofErr w:type="spellEnd"/>
      <w:r w:rsidRPr="007E4001">
        <w:t xml:space="preserve"> ja vaativat siksi parempaa suojaa, koska ne ovat edelleen välttämättömiä sotilas- ja turvallisuusoperaatioille; ottaa huomioon, että perinteisiä asejärjestelmiä ja ampumatarvikkeita on tarvittaessa edelleen tuotettava ja käytettävä laajamittaisesti;</w:t>
      </w:r>
    </w:p>
    <w:p w14:paraId="2126A3E1" w14:textId="77777777" w:rsidR="00F73C0E" w:rsidRPr="007E4001" w:rsidRDefault="00F73C0E" w:rsidP="00BA1188">
      <w:pPr>
        <w:pStyle w:val="NormalHanging"/>
      </w:pPr>
      <w:r w:rsidRPr="007E4001">
        <w:t>D.</w:t>
      </w:r>
      <w:r w:rsidRPr="007E4001">
        <w:tab/>
        <w:t xml:space="preserve">toteaa tämän uuden konfliktiparadigman merkitsevän sitä, että aggression, häirinnän, disinformaation, psykologisen </w:t>
      </w:r>
      <w:proofErr w:type="spellStart"/>
      <w:r w:rsidRPr="007E4001">
        <w:t>subversion</w:t>
      </w:r>
      <w:proofErr w:type="spellEnd"/>
      <w:r w:rsidRPr="007E4001">
        <w:t xml:space="preserve"> tai hybridihyökkäysten mahdollinen uhka voi kohdistua mihin tahansa EU:n alueeseen; ottaa huomioon, että edelleen on ratkaisevan tärkeää valmistautua strategisesti pitkittyneeseen konfliktiin, jotta voidaan varmistaa pitkän aikavälin turvallisuus- ja puolustuskestävyys;</w:t>
      </w:r>
    </w:p>
    <w:p w14:paraId="6269B95E" w14:textId="77777777" w:rsidR="00F73C0E" w:rsidRPr="007E4001" w:rsidRDefault="00F73C0E" w:rsidP="00BA1188">
      <w:pPr>
        <w:pStyle w:val="NormalHanging"/>
      </w:pPr>
      <w:r w:rsidRPr="007E4001">
        <w:t>E.</w:t>
      </w:r>
      <w:r w:rsidRPr="007E4001">
        <w:tab/>
        <w:t xml:space="preserve">ottaa huomioon, että avaruudesta on tulossa yhä ruuhkaisempi ja kilpaillumpi strateginen toimintaympäristö, kun sekä maa- että avaruussegmenttien aseistaminen lisääntyy; ottaa huomioon, että Nato on määritellyt avaruuden viidenneksi strategiseksi </w:t>
      </w:r>
      <w:r w:rsidRPr="007E4001">
        <w:lastRenderedPageBreak/>
        <w:t>toimintaympäristöksi ja pannut merkille avaruudesta lähtöisin olevat kasvavat turvallisuushaasteet ja siten tarpeen parantaa sen turvallisuutta;</w:t>
      </w:r>
    </w:p>
    <w:p w14:paraId="0CF92D32" w14:textId="77777777" w:rsidR="00F73C0E" w:rsidRPr="007E4001" w:rsidRDefault="00F73C0E" w:rsidP="00BA1188">
      <w:pPr>
        <w:pStyle w:val="NormalHanging"/>
      </w:pPr>
      <w:r w:rsidRPr="007E4001">
        <w:t>F.</w:t>
      </w:r>
      <w:r w:rsidRPr="007E4001">
        <w:tab/>
        <w:t>ottaa huomioon, että 5. maaliskuuta 2024 antamassaan yhteisessä tiedonannossa ”Uusi Euroopan puolustusteollisuusstrategia” komissio toi esiin, että vuonna 2022 EU:n jäsenvaltiot käyttivät kaikista tarvikemenoista vain 18 prosenttia EU:n puolustustarvikkeiden yhteishankintoihin, mikä on huomattavasti vähemmän kuin nykyinen 35 prosentin yhteinen viitearvo, jonka jäsenvaltiot asettivat puolustusviraston ministeritason johtokunnassa vuonna 2007; ottaa huomioon, että etenemissuunnitelmassa ”Rauhan puolesta – puolustusvalmiuden tiekartta 2030” asetetaan tavoitteeksi järjestää vähintään 40 prosenttia puolustushankinnoista yhteishankintoina vuoden 2027 loppuun mennessä; ottaa huomioon, että Euroopan puolustusteollisuuden kapasiteetin lisäämiseksi Eurooppa-neuvosto kehotti 23. lokakuuta 2025 jäsenvaltioita suuntaamaan puolustusviraston tuella puolustusinvestointeja yhä enemmän yhteiseen kehittämiseen ja tuotantoon sekä yhteishankintoihin; ottaa huomioon, että täysin toimintakykyisten markkinoiden luomiseksi on olennaista koordinoida toimia jäsenvaltioiden kesken, jotta voidaan varmistaa resurssien tehokas kohdentaminen, vähentää hajanaisuutta ja nopeuttaa innovatiivisten puolustusteknologioiden kehittämistä; toteaa, että näiden tavoitteiden saavuttaminen edellyttää vahvempia kannustimia ja hallinnollisen taakan vähentämistä ja että samalla on varmistettava, että yhteistyö on edelleen markkinalähtöistä ja perustuu sotilaallisia suorituskykyjä koskeviin vaatimuksiin sekä EU:n, sen jäsenvaltioiden ja Naton täydentäviin puolustussuunnitteluprosesseihin;</w:t>
      </w:r>
    </w:p>
    <w:p w14:paraId="4E479175" w14:textId="77777777" w:rsidR="00F73C0E" w:rsidRPr="007E4001" w:rsidRDefault="00F73C0E" w:rsidP="00BA1188">
      <w:pPr>
        <w:pStyle w:val="NormalHanging"/>
      </w:pPr>
      <w:r w:rsidRPr="007E4001">
        <w:t>G.</w:t>
      </w:r>
      <w:r w:rsidRPr="007E4001">
        <w:tab/>
        <w:t>ottaa huomioon, että etenemissuunnitelmassa ”Rauhan puolesta – puolustusvalmiuden tiekartta 2030” esitettyjen ”eurooppalaisten valmiuden lippulaivahankkeiden” perustana on puolustukseen sovellettava kokonaisvaltainen lähestymistapa, joka kattaa sekä suojautumisen suorilta sotilaallisilta hyökkäyksiltä että varautumisen hybridiuhkiin; toteaa niiden tarjoavan tilaisuuden edistää innovointia, yhteistoimintakykyä ja kilpailukykyä EU:n puolustusteollisuudessa kehittämällä murrosteknologioita koskevia innovatiivisia yhteisiä teollisuuskumppanuuksia, vahvistamalla merkittävästi Euroopan puolustuksen teollista ja teknologista perustaa ja vähentämällä sen riippuvuutta kolmansien maiden teknologioista;</w:t>
      </w:r>
    </w:p>
    <w:p w14:paraId="2AA41B7C" w14:textId="77777777" w:rsidR="00F73C0E" w:rsidRPr="007E4001" w:rsidRDefault="00F73C0E" w:rsidP="00BA1188">
      <w:pPr>
        <w:pStyle w:val="NormalHanging"/>
      </w:pPr>
      <w:r w:rsidRPr="007E4001">
        <w:t>H.</w:t>
      </w:r>
      <w:r w:rsidRPr="007E4001">
        <w:tab/>
        <w:t xml:space="preserve">ottaa huomioon, että EU:n itärajoilla sijaitsevat jäsenvaltiot ovat kaikkein alttiimpina vakaville uhkille ja olennaisen tärkeitä koko EU:n turvallisuuden kannalta; ottaa huomioon, että Eurooppa-neuvoston 23. lokakuuta 2025 antamissa päätelmissä todettiin, että EU:n itäosiin kohdistuvia välittömiä uhkia ja konkreettisen tuen antamista jäsenvaltioille on käsiteltävä ensi tilassa; ottaa huomioon, että etenemissuunnitelmassa ”Rauhan puolesta – puolustusvalmiuden tiekartta 2030” nostetaan esiin eurooppalainen </w:t>
      </w:r>
      <w:proofErr w:type="spellStart"/>
      <w:r w:rsidRPr="007E4001">
        <w:t>droonipuolustusaloite</w:t>
      </w:r>
      <w:proofErr w:type="spellEnd"/>
      <w:r w:rsidRPr="007E4001">
        <w:t xml:space="preserve"> ja itäisen sivustan valvonta aloitteina, jotka olisi käynnistettävä ensin; ottaa huomioon, että ehdotuksen mukaisesti itäisen sivustan valvonnalla on määrä vahvistaa EU:n itärajoja integroimalla maa-, meri- ja ilmapuolustuksen suorituskyvyt tehokkaisiin ja ajanmukaisiin </w:t>
      </w:r>
      <w:proofErr w:type="spellStart"/>
      <w:r w:rsidRPr="007E4001">
        <w:t>droonientorjuntajärjestelmiin</w:t>
      </w:r>
      <w:proofErr w:type="spellEnd"/>
      <w:r w:rsidRPr="007E4001">
        <w:t xml:space="preserve"> ja -teknologioihin, jotka ovat olennaisen tärkeitä myös eurooppalaisen </w:t>
      </w:r>
      <w:proofErr w:type="spellStart"/>
      <w:r w:rsidRPr="007E4001">
        <w:t>droonipuolustusaloitteen</w:t>
      </w:r>
      <w:proofErr w:type="spellEnd"/>
      <w:r w:rsidRPr="007E4001">
        <w:t xml:space="preserve"> kannalta;</w:t>
      </w:r>
    </w:p>
    <w:p w14:paraId="74BF1FB0" w14:textId="30835BF1" w:rsidR="00F73C0E" w:rsidRPr="007E4001" w:rsidRDefault="00F73C0E" w:rsidP="00BA1188">
      <w:pPr>
        <w:pStyle w:val="NormalHanging"/>
      </w:pPr>
      <w:r w:rsidRPr="007E4001">
        <w:t>I.</w:t>
      </w:r>
      <w:r w:rsidRPr="007E4001">
        <w:tab/>
        <w:t xml:space="preserve">ottaa huomioon, että puolustustarvikkeiden loppukäyttäjiä ovat pääasiassa jäsenvaltioiden kansalliset asevoimat ja että jäsenvaltiot voivat siksi harkita puolustusteollisuuden hankkeisiin tekemiensä investointien lisäämistä vain, jos nämä hankkeet koskevat sellaisten sotilaallisten suorituskykyjen kehittämistä, jotka ovat niiden asevoimien yhteisen edun mukaisia; ottaa huomioon, että SEUT 346 artiklassa määrätään, että jokainen jäsenvaltio voi toteuttaa toimenpiteet, jotka se katsoo </w:t>
      </w:r>
      <w:r w:rsidRPr="007E4001">
        <w:lastRenderedPageBreak/>
        <w:t>tarpeellisiksi keskeisten turvallisuusetujensa turvaamiseksi ja jotka liittyvät aseiden, ammusten ja sotatarvikkeiden tuotantoon tai kauppaan;</w:t>
      </w:r>
    </w:p>
    <w:p w14:paraId="632F9341" w14:textId="77777777" w:rsidR="00F73C0E" w:rsidRPr="007E4001" w:rsidRDefault="00F73C0E" w:rsidP="00BA1188">
      <w:pPr>
        <w:pStyle w:val="NormalHanging"/>
      </w:pPr>
      <w:r w:rsidRPr="007E4001">
        <w:t>J.</w:t>
      </w:r>
      <w:r w:rsidRPr="007E4001">
        <w:tab/>
        <w:t>ottaa huomioon, että turvallisuus- ja puolustusalan strategisessa kompassissa asetetaan tavoitteeksi kehittää kannustimia, joilla edistetään jäsenvaltioiden yhteistoiminnallisia investointeja yhteisiin hankkeisiin ja EU:ssa yhteistyössä kehitettyjen sotilaallisten suorituskykyjen yhteishankintoihin;</w:t>
      </w:r>
    </w:p>
    <w:p w14:paraId="3331093E" w14:textId="77777777" w:rsidR="00F73C0E" w:rsidRPr="007E4001" w:rsidRDefault="00F73C0E" w:rsidP="00BA1188">
      <w:pPr>
        <w:pStyle w:val="NormalHanging"/>
      </w:pPr>
      <w:r w:rsidRPr="007E4001">
        <w:t>K.</w:t>
      </w:r>
      <w:r w:rsidRPr="007E4001">
        <w:tab/>
        <w:t>ottaa huomioon, että Euroopan puolustusteollisuusohjelman perustamisesta annetussa asetuksessa (EU) 2025/2643 säädetään yhteistä etua koskevien eurooppalaisten puolustushankkeiden täytäntöönpanosta; ottaa huomioon, että yhteistä etua koskevat eurooppalaiset puolustushankkeet koostuvat teollisuuden yhteistyöhankkeista, joilla pyritään vahvistamaan Euroopan puolustuksen teollisen ja teknologisen perustan kilpailukykyä koko unionissa ja edistämään samalla jäsenvaltioiden sellaisten sotilaallisten suorituskykyjen kehittämistä, jotka ovat unionin turvallisuus- ja puolustusetujen kannalta kriittisiä, sekä edistämään avointa ja modulaarista arkkitehtuuria, kaksikäyttöisiä innovaatioita ja pienten sekä keskisuurten yritysten (pk</w:t>
      </w:r>
      <w:r w:rsidRPr="007E4001">
        <w:noBreakHyphen/>
        <w:t xml:space="preserve">yritysten) ja </w:t>
      </w:r>
      <w:proofErr w:type="spellStart"/>
      <w:r w:rsidRPr="007E4001">
        <w:t>midcap</w:t>
      </w:r>
      <w:proofErr w:type="spellEnd"/>
      <w:r w:rsidRPr="007E4001">
        <w:t xml:space="preserve">-yritysten rajaylittävää osallistumista </w:t>
      </w:r>
      <w:bookmarkStart w:id="8" w:name="_Hlk219991787"/>
      <w:r w:rsidRPr="007E4001">
        <w:t xml:space="preserve">kaikissa toimintaympäristöissä eli maa-, meri-, ilma-, avaruus- ja kybertoimintaympäristöissä; </w:t>
      </w:r>
      <w:bookmarkEnd w:id="8"/>
      <w:r w:rsidRPr="007E4001">
        <w:t>ottaa huomioon, että EDIP-ohjelma sisältää myös Euroopan puolustusmateriaaliohjelmaa varten tarkoitetut rakenteet (SEAP-rakenteet) eli uuden oikeudellisen kehyksen, jota voidaan käyttää yhteistoiminnallisiin puolustusmateriaalialoitteisiin lippulaivahankkeiden puitteissa;</w:t>
      </w:r>
    </w:p>
    <w:p w14:paraId="7B3C6730" w14:textId="77777777" w:rsidR="00F73C0E" w:rsidRPr="007E4001" w:rsidRDefault="00F73C0E" w:rsidP="00BA1188">
      <w:pPr>
        <w:pStyle w:val="NormalHanging12a"/>
      </w:pPr>
      <w:r w:rsidRPr="007E4001">
        <w:t>L.</w:t>
      </w:r>
      <w:r w:rsidRPr="007E4001">
        <w:tab/>
        <w:t>ottaa huomioon, että kuten etenemissuunnitelmassa ”Rauhan puolesta – puolustusvalmiuden tiekartta 2030” korostetaan, Ukraina on edelleen Euroopan ensimmäinen puolustuslinja ja olennainen osa Euroopan puolustus- ja turvallisuusrakennetta; katsoo, että EU:n ja Ukrainan yhteistyö puolustusteollisuuden alalla, etenkin lippulaivahankkeiden tai yhteistä etua koskevien eurooppalaisten puolustushankkeiden yhteydessä, on erittäin tärkeää kummankin osapuolen markkinoiden, kilpailukyvyn ja innovointipotentiaalin kannalta;</w:t>
      </w:r>
    </w:p>
    <w:p w14:paraId="574F8A35" w14:textId="77777777" w:rsidR="00F73C0E" w:rsidRPr="007E4001" w:rsidRDefault="00F73C0E" w:rsidP="00BA1188">
      <w:pPr>
        <w:pStyle w:val="NormalHanging12a"/>
      </w:pPr>
      <w:r w:rsidRPr="007E4001">
        <w:t>1.</w:t>
      </w:r>
      <w:r w:rsidRPr="007E4001">
        <w:tab/>
        <w:t xml:space="preserve">toteaa, että EU:n jäsenvaltioiden puolustusmenot ovat kaiken kaikkiaan kasvaneet, mikä on selkeä osoitus siitä, että ne ovat päättäneet reagoida heikkenevään turvallisuusympäristöön parantamalla sotilaallisia suorituskykyjä, vahvistamalla pelotevaikutusta ja lujittamalla yhteistä sitoutumistaan eurooppalaiseen ja transatlanttiseen puolustukseen; panee merkille, että jotkin jäsenvaltiot, etenkin EU:n itärajoilla sijaitsevat jäsenvaltiot, ovat saavuttaneet tai ylittäneet Naton menotavoitteen, jonka mukaan puolustusmenoihin käytetään kaksi prosenttia niiden BKT:stä vuoden 2025 loppuun mennessä; </w:t>
      </w:r>
    </w:p>
    <w:p w14:paraId="2175F124" w14:textId="24C3E3E2" w:rsidR="00F73C0E" w:rsidRPr="007E4001" w:rsidRDefault="00F73C0E" w:rsidP="00BA1188">
      <w:pPr>
        <w:pStyle w:val="NormalHanging12a"/>
        <w:ind w:left="567" w:hanging="567"/>
      </w:pPr>
      <w:r w:rsidRPr="007E4001">
        <w:t>2.</w:t>
      </w:r>
      <w:r w:rsidRPr="007E4001">
        <w:tab/>
        <w:t>toteaa myös, että Euroopan turvallisuuden ja puolustuksen vahvistaminen edellyttää pelkän kansallisten puolustusmenojen lisäämisen lisäksi myös kattavaa siirtymistä koordinoinnin, tehokkuuden ja integroinnin lisäämiseen siinä, kuinka jäsenvaltiot kehittävät ja panevat täytäntöön puolustuspolitiikkaansa ja osoittavat siihen resursseja; korostaa, että tämä siirtyminen pääasiassa kansallisesta puolustusta koskevasta lähestymistavasta yhteiseen käsitykseen unionin yhteisestä turvallisuudesta ja pelotevaikutuksesta on toteutettava kunnioittaen kaikilta osin jäsenvaltioiden suvereniteettia ja niiden toimivaltaa turvallisuuden ja puolustuksen alalla SEU 4 artiklan 2 kohdan mukaisesti;</w:t>
      </w:r>
    </w:p>
    <w:p w14:paraId="44B0BC68" w14:textId="77777777" w:rsidR="00F73C0E" w:rsidRPr="007E4001" w:rsidRDefault="00F73C0E" w:rsidP="00BA1188">
      <w:pPr>
        <w:pStyle w:val="NormalHanging12a"/>
      </w:pPr>
      <w:r w:rsidRPr="007E4001">
        <w:lastRenderedPageBreak/>
        <w:t>3.</w:t>
      </w:r>
      <w:r w:rsidRPr="007E4001">
        <w:tab/>
        <w:t>panee merkille, että puolustustoimien lisääntymisestä huolimatta EU:lla ja sen jäsenvaltioilla on edelleen jatkuvia puutteita yhteisissä strategisissa suorituskyvyissä, johtamisrakenteissa ja kestävässä sotilaallisessa valmiudessa; korostaa erityisesti, että jäsenvaltiot ovat alustavasti määrittäneet seuraavat ensisijaiset suorituskykyaukot</w:t>
      </w:r>
      <w:r w:rsidRPr="007E4001">
        <w:rPr>
          <w:vertAlign w:val="superscript"/>
        </w:rPr>
        <w:footnoteReference w:id="7"/>
      </w:r>
      <w:r w:rsidRPr="007E4001">
        <w:t xml:space="preserve">: ilma- ja ohjuspuolustus, tykistöjärjestelmät, ohjukset ja ampumatarvikkeet, </w:t>
      </w:r>
      <w:proofErr w:type="spellStart"/>
      <w:r w:rsidRPr="007E4001">
        <w:t>droonit</w:t>
      </w:r>
      <w:proofErr w:type="spellEnd"/>
      <w:r w:rsidRPr="007E4001">
        <w:t xml:space="preserve"> ja </w:t>
      </w:r>
      <w:proofErr w:type="spellStart"/>
      <w:r w:rsidRPr="007E4001">
        <w:t>droonientorjuntajärjestelmät</w:t>
      </w:r>
      <w:proofErr w:type="spellEnd"/>
      <w:r w:rsidRPr="007E4001">
        <w:t>, strategiset edellytykset, myös avaruus- ja kriittisen infrastruktuurin osalta, sotilaallinen liikkuvuus, kyberturvallisuus, tekoäly ja sähköinen sodankäynti, maataistelu ja merellinen turvallisuus; korostaa, että nämä puutteet rajoittavat merkittävästi EU:n ja sen jäsenvaltioiden kykyä vahvistaa pelotevaikutusta ja pitää yllä pitkään jatkuvaa laajamittaista puolustustoimintaa hybridisodankäynnin tai tavanomaisen sodankäynnin toimien todennäköisyyden kasvaessa; kehottaa toteuttamaan kiireellisiä toimenpiteitä, jotta voidaan korjata nämä kriittiset suorituskykyjen puutteet sekä strategisissa että teollisissa kysymyksissä tehtävän tehostetun yhteistyön, koordinoidun suunnittelun ja kohdennettujen investointien avulla ja siten varmistaa puolustusvalmius; panee merkille Euroopan puolustuksen teollisen ja teknologisen perustan sidosryhmien toimet tällaisten haasteiden ratkaisemiseksi;</w:t>
      </w:r>
    </w:p>
    <w:p w14:paraId="4B38C2D0" w14:textId="77777777" w:rsidR="00F73C0E" w:rsidRPr="007E4001" w:rsidRDefault="00F73C0E" w:rsidP="00BA1188">
      <w:pPr>
        <w:pStyle w:val="NormalHanging12a"/>
      </w:pPr>
      <w:r w:rsidRPr="007E4001">
        <w:t>4.</w:t>
      </w:r>
      <w:r w:rsidRPr="007E4001">
        <w:tab/>
        <w:t>korostaa, että suorituskykypuutteiden paikkaaminen edellyttää sellaisten riippumattomien strategisten edellytysten kehittämistä, joita ilman jäsenvaltioiden asevoimat eivät voi tehokkaasti toteuttaa yhteisiä sotilasoperaatioita; suosittelee tässä yhteydessä, että kehitetään turvallinen ja varma yhteinen rakenne johtamista, valvontaa, viestintää, tiedustelua, tarkkailua, maalinmääritystä ja taktista tiedustelua varten ja kehitetään yhteisiä sotilaallisia suorituskykyjä avaruuden, strategisten ilma- ja merikuljetusten, ilmatankkauksen sekä kemiallisten, biologisten ja säteilyyn ja ydinaineisiin liittyvien riskien ehkäisemisen aloilla; toteaa, että Euroopan puolustusvirasto tarjoaa yleiskuvan ja analyysin EU:n puolustusympäristöstä ja antaa suosituksia suorituskykyjen kehittämistä ja hankintaa koskevan yhteistyön mahdollisuuksista suorituskykyjen kehittämisen prioriteettien ja puolustuksen koordinoidun vuosittaisen tarkastelun avulla, ja antaa virastolle tunnustusta tästä työstä;</w:t>
      </w:r>
    </w:p>
    <w:p w14:paraId="5B968804" w14:textId="77777777" w:rsidR="00F73C0E" w:rsidRPr="007E4001" w:rsidRDefault="00F73C0E" w:rsidP="00BA1188">
      <w:pPr>
        <w:pStyle w:val="NormalHanging12a"/>
      </w:pPr>
      <w:r w:rsidRPr="007E4001">
        <w:t>5.</w:t>
      </w:r>
      <w:r w:rsidRPr="007E4001">
        <w:tab/>
        <w:t xml:space="preserve">palauttaa mieliin, että Nato ja EU toimivat toisiaan täydentävästi, johdonmukaisesti ja toisiaan vahvistavasti; kehottaa lisäämään EU:n jäsenvaltioiden ja Nato-liittolaisten sitoutumista yhteistyöhön EU:n ja Naton yhteistyöstä 10. tammikuuta 2023 annetun kolmannen yhteisen julistuksen mukaisesti, jotta voidaan kehittää sotilaallisia suorituskykyjä ja korjata nykyisiä puutteita; korostaa, että kaikki tähän liittyvät eurooppalaiset toimet olisi toteutettava tiiviissä yhteistyössä Naton kanssa, </w:t>
      </w:r>
      <w:bookmarkStart w:id="9" w:name="_Hlk214465974"/>
      <w:r w:rsidRPr="007E4001">
        <w:t>jotta voidaan vahvistaa teollista yhteistyötä ja yhteistoimintakykyä; kehottaa lisäämään Euroopan osallistumista Naton nykyisiin yhteistyörakenteisiin</w:t>
      </w:r>
      <w:bookmarkEnd w:id="9"/>
      <w:r w:rsidRPr="007E4001">
        <w:t xml:space="preserve"> ja muistuttaa myös tarpeesta varmistaa tulosten johdonmukaisuus EU:n suorituskykyjen suunnitteluprosessin ja Naton suunnittelu- ja arviointiprosessin välillä; kehottaa parantamaan puolustustarvikkeiden yhteentoimivuutta EU:n jäsenvaltioiden ja Nato-liittolaisten välillä etenkin varmistamalla niiden standardien ja eritelmien yhteensopivuus;</w:t>
      </w:r>
    </w:p>
    <w:p w14:paraId="38ECF538" w14:textId="77777777" w:rsidR="00F73C0E" w:rsidRPr="007E4001" w:rsidRDefault="00F73C0E" w:rsidP="00BA1188">
      <w:pPr>
        <w:pStyle w:val="NormalHanging12a"/>
      </w:pPr>
      <w:r w:rsidRPr="007E4001">
        <w:t>6.</w:t>
      </w:r>
      <w:r w:rsidRPr="007E4001">
        <w:tab/>
        <w:t xml:space="preserve">toteaa, että joihinkin välittömiin puolustustarpeisiin on vielä tarpeen vastata EU:n ulkopuolisten maiden toimituksilla tai tuella; korostaa lisäksi, että Euroopan turvallisuus on edelleen erittäin riippuvainen EU:n ulkopuolisten maiden puolustusteollisuudesta; tähdentää, että kun otetaan huomioon nykyinen geopoliittinen tilanne ja vaatimus, jonka mukaan EU:n on otettava suurempi vastuu puolustuksesta, tarvitaan hallittua ja asteittaista siirtymää riippuvuudesta EU:n ulkopuolisista maista strategiseen </w:t>
      </w:r>
      <w:r w:rsidRPr="007E4001">
        <w:lastRenderedPageBreak/>
        <w:t>riippumattomuuteen ja Euroopan puolustuksen teollisen ja teknologisen perustan vahvistamiseen; on yhtä mieltä tavoitteesta vähentää merkittävästi riippuvuutta EU:n ulkopuolisista valmistajista ja toimittajista tai poistaa se vähitellen mahdollisimman pitkälti, myös raaka-aineiden ja harvinaisten maametallien alalla, kun EU:lla on olemassa tai EU:ssa voidaan kehittää vastaavia ratkaisuja, jotka ovat olennaisen tärkeitä EU:n strategisen riippumattomuuden ja toimitusvarmuuden kannalta; kehottaa siksi toteuttamaan toimenpiteitä, joilla vahvistetaan Euroopan puolustuksen teollista ja teknologista perustaa ja parannetaan sen kilpailukykyä, myös suosimalla kunnianhimoisesti ja dynaamisesti EU:ta puolustushankinnoissa, luomalla avoimet ja kilpailulliset markkinat EU:n yrityksille, tekemällä rajatylittävää teollista yhteistyötä EU:ssa ja luotettavien ja samanmielisten kumppaneiden kanssa sekä tarjoamalla pk</w:t>
      </w:r>
      <w:r w:rsidRPr="007E4001">
        <w:noBreakHyphen/>
        <w:t>yrityksille tasapuolisen pääsyn hankintamenettelyihin;</w:t>
      </w:r>
    </w:p>
    <w:p w14:paraId="7588312B" w14:textId="77777777" w:rsidR="00F73C0E" w:rsidRPr="007E4001" w:rsidRDefault="00F73C0E" w:rsidP="00BA1188">
      <w:pPr>
        <w:pStyle w:val="NormalHanging12a"/>
      </w:pPr>
      <w:r w:rsidRPr="007E4001">
        <w:t>7.</w:t>
      </w:r>
      <w:r w:rsidRPr="007E4001">
        <w:tab/>
        <w:t>korostaa, että ilman puolustustarvikkeiden ja -palvelujen täysin toimivien EU:n sisämarkkinoiden luomista kansallisten puolustusmenojen kasvu uhkaa mennä hukkaan tehottomuuden vuoksi ja johtaa Euroopan puolustuksen teollisen ja teknologisen perustan sisäisen hajanaisuuden lisääntymiseen; kehottaa jäsenvaltioita vahvistamaan yhteisiä puolustushankintoja ja tehostamaan yhteistyötä sotilaallisten suorituskykyjen kehittämisessä, jotta voidaan parantaa yhteistoimintakykyä ja vaihdettavuutta, varmistaa resurssien tehokas kohdentaminen, vahvistaa Euroopan puolustuksen teollista ja teknologista perustaa, houkutella yksityisiä investointeja sekä vähentää EU:n puolustusmarkkinoiden hajanaisuutta ja sellaisten erilaisten puolustustarvikkeiden lukumäärää, joilla vastataan samanlaisiin operatiivisiin tarpeisiin kaikkialla unionissa; korostaa, että osallistuvien jäsenvaltioiden olisi tehtävä lippulaivahankkeisiin liittyvät hankinnat yhdessä ja että lippulaivahankkeilla olisi edistettävä tavoitetta järjestää 40 prosenttia puolustushankinnoista yhteishankintoina vuoden 2027 loppuun mennessä;</w:t>
      </w:r>
    </w:p>
    <w:p w14:paraId="04D337EF" w14:textId="77777777" w:rsidR="00F73C0E" w:rsidRPr="007E4001" w:rsidRDefault="00F73C0E" w:rsidP="00BA1188">
      <w:pPr>
        <w:keepNext/>
        <w:widowControl/>
        <w:spacing w:after="240"/>
        <w:rPr>
          <w:b/>
          <w:i/>
        </w:rPr>
      </w:pPr>
      <w:r w:rsidRPr="007E4001">
        <w:rPr>
          <w:b/>
          <w:i/>
        </w:rPr>
        <w:t>Sotilaallisten suorituskykyjen kehittäminen painopistealoilla lippulaivahankkeiden avulla</w:t>
      </w:r>
    </w:p>
    <w:p w14:paraId="72347978" w14:textId="77777777" w:rsidR="00F73C0E" w:rsidRPr="007E4001" w:rsidRDefault="00F73C0E" w:rsidP="00BA1188">
      <w:pPr>
        <w:pStyle w:val="NormalHanging12a"/>
        <w:rPr>
          <w:bCs/>
          <w:iCs/>
        </w:rPr>
      </w:pPr>
      <w:bookmarkStart w:id="10" w:name="_Hlk219994569"/>
      <w:r w:rsidRPr="007E4001">
        <w:t>8.</w:t>
      </w:r>
      <w:r w:rsidRPr="007E4001">
        <w:tab/>
        <w:t xml:space="preserve">panee merkille etenemissuunnitelmaan ”Rauhan puolesta – puolustusvalmiuden tiekartta 2030” sisältyvän komission ja unionin ulkoasioiden ja turvallisuuspolitiikan korkean edustajan ehdotuksen käynnistää ensimmäiset eurooppalaiset valmiuden lippulaivahankkeet; toteaa, että Eurooppa-neuvosto hyväksyi tämän etenemissuunnitelman ja jäsenvaltiot sitoutuivat kehittämään neljä ensimmäistä eurooppalaista valmiuden lippulaivahanketta, jotka ovat eurooppalainen </w:t>
      </w:r>
      <w:proofErr w:type="spellStart"/>
      <w:r w:rsidRPr="007E4001">
        <w:t>droonipuolustusaloite</w:t>
      </w:r>
      <w:proofErr w:type="spellEnd"/>
      <w:r w:rsidRPr="007E4001">
        <w:t xml:space="preserve">, itäisen sivustan valvonta, eurooppalainen ilmapuolustuskilpi ja eurooppalainen avaruuspuolustuskilpi; panee merkille, että nämä ehdotetut lippulaivahankkeet kattavat hyvin laajan valikoiman sotilaallisia suorituskykyjä; toteaa lisäksi, että ne </w:t>
      </w:r>
      <w:bookmarkStart w:id="11" w:name="_Hlk219885051"/>
      <w:r w:rsidRPr="007E4001">
        <w:t>ovat luonteeltaan monialaisia ja edistävät unionin kaikkia turvallisuusetuja</w:t>
      </w:r>
      <w:bookmarkEnd w:id="11"/>
      <w:r w:rsidRPr="007E4001">
        <w:t xml:space="preserve">; kehottaa siksi komissiota, osallistuvia jäsenvaltioita ja puolustusvirastoa määrittämään selkeästi kunkin hankkeen täytäntöönpanoa koskevat erityistavoitteet, aikataulun ja välitavoitteet, rahoitusehdotukset, hallintomekanismit, teknologisen soveltamisalan sekä odotetun laajuuden; korostaa, että tarvitaan toiminta-ajatus ja selkeä hallintotapa, jotta voidaan määrittää, kuka tekee mitä, erityisesti tapauksissa, joilla on rajatylittäviä vaikutuksia, esimerkiksi silloin, kun vihamielinen drooni lentää jäsenvaltiosta toiseen; painottaa, että näiden hankkeiden suunnittelun ja täytäntöönpanon olisi oltava kattavaa ja olisi varmistettava, että niihin sisältyy kehittyneiden teknologioiden rinnalla tavanomaisen puolustuksen komponentteja, jotta voidaan taata operatiivinen kestävyys konfliktien pitkittyessä; kehottaa osallistuvia jäsenvaltioita varmistamaan, että kunkin hankkeen välitavoitteet saavutetaan, saattamaan etenemissuunnitelmassa esitetyt suorituskykykoalitiot valmiiksi ja tekemään </w:t>
      </w:r>
      <w:r w:rsidRPr="007E4001">
        <w:lastRenderedPageBreak/>
        <w:t>kaikkensa lippulaivahankkeiden käynnistämiseksi nopeasti 23. lokakuuta 2025 annettujen Eurooppa-neuvoston päätelmien mukaisesti;</w:t>
      </w:r>
    </w:p>
    <w:p w14:paraId="6224E4F5" w14:textId="77777777" w:rsidR="00F73C0E" w:rsidRPr="007E4001" w:rsidRDefault="00F73C0E" w:rsidP="00BA1188">
      <w:pPr>
        <w:pStyle w:val="NormalHanging12a"/>
        <w:rPr>
          <w:bCs/>
          <w:iCs/>
        </w:rPr>
      </w:pPr>
      <w:r w:rsidRPr="007E4001">
        <w:t>9.</w:t>
      </w:r>
      <w:r w:rsidRPr="007E4001">
        <w:tab/>
        <w:t xml:space="preserve">suhtautuu myönteisesti eurooppalaista </w:t>
      </w:r>
      <w:proofErr w:type="spellStart"/>
      <w:r w:rsidRPr="007E4001">
        <w:t>droonipuolustusaloitetta</w:t>
      </w:r>
      <w:proofErr w:type="spellEnd"/>
      <w:r w:rsidRPr="007E4001">
        <w:t xml:space="preserve"> varten ehdotettuun lähestymistapaan, jossa on tarkoituksena kehittää teknisesti edistynyt, monitasoinen järjestelmä, joka sisältää yhteistoimintakykyisiä suorituskykyjä droonien havaitsemiseen, jäljittämiseen ja neutralointiin sekä suorituskykyjä, joilla voidaan iskeä maapinnalla oleviin kohteisiin hyödyntämällä </w:t>
      </w:r>
      <w:proofErr w:type="spellStart"/>
      <w:r w:rsidRPr="007E4001">
        <w:t>drooniteknologiaa</w:t>
      </w:r>
      <w:proofErr w:type="spellEnd"/>
      <w:r w:rsidRPr="007E4001">
        <w:t xml:space="preserve"> </w:t>
      </w:r>
      <w:proofErr w:type="spellStart"/>
      <w:r w:rsidRPr="007E4001">
        <w:t>täsmäiskuissa</w:t>
      </w:r>
      <w:proofErr w:type="spellEnd"/>
      <w:r w:rsidRPr="007E4001">
        <w:t xml:space="preserve">; toteaa, että </w:t>
      </w:r>
      <w:proofErr w:type="spellStart"/>
      <w:r w:rsidRPr="007E4001">
        <w:t>droonientorjunnan</w:t>
      </w:r>
      <w:proofErr w:type="spellEnd"/>
      <w:r w:rsidRPr="007E4001">
        <w:t xml:space="preserve"> suorituskykyjen olisi oltava täysin yhteistoimintakykyisiä ja </w:t>
      </w:r>
      <w:proofErr w:type="spellStart"/>
      <w:r w:rsidRPr="007E4001">
        <w:t>yhteenliitettyjä</w:t>
      </w:r>
      <w:proofErr w:type="spellEnd"/>
      <w:r w:rsidRPr="007E4001">
        <w:t xml:space="preserve"> jäsenvaltioiden välillä, jotta voidaan varmistaa tilannetietoisuus EU:n tasolla sekä EU:n jäsenvaltioiden kykyä toimia yhdessä ja turvata kriittinen infrastruktuuri yhteistyössä Naton kanssa; panee merkille haasteet, jotka liittyvät toimivan </w:t>
      </w:r>
      <w:proofErr w:type="spellStart"/>
      <w:r w:rsidRPr="007E4001">
        <w:t>droonipuolustusjärjestelmän</w:t>
      </w:r>
      <w:proofErr w:type="spellEnd"/>
      <w:r w:rsidRPr="007E4001">
        <w:t xml:space="preserve"> toteuttamiseen tämän aloitteen mukaisesti, ja kehottaa siksi toteuttamaan ensimmäisenä vaiheena pilottihankkeita, joihin osallistuu pienempi määrä jäsenvaltioita ja jotka johtavat 360 asteen lähestymistapaan sitten, kun järjestelmät ovat riittävän toimivia ja tehokkaita laajempaa käyttöönottoa varten;</w:t>
      </w:r>
    </w:p>
    <w:p w14:paraId="3C70684A" w14:textId="77777777" w:rsidR="00F73C0E" w:rsidRPr="007E4001" w:rsidRDefault="00F73C0E" w:rsidP="00BA1188">
      <w:pPr>
        <w:pStyle w:val="NormalHanging12a"/>
        <w:rPr>
          <w:bCs/>
          <w:iCs/>
        </w:rPr>
      </w:pPr>
      <w:r w:rsidRPr="007E4001">
        <w:t>10.</w:t>
      </w:r>
      <w:r w:rsidRPr="007E4001">
        <w:tab/>
        <w:t xml:space="preserve">korostaa, että lippulaivahankkeissa olisi otettava huomioon EU:n itäisen sivustan erityiset puolustus- ja pelotevaatimukset; suhtautuu myönteisesti itäisen sivustan valvontaa varten ehdotettuun lähestymistapaan ja toteaa, että aloitteen tarkoituksena on parantaa Venäjän rajanaapureina olevien jäsenvaltioiden valmiuksia vastata monenlaisiin uhkiin ja riskeihin, joihin kuuluvat hybridiuhat, Venäjän varjolaivaston käyttö sabotaasitoimiin ja valvontaan sekä aseellisen hyökkäyksen riski; korostaa, että siihen kuuluu neljä osatekijää, jotka ovat maapuolustus, tilannetietoisuus, ilmapuolustus ja </w:t>
      </w:r>
      <w:proofErr w:type="spellStart"/>
      <w:r w:rsidRPr="007E4001">
        <w:t>droonientorjuntajärjestelmät</w:t>
      </w:r>
      <w:proofErr w:type="spellEnd"/>
      <w:r w:rsidRPr="007E4001">
        <w:t xml:space="preserve"> sekä Itämeren ja Mustanmeren merellinen turvallisuus; kannattaa ehdotettua tavoitetta luoda kattava rajapuolustuksen suorituskyky, johon sisältyvät monitoimintaympäristöiset valvontajärjestelmät, </w:t>
      </w:r>
      <w:proofErr w:type="spellStart"/>
      <w:r w:rsidRPr="007E4001">
        <w:t>drooneihin</w:t>
      </w:r>
      <w:proofErr w:type="spellEnd"/>
      <w:r w:rsidRPr="007E4001">
        <w:t xml:space="preserve"> ja </w:t>
      </w:r>
      <w:proofErr w:type="spellStart"/>
      <w:r w:rsidRPr="007E4001">
        <w:t>droonientorjuntaan</w:t>
      </w:r>
      <w:proofErr w:type="spellEnd"/>
      <w:r w:rsidRPr="007E4001">
        <w:t xml:space="preserve"> liittyvät suorituskyvyt, elektronisen sodankäynnin suorituskyvyt, </w:t>
      </w:r>
      <w:proofErr w:type="spellStart"/>
      <w:r w:rsidRPr="007E4001">
        <w:t>täsmäiskujärjestelmät</w:t>
      </w:r>
      <w:proofErr w:type="spellEnd"/>
      <w:r w:rsidRPr="007E4001">
        <w:t xml:space="preserve"> ja reagoiva operatiivinen koordinointi ja jolla voidaan siten edistää koko unionin turvallisuutta; kehottaa sisällyttämään siihen toimenpiteitä, joilla vahvistetaan ennakoivaa häiriönsietokykyä, tehostetaan infrastruktuuria suojaavia toimenpiteitä ja kyberpuolustusvalmiuksia sekä varmistetaan alueellinen yhteistoimintakyky ja täysi operatiivinen valmius kriisiaikoina;</w:t>
      </w:r>
    </w:p>
    <w:p w14:paraId="3F5DBE31" w14:textId="77777777" w:rsidR="00F73C0E" w:rsidRPr="007E4001" w:rsidRDefault="00F73C0E" w:rsidP="00BA1188">
      <w:pPr>
        <w:widowControl/>
        <w:spacing w:after="240"/>
        <w:ind w:left="567" w:hanging="567"/>
        <w:rPr>
          <w:bCs/>
        </w:rPr>
      </w:pPr>
      <w:r w:rsidRPr="007E4001">
        <w:t>11.</w:t>
      </w:r>
      <w:r w:rsidRPr="007E4001">
        <w:tab/>
        <w:t>korostaa, että lippulaivahankkeet ovat merkittävä mahdollisuus vahvistaa Euroopan puolustusalan teollisen ja teknologisen perustan kilpailukykyä, tehokkuutta ja innovointikapasiteettia; toteaa, että on tarpeen laatia laajasti hyväksytty ”yhteisen edun mukaisten lippulaivahankkeiden” määritelmä siten, että ne määritellään laajamittaisiksi Euroopan laajuisiksi yhteistyöaloitteiksi, joihin osallistuu mahdollisimman monta jäsenvaltiota, sotilaallisen suorituskyvyn ja teollisen kehittämisen alalla, mukaan lukien EDIP-ohjelman kaltaiseen yhteiseen kehykseen kuuluvat strategiset edellytykset, jotta nämä hankkeet voidaan määritellä ja panna täytäntöön johdonmukaisesti EU:n puolustus- ja teollisuuspolitiikan piirissä; korostaa, että lippulaivahankkeiden määrittely on ratkaisevan tärkeää, jotta voidaan varmistaa tehokas yhteistyö jäsenvaltioiden välillä, yhdistää resursseja kriittisten suorituskykyaukkojen paikkaamiseksi ja siirtyä kohti todellista Euroopan puolustusunionia;</w:t>
      </w:r>
      <w:r w:rsidRPr="007E4001">
        <w:rPr>
          <w:i/>
        </w:rPr>
        <w:t xml:space="preserve"> </w:t>
      </w:r>
    </w:p>
    <w:p w14:paraId="0A563971" w14:textId="77777777" w:rsidR="00F73C0E" w:rsidRPr="007E4001" w:rsidRDefault="00F73C0E" w:rsidP="00BA1188">
      <w:pPr>
        <w:pStyle w:val="NormalHanging12a"/>
        <w:rPr>
          <w:bCs/>
          <w:i/>
          <w:iCs/>
        </w:rPr>
      </w:pPr>
      <w:r w:rsidRPr="007E4001">
        <w:t>12.</w:t>
      </w:r>
      <w:r w:rsidRPr="007E4001">
        <w:tab/>
        <w:t>korostaa, että on strategisesti tärkeää vahvistaa Euroopan puolustusalan teollista ja teknologista perustaa tekemällä yhteistyötä Ukrainan kanssa, assosioituneiden maiden kanssa Euroopan talousalueesta tehdyssä sopimuksessa</w:t>
      </w:r>
      <w:r w:rsidRPr="007E4001">
        <w:rPr>
          <w:rStyle w:val="FootnoteReference"/>
          <w:bCs/>
        </w:rPr>
        <w:footnoteReference w:id="8"/>
      </w:r>
      <w:r w:rsidRPr="007E4001">
        <w:t xml:space="preserve"> vahvistetun yhteistyön </w:t>
      </w:r>
      <w:r w:rsidRPr="007E4001">
        <w:lastRenderedPageBreak/>
        <w:t xml:space="preserve">puitteissa, samanmielisten EU:n ulkopuolisten maiden kanssa sekä sellaisten maiden kanssa, joiden kanssa EU on allekirjoittanut turvallisuus- ja puolustuskumppanuuksia; tähdentää tässä yhteydessä, että Ukrainan asevoimien taistelukentillä saamat kokemukset ovat antaneet Ukrainan puolustusteollisuudelle keskeistä teknologista asiantuntemusta ja taitotietoa, ja panee merkille ehdotetun </w:t>
      </w:r>
      <w:proofErr w:type="spellStart"/>
      <w:r w:rsidRPr="007E4001">
        <w:t>drooniallianssin</w:t>
      </w:r>
      <w:proofErr w:type="spellEnd"/>
      <w:r w:rsidRPr="007E4001">
        <w:t xml:space="preserve"> Ukrainan kanssa; suosittelee, että Ukrainan, assosioituneiden maiden ja maiden, jotka ovat allekirjoittaneet turvallisuus- ja puolustuskumppanuuden EU:n kanssa, olisi voitava mahdollisuuksien mukaan ja jäsenvaltioiden turvallisuusetuja kaikilta osin kunnioittaen osallistua lippulaivahankkeisiin, jotta voidaan puuttua EU:n hitaisiin innovointisykleihin, yhdistää tutkimus- ja kehitys- sekä tuotantotoiminta ja varmistaa jatkuva teknologinen kehitys;</w:t>
      </w:r>
    </w:p>
    <w:p w14:paraId="28E65D26" w14:textId="77777777" w:rsidR="00F73C0E" w:rsidRPr="007E4001" w:rsidRDefault="00F73C0E" w:rsidP="00BA1188">
      <w:pPr>
        <w:keepNext/>
        <w:widowControl/>
        <w:spacing w:after="240"/>
        <w:rPr>
          <w:b/>
          <w:i/>
        </w:rPr>
      </w:pPr>
      <w:r w:rsidRPr="007E4001">
        <w:rPr>
          <w:b/>
          <w:i/>
        </w:rPr>
        <w:t>Lippulaivahankkeiden määrittäminen ja niiden asianmukaisen rakenteen ja täytäntöönpanon varmistaminen</w:t>
      </w:r>
    </w:p>
    <w:p w14:paraId="40A7F6AC" w14:textId="77777777" w:rsidR="00F73C0E" w:rsidRPr="007E4001" w:rsidRDefault="00F73C0E" w:rsidP="00BA1188">
      <w:pPr>
        <w:pStyle w:val="NormalHanging12a"/>
      </w:pPr>
      <w:bookmarkStart w:id="12" w:name="_Hlk220400357"/>
      <w:r w:rsidRPr="007E4001">
        <w:t>13.</w:t>
      </w:r>
      <w:r w:rsidRPr="007E4001">
        <w:tab/>
        <w:t>korostaa, että lippulaivahankkeiden tavoitteet on sovitettava yhteen sovittujen EU:n puolustustavoitteiden kanssa ja niiden on oltava johdonmukaisia suorituskykyjen kehittämistä koskevien Naton tavoitteiden kanssa; korostaa lisäksi, että niissä olisi käsiteltävä puolustukseen liittyviä innovatiivisia teknologisia aloja ja edistettävä sellaisten huipputason sotilaallisten suorituskykyjen kehittämistä, jotka vastaavat nykyaikaisen sodankäynnin vaatimuksia, mukaan lukien kasvava tarve verkottaa monialaisia sotilasoperaatioita, joukkoja ja aseita, varmistaa kyberpuolustus, kehittää tiedustelutietojen keruuta, säilyttämistä, käsittelyä ja jakamista, miehittämättömiä järjestelmiä ja tekoälyyn perustuvia päätöksenteon tukivälineitä, harjoittaa kaukovaikuttamista ja torjua drooni-iskuja; korostaa tekoälyjärjestelmien eettisen ja vastuullisen käytön merkitystä ja toteaa, että siinä on noudatettava kaikilta osin kansainvälistä humanitaarista oikeutta;</w:t>
      </w:r>
    </w:p>
    <w:bookmarkEnd w:id="12"/>
    <w:p w14:paraId="06AEE873" w14:textId="77777777" w:rsidR="00F73C0E" w:rsidRPr="007E4001" w:rsidRDefault="00F73C0E" w:rsidP="00BA1188">
      <w:pPr>
        <w:pStyle w:val="NormalHanging12a"/>
      </w:pPr>
      <w:r w:rsidRPr="007E4001">
        <w:t>14.</w:t>
      </w:r>
      <w:r w:rsidRPr="007E4001">
        <w:tab/>
        <w:t>kehottaa komissiota ja EU:n jäsenvaltioita sisällyttämään kyberalan ja digitaaliteknologian EU:n keskeisiin puolustusalan painopisteisiin, jotta voidaan varmistaa datasuvereniteetti ja yhteinen varautuminen hybridi- ja kyberuhkiin; korostaa, että kyberturvallisuuden ja kyberuhkien sietokyvyn varmistamisen olisi oltava kaikkien lippulaivahankkeiden yleistavoite, jotta varmistetaan digitaalisten infrastruktuurien turvallisuus, johto- ja valvontajärjestelmien suojelu ja tietovirtojen eheys kaikissa toimintaympäristöissä EU:n kyberpuolustuspolitiikan ja strategisen kompassin painopisteiden mukaisesti;</w:t>
      </w:r>
    </w:p>
    <w:p w14:paraId="7F182D95" w14:textId="77777777" w:rsidR="00F73C0E" w:rsidRPr="007E4001" w:rsidRDefault="00F73C0E" w:rsidP="00BA1188">
      <w:pPr>
        <w:pStyle w:val="NormalHanging12a"/>
        <w:ind w:left="567" w:hanging="567"/>
      </w:pPr>
      <w:r w:rsidRPr="007E4001">
        <w:t>15.</w:t>
      </w:r>
      <w:r w:rsidRPr="007E4001">
        <w:tab/>
        <w:t>korostaa, että avaruusalan kattavia lippulaivahankkeita tarvitaan, sillä kyseessä on yhä militarisoituneempi strateginen toimintaympäristö, josta useat turvallisuuteen liittyvät toiminnot, kuten turvallinen viestintä ja tiedustelutoiminta, ovat riippuvaisia; korostaa lisäksi, että on tärkeää integroida lippulaivahankkeet strategiseen liikenne- ja logistiikkainfrastruktuuriin, kuten rajat ylittäviin sotilaallisen liikkuvuuden käytäviin ja kaksikäyttöinfrastruktuuriin etenkin Itä- ja Kaakkois-Euroopassa, sillä ne ovat ratkaisevan tärkeitä nopean liikuteltavuuden ja häiriönsietokyvyn kannalta itäisellä sivustalla;</w:t>
      </w:r>
    </w:p>
    <w:p w14:paraId="5D99BAF7" w14:textId="77777777" w:rsidR="00F73C0E" w:rsidRPr="007E4001" w:rsidRDefault="00F73C0E" w:rsidP="00BA1188">
      <w:pPr>
        <w:pStyle w:val="NormalHanging12a"/>
      </w:pPr>
      <w:r w:rsidRPr="007E4001">
        <w:t>16.</w:t>
      </w:r>
      <w:r w:rsidRPr="007E4001">
        <w:tab/>
        <w:t xml:space="preserve">painottaa, että lippulaivahankkeilla olisi pyrittävä edistämään tiiviimpää yhteistyötä ja innovointia hallintomekanismeissa EU:n tasolla ja jäsenvaltioiden kesken ja tuomaan esiin parhaita käytäntöjä yhteistä ja koordinoitua Euroopan puolustusstrategiaa varten ottaen samalla huomioon Ukrainasta saatu tietämys nykyaikaisesta sodankäynnistä; korostaa, että komission olisi laadittava selkeät lyhyen, keskipitkän ja pitkän aikavälin strategiat lippulaivahankkeiden kehittämiseksi ja varmistettava siten, että pitkän </w:t>
      </w:r>
      <w:r w:rsidRPr="007E4001">
        <w:lastRenderedPageBreak/>
        <w:t xml:space="preserve">aikavälin tutkimus-, kehitys- ja innovointitoimia koordinoidaan johdonmukaisesti kriittisiin sotilaallisiin suorituskykyihin tehtävien lyhyen aikavälin investointien kanssa, jotta voidaan taata sekä teknologinen kehitys että välitön toimintavalmius; tähdentää myös, että lippulaivahankkeiden hyvän hallinnon on perustuttava yhteiseen visioon ja tehokkaaseen koordinointiin niiden ”ohjelmatoimijoiden” eli komission, EU:n jäsenvaltioiden hallitusten, sotilasesikuntien ja julkisista hankinnoista vastaavien virastojen sekä puolustusteollisuuden yritysten kesken; katsoo, että lippulaivahankkeet voisivat hyötyä nykyisestä yhteistyöstä </w:t>
      </w:r>
      <w:proofErr w:type="spellStart"/>
      <w:r w:rsidRPr="007E4001">
        <w:t>PRY:n</w:t>
      </w:r>
      <w:proofErr w:type="spellEnd"/>
      <w:r w:rsidRPr="007E4001">
        <w:t xml:space="preserve"> ja Euroopan puolustusrahaston hankkeiden puitteissa ja perustua siihen; </w:t>
      </w:r>
    </w:p>
    <w:p w14:paraId="6DA69016" w14:textId="77777777" w:rsidR="00F73C0E" w:rsidRPr="007E4001" w:rsidRDefault="00F73C0E" w:rsidP="00BA1188">
      <w:pPr>
        <w:pStyle w:val="NormalHanging12a"/>
      </w:pPr>
      <w:r w:rsidRPr="007E4001">
        <w:t>17.</w:t>
      </w:r>
      <w:r w:rsidRPr="007E4001">
        <w:tab/>
        <w:t xml:space="preserve">toteaa, että useat eurooppalaiset puolustusalan yritykset ovat ajan mittaan jo osallistuneet merkittäviin kansainvälisiin yhteistyöhankkeisiin turvallisuusulottuvuuteen liittyvillä eri aloilla; korostaa, että näitä tapaustutkimuksia voidaan käyttää esimerkkeinä lippulaivahankkeiden suunnittelussa ja hallinnoinnissa; </w:t>
      </w:r>
      <w:bookmarkStart w:id="13" w:name="_Hlk214892111"/>
      <w:r w:rsidRPr="007E4001">
        <w:t>painottaa, että lippulaivahankkeiden kehittämis- ja tuotantovaiheiden jälkeenkin niissä olisi varmistettava yhteisten puitteiden luominen unionin tasolla niiden toimintaa, ylläpitoa ja elinkaaren hallintaa varten;</w:t>
      </w:r>
      <w:bookmarkEnd w:id="13"/>
    </w:p>
    <w:p w14:paraId="29F28D96" w14:textId="77777777" w:rsidR="00F73C0E" w:rsidRPr="007E4001" w:rsidRDefault="00F73C0E" w:rsidP="00BA1188">
      <w:pPr>
        <w:pStyle w:val="NormalHanging12a"/>
      </w:pPr>
      <w:r w:rsidRPr="007E4001">
        <w:t>18.</w:t>
      </w:r>
      <w:r w:rsidRPr="007E4001">
        <w:tab/>
        <w:t>panee merkille yhteistä etua koskevien eurooppalaisten puolustushankkeiden perustamisen EDIP-ohjelman uutena välineenä; toteaa, että lippulaivahankkeita voitaisiin kehittää myös sen puitteissa; toteaa, että yhteistä etua koskevia eurooppalaisia puolustushankkeita voidaan kehittää eurooppalaista puolustusmateriaaliohjelmaa varten tarkoitettujen rakenteiden yhteydessä; korostaa, että yhteistä etua koskevilla eurooppalaisilla puolustushankkeilla olisi tehostettava toimitusketjujen yhteistoimintakykyä ja häiriönsietokykyä ja täydennettävä edelleen kattavasti Naton suorituskykyjen suunnittelua etenemissuunnitelman ”Rauhan puolesta - puolustusvalmiuden tiekartta 2030” mukaisesti;</w:t>
      </w:r>
    </w:p>
    <w:p w14:paraId="592E750E" w14:textId="77777777" w:rsidR="00F73C0E" w:rsidRPr="007E4001" w:rsidRDefault="00F73C0E" w:rsidP="00BA1188">
      <w:pPr>
        <w:pStyle w:val="NormalHanging12a"/>
      </w:pPr>
      <w:r w:rsidRPr="007E4001">
        <w:t>19.</w:t>
      </w:r>
      <w:r w:rsidRPr="007E4001">
        <w:tab/>
        <w:t xml:space="preserve">kehottaa komissiota pyrkimään siihen, että lippulaivahankkeiden ja nykyisten välineiden, kuten </w:t>
      </w:r>
      <w:proofErr w:type="spellStart"/>
      <w:r w:rsidRPr="007E4001">
        <w:t>PRY:n</w:t>
      </w:r>
      <w:proofErr w:type="spellEnd"/>
      <w:r w:rsidRPr="007E4001">
        <w:t xml:space="preserve">, Euroopan puolustusrahaston, EDIP-ohjelman ja yhteistä etua koskevien eurooppalaisten puolustushankkeiden, täytäntöönpanokehykset ovat täysin johdonmukaisia toiminta-ajatusten ja menettelyjen osalta, jotta nämä välineet toimivat johdonmukaisesti ja vahvistavat toisiaan osana EU:n puolustusrakennetta; kehottaa lisäksi komissiota selventämään, miten yhteistä etua koskevat eurooppalaiset puolustushankkeet on tarkoitus jäsennellä ja yhdistää käytännössä lippulaivahankkeen muodostamiseksi, mukaan lukien tarvittavat hallinto-, sekvensointi- ja koordinointimekanismit; </w:t>
      </w:r>
    </w:p>
    <w:p w14:paraId="664D7173" w14:textId="77777777" w:rsidR="00F73C0E" w:rsidRPr="007E4001" w:rsidRDefault="00F73C0E" w:rsidP="00BA1188">
      <w:pPr>
        <w:widowControl/>
        <w:spacing w:after="240"/>
        <w:ind w:left="567" w:hanging="567"/>
      </w:pPr>
      <w:r w:rsidRPr="007E4001">
        <w:t>20.</w:t>
      </w:r>
      <w:r w:rsidRPr="007E4001">
        <w:tab/>
        <w:t xml:space="preserve">korostaa tarvetta edistää vahvempaa synergiaa tutkimuksen, innovoinnin ja teollisen kehittämisen välillä EU:n puolustusekosysteemissä; panee tässä yhteydessä merkille asiaankuuluvien sidosryhmien, kuten kaikkien jäsenvaltioiden tutkimusorganisaatioiden, akateemisten laitosten, innovaatiokeskittymien, teknologiakeskusten sekä testaus- ja sertifiointielinten, tukiroolin; kehottaa ottamaan lippulaivahankkeisiin mukaan mahdollisimman monia erilaisia teollisuuden toimijoita, etenkin </w:t>
      </w:r>
      <w:proofErr w:type="spellStart"/>
      <w:r w:rsidRPr="007E4001">
        <w:t>midcap</w:t>
      </w:r>
      <w:proofErr w:type="spellEnd"/>
      <w:r w:rsidRPr="007E4001">
        <w:t>-yrityksiä, pk-yrityksiä ja startup-yrityksiä, jotta mahdollistetaan innovaatioiden leviäminen kattavasti koko Euroopan puolustusalan teolliseen ja teknologiseen perustaan ja vahvistetaan huoltovarmuutta; kehottaa perustamaan Euroopan puolustusteollisuutta käsittelevän korkean tason ryhmän, jotta voidaan varmistaa tehokas yhteistyö, ja kehottaa tiiviistämään vuoropuhelua ja yhteydenpitoa teollisuuden kanssa koko Euroopassa;</w:t>
      </w:r>
    </w:p>
    <w:p w14:paraId="4406410A" w14:textId="77777777" w:rsidR="00F73C0E" w:rsidRPr="007E4001" w:rsidRDefault="00F73C0E" w:rsidP="00BA1188">
      <w:pPr>
        <w:pStyle w:val="NormalHanging12a"/>
        <w:rPr>
          <w:b/>
          <w:i/>
        </w:rPr>
      </w:pPr>
      <w:r w:rsidRPr="007E4001">
        <w:lastRenderedPageBreak/>
        <w:t>21.</w:t>
      </w:r>
      <w:r w:rsidRPr="007E4001">
        <w:tab/>
        <w:t>pitää tärkeänä varmistaa tasapainoinen maantieteellinen osallistuminen lippulaivahankkeisiin ja toteaa, että niihin olisi pyrittävä saamaa mukaan mahdollisimman monia jäsenvaltioita, myös jäsenvaltioita, joiden puolustusteollisuus on kehittymässä; korostaa, että lippulaivahankkeilla olisi annettava kaikille osallistuville jäsenvaltioille mahdollisuus hyötyä teknologian kehityksestä ja tuotantovalmiuksista ja niillä olisi edistettävä suorituskykyjen ja häiriönsietokyvyn vahvistamista koko unionissa; painottaa myös, että uusien jäsenvaltioiden olisi voitava liittyä näihin hankkeisiin ja että niissä olisi kannustettava uusia jäseniä tulemaan mukaan ajan mittaan ja helpotettava niiden osallistumista; kehottaa perustamaan joustavia ja kattavia yhteisrahoitusmekanismeja, joilla varmistetaan, että kaikki jäsenvaltiot voivat mielekkäästi osallistua lippulaivahankkeisiin talouksiensa koosta riippumatta;</w:t>
      </w:r>
    </w:p>
    <w:p w14:paraId="3EF9E490" w14:textId="77777777" w:rsidR="00F73C0E" w:rsidRPr="007E4001" w:rsidRDefault="00F73C0E" w:rsidP="00BA1188">
      <w:pPr>
        <w:pStyle w:val="NormalHanging12a"/>
      </w:pPr>
      <w:r w:rsidRPr="007E4001">
        <w:t>22.</w:t>
      </w:r>
      <w:r w:rsidRPr="007E4001">
        <w:tab/>
        <w:t>pitää tärkeänä vahvistaa EU:n puolustusteollisuusstrategian alueellista ulottuvuutta ja tuo esiin lippulaivahankkeiden mahdollisia vaikutuksia, joita ovat teknologiset heijastusvaikutukset, taloudelliset hyödyt, korkeaa osaamistasoa vaativat työpaikat ja sosiaalinen yhteenkuuluvuus kaikkien EU:n alueiden välillä; kehottaa ottamaan mukaan alue- ja paikallishallinnot ja antamaan EU:n alueille mahdollisuuden hyötyä lippulaivahankkeista, jotta voidaan edistää yhteistä vastuuta puolustusasioista;</w:t>
      </w:r>
    </w:p>
    <w:p w14:paraId="13C2508A" w14:textId="77777777" w:rsidR="00F73C0E" w:rsidRPr="007E4001" w:rsidRDefault="00F73C0E" w:rsidP="00BA1188">
      <w:pPr>
        <w:pStyle w:val="NormalHanging12a"/>
      </w:pPr>
      <w:r w:rsidRPr="007E4001">
        <w:t>23.</w:t>
      </w:r>
      <w:r w:rsidRPr="007E4001">
        <w:tab/>
        <w:t>korostaa tarvetta estää sotilasteknologioiden, varsinkin avaruus-, kvanttiteknologia- ja tekoälyalan kehitteillä olevien arkaluonteisten teknologioiden ja kriittisten kaksikäyttötuotteiden, siirtäminen vihamielisiin maihin tai systeemisiin kilpailijoihin EU:n ulkopuolella; kehottaa lippulaivahankkeisiin osallistuvia jäsenvaltioita vahvistamaan koordinointia, sitoutumaan siihen, että ne noudattavat yhteisiä lähestymistapoja ja määrittelevät ja hyväksyvät yhteisen strategian ja ehdot, jotka koskevat vientilupien myöntämistä lippulaivahankkeista peräisin oleville tuotteille hankkeisiin osallistumattomiin EU:n ulkopuolisiin maihin;</w:t>
      </w:r>
    </w:p>
    <w:p w14:paraId="20988B03" w14:textId="77777777" w:rsidR="00F73C0E" w:rsidRPr="007E4001" w:rsidRDefault="00F73C0E" w:rsidP="00BA1188">
      <w:pPr>
        <w:pStyle w:val="NormalHanging12a"/>
        <w:rPr>
          <w:bCs/>
          <w:iCs/>
        </w:rPr>
      </w:pPr>
      <w:r w:rsidRPr="007E4001">
        <w:t>24.</w:t>
      </w:r>
      <w:r w:rsidRPr="007E4001">
        <w:tab/>
        <w:t>kehottaa perustamaan lippulaivahankkeisiin osallistuvien jäsenvaltioiden kesken koordinoidun riskiperusteisen vientivalvontamekanismin, joka on linjassa EU:n strategisen kompassin tavoitteiden kanssa ja yhdenmukainen jäsenvaltioiden kansallisten toimivaltuuksien, oikeuksien ja kansainvälisten velvoitteiden kanssa, mukaan lukien Natosta johtuvat toimivaltuudet, oikeudet ja velvoitteet;</w:t>
      </w:r>
    </w:p>
    <w:p w14:paraId="1719B381" w14:textId="77777777" w:rsidR="00F73C0E" w:rsidRPr="007E4001" w:rsidRDefault="00F73C0E" w:rsidP="00BA1188">
      <w:pPr>
        <w:keepNext/>
        <w:widowControl/>
        <w:spacing w:after="240"/>
        <w:rPr>
          <w:b/>
          <w:i/>
        </w:rPr>
      </w:pPr>
      <w:r w:rsidRPr="007E4001">
        <w:rPr>
          <w:b/>
          <w:i/>
        </w:rPr>
        <w:t>Lippulaivahankkeiden hallinto ja parlamentin rooli</w:t>
      </w:r>
    </w:p>
    <w:p w14:paraId="638B8862" w14:textId="77777777" w:rsidR="00F73C0E" w:rsidRPr="007E4001" w:rsidRDefault="00F73C0E" w:rsidP="00BA1188">
      <w:pPr>
        <w:pStyle w:val="NormalHanging12a"/>
      </w:pPr>
      <w:r w:rsidRPr="007E4001">
        <w:t>25.</w:t>
      </w:r>
      <w:r w:rsidRPr="007E4001">
        <w:tab/>
        <w:t>kehottaa komissiota ja jäsenvaltioita esittämään edelleen ehdotuksia lippulaivahankkeiksi, joissa käsitellään sotilaallisten suorituskykyjen kehittämistä ja joilla mahdollistetaan jäsenvaltioiden kansallisten toimien parempi yhteensovittaminen sovittujen EU:n puolustustavoitteiden ja suorituskykyjen kehittämistä koskevien asiaankuuluvien Naton tavoitteiden kanssa; korostaa, että hanke-ehdotuksissa olisi otettava huomioon niiden jäsenvaltioiden erityistarpeet, joille tavanomaisten sotilaallisten uhkien ja hybridiuhkien toteutumisen vaara on suurin; painottaa, että on tärkeää ottaa kansalliset puolustusteollisuusalat mukaan tulevien puolustusalan lippulaivahankkeiden painopisteiden ja soveltamisalan määrittelyyn;</w:t>
      </w:r>
    </w:p>
    <w:p w14:paraId="7AFC0525" w14:textId="77777777" w:rsidR="00F73C0E" w:rsidRPr="007E4001" w:rsidRDefault="00F73C0E" w:rsidP="00BA1188">
      <w:pPr>
        <w:pStyle w:val="NormalHanging12a"/>
        <w:rPr>
          <w:b/>
          <w:i/>
        </w:rPr>
      </w:pPr>
      <w:r w:rsidRPr="007E4001">
        <w:t>26.</w:t>
      </w:r>
      <w:r w:rsidRPr="007E4001">
        <w:tab/>
        <w:t>korostaa, että lippulaivahankkeet olisi valittava ansioiden perusteella käyttäen avoimia menettelyjä ja siten, että varmistetaan maantieteellisesti tasapainoinen osallistuminen ja estetään päätöksenteon tai teollisuudelle koituvien hyötyjen keskittyminen pieneen määrään jäsenvaltioita;</w:t>
      </w:r>
    </w:p>
    <w:p w14:paraId="315E4BB6" w14:textId="77777777" w:rsidR="00F73C0E" w:rsidRPr="007E4001" w:rsidRDefault="00F73C0E" w:rsidP="00BA1188">
      <w:pPr>
        <w:pStyle w:val="NormalHanging12a"/>
        <w:rPr>
          <w:bCs/>
          <w:iCs/>
        </w:rPr>
      </w:pPr>
      <w:r w:rsidRPr="007E4001">
        <w:lastRenderedPageBreak/>
        <w:t>27.</w:t>
      </w:r>
      <w:r w:rsidRPr="007E4001">
        <w:tab/>
        <w:t>suosittelee, että komissio, unionin ulkoasioiden ja turvallisuuspolitiikan korkea edustaja ja puolustusvirasto osallistuvat neuvonta-, tuki- ja koordinointiroolissa lippulaivahankkeiden täytäntöönpanon helpottamiseen; korostaa Euroopan unionin sotilaskomitean ratkaisevaa roolia strategisen sotilaallisen neuvonnan ja suositusten antajana poliittisten ja turvallisuusasioiden komitealle etenkin suorituskykytavoitteiden kehittämisestä, arvioinnista ja uudelleentarkastelusta ja kehottaa tässä yhteydessä sisällyttämään sen virallisesti lippulaivahankkeiden hallintokehykseen;</w:t>
      </w:r>
    </w:p>
    <w:p w14:paraId="098B54EB" w14:textId="77777777" w:rsidR="00F73C0E" w:rsidRPr="007E4001" w:rsidRDefault="00F73C0E" w:rsidP="00BA1188">
      <w:pPr>
        <w:pStyle w:val="NormalHanging12a"/>
        <w:rPr>
          <w:bCs/>
          <w:iCs/>
        </w:rPr>
      </w:pPr>
      <w:r w:rsidRPr="007E4001">
        <w:t>28.</w:t>
      </w:r>
      <w:r w:rsidRPr="007E4001">
        <w:tab/>
        <w:t>sitoutuu harjoittamaan valvonta-, lainsäädäntö- ja talousarviotehtäviään lippulaivahankkeiden koordinoinnin, täytäntöönpanon ja rahoituksen osalta komission säännöllisesti toimittamien ja kattavien tietojen ja kertomusten perusteella; korostaa budjettivaltaansa ja vastuutaan EU:n varojen käytöstä; vaatii säännöllistä julkista raportointia ja parlamentaarista valvontaa, jotta voidaan varmistaa vastuuvelvollisuus ja lisätä luottamusta lippulaivahankkeisiin;</w:t>
      </w:r>
    </w:p>
    <w:p w14:paraId="41458001" w14:textId="0CB4F50D" w:rsidR="00F73C0E" w:rsidRPr="007E4001" w:rsidRDefault="00F73C0E" w:rsidP="00BA1188">
      <w:pPr>
        <w:pStyle w:val="NormalHanging12a"/>
        <w:keepNext/>
        <w:ind w:left="567" w:hanging="567"/>
        <w:rPr>
          <w:b/>
          <w:i/>
        </w:rPr>
      </w:pPr>
      <w:r w:rsidRPr="007E4001">
        <w:rPr>
          <w:b/>
          <w:i/>
        </w:rPr>
        <w:t>Lippulaivahankkeiden rahoituksen varmistaminen pitkällä aikavälillä</w:t>
      </w:r>
    </w:p>
    <w:p w14:paraId="224C8EE4" w14:textId="77777777" w:rsidR="00F73C0E" w:rsidRPr="007E4001" w:rsidRDefault="00F73C0E" w:rsidP="00BA1188">
      <w:pPr>
        <w:pStyle w:val="NormalHanging12a"/>
        <w:rPr>
          <w:bCs/>
          <w:iCs/>
        </w:rPr>
      </w:pPr>
      <w:r w:rsidRPr="007E4001">
        <w:t>29.</w:t>
      </w:r>
      <w:r w:rsidRPr="007E4001">
        <w:tab/>
        <w:t>kehottaa osoittamaan seuraavassa monivuotisessa rahoituskehyksessä riittävästi kohdennettua rahoitusta lippulaivahankkeiden pitkän aikavälin rahoituksen varmistamiseksi; korostaa, että lippulaivahankkeisiin on osoitettava riittävästi ja asianmukaisesti rahoitusta siten, että ei vaaranneta muille puolustukseen liittyville EU:n talousarvion strategisille aloille osoitettuja varoja; korostaa tarvetta osoittaa osa tästä rahoituksesta koulutukseen, osaamisen kehittämiseen ja osaamisen säilyttämistä koskeviin aloitteisiin;</w:t>
      </w:r>
    </w:p>
    <w:p w14:paraId="6E128336" w14:textId="77777777" w:rsidR="00F73C0E" w:rsidRPr="007E4001" w:rsidRDefault="00F73C0E" w:rsidP="00BA1188">
      <w:pPr>
        <w:pStyle w:val="NormalHanging12a"/>
        <w:rPr>
          <w:bCs/>
          <w:iCs/>
        </w:rPr>
      </w:pPr>
      <w:r w:rsidRPr="007E4001">
        <w:t>30.</w:t>
      </w:r>
      <w:r w:rsidRPr="007E4001">
        <w:tab/>
        <w:t xml:space="preserve">korostaa, että kehittämällä yhdessä sotilaallisia suorituskykyjä unionin tasolla voidaan tuottaa merkittäviä mittakaavaetuja, vähentää kustannuksia ja varmistaa, että julkisia varoja ja veronmaksajien rahoja käytetään mahdollisimman tehokkaasti ja vastuullisesti; </w:t>
      </w:r>
    </w:p>
    <w:p w14:paraId="5740AC45" w14:textId="77777777" w:rsidR="00F73C0E" w:rsidRPr="007E4001" w:rsidRDefault="00F73C0E" w:rsidP="00BA1188">
      <w:pPr>
        <w:pStyle w:val="NormalHanging12a"/>
        <w:rPr>
          <w:bCs/>
          <w:iCs/>
        </w:rPr>
      </w:pPr>
      <w:r w:rsidRPr="007E4001">
        <w:t>31.</w:t>
      </w:r>
      <w:r w:rsidRPr="007E4001">
        <w:tab/>
        <w:t>on yhtä mieltä Euroopan tilintarkastustuomioistuimen EDIP-ehdotusta koskevasta huomautuksesta, jonka mukaan lippulaivahankkeiden loppuun saattamiseen tarvittava aika ylittää todennäköisesti EDIP-ohjelman kaksivuotisen täytäntöönpanokauden; korostaa siksi, että jotta lippulaivahankkeisiin voidaan myöntää EDIP-rahoitusta, asianomaisten jäsenvaltioiden on sitouduttava yhteisrahoittamaan niitä koko niiden keston ajan eli selvästi pidempään kuin ensimmäisten kahden vuoden ajan; tähdentää, että on tärkeää suunnitella kestäviä investointeja ja teollisuuden jatkuvuutta pitkällä aikavälillä, jotta voidaan turvata Euroopan strateginen riippumattomuus;</w:t>
      </w:r>
    </w:p>
    <w:p w14:paraId="671DC46E" w14:textId="77777777" w:rsidR="00F73C0E" w:rsidRPr="007E4001" w:rsidRDefault="00F73C0E" w:rsidP="00BA1188">
      <w:pPr>
        <w:pStyle w:val="NormalHanging12a"/>
        <w:rPr>
          <w:bCs/>
          <w:iCs/>
        </w:rPr>
      </w:pPr>
      <w:r w:rsidRPr="007E4001">
        <w:t>32.</w:t>
      </w:r>
      <w:r w:rsidRPr="007E4001">
        <w:tab/>
        <w:t>painottaa, että lippulaivahankkeiden yhteisrahoituksen olisi perustuttava moitteettomaan hallintoon ja talousarviosuunnitteluun, kustannustehokkuuteen ja avoimuuteen; kehottaa siksi komissiota ja jäsenvaltioita ottamaan käyttöön välitavoitteita, tulosindikaattoreita, säännöllisiä varainhoidon tarkastuksia ja lippulaivahankkeiden täytäntöönpanosta aiheutuneiden menojen arviointeja;</w:t>
      </w:r>
    </w:p>
    <w:p w14:paraId="7C05A957" w14:textId="0DEC69A4" w:rsidR="00F73C0E" w:rsidRPr="007E4001" w:rsidRDefault="00F73C0E" w:rsidP="00BA1188">
      <w:pPr>
        <w:pStyle w:val="NormalHanging12a"/>
        <w:rPr>
          <w:bCs/>
          <w:iCs/>
        </w:rPr>
      </w:pPr>
      <w:r w:rsidRPr="007E4001">
        <w:t>33.</w:t>
      </w:r>
      <w:r w:rsidRPr="007E4001">
        <w:tab/>
        <w:t>kehottaa jäsenvaltioita harkitsemaan, että aloilla, joilla yhteiset toimet tuottavat lisäarvoa, osa niiden kansallisista puolustusmäärärahoista varattaisiin järjestelmällisesti kumppanuusaloitteiden kehittämiseen ja lippulaivahankkeiden puitteissa tuotettujen puolustustarvikkeiden hankintaan SEU 4 artiklan 2 kohdan ja SEUT 346 artiklan mukaisesti;</w:t>
      </w:r>
    </w:p>
    <w:p w14:paraId="003E78B4" w14:textId="77777777" w:rsidR="00F73C0E" w:rsidRPr="007E4001" w:rsidRDefault="00F73C0E" w:rsidP="00BA1188">
      <w:pPr>
        <w:pStyle w:val="NormalHanging12a"/>
        <w:rPr>
          <w:bCs/>
          <w:iCs/>
        </w:rPr>
      </w:pPr>
      <w:r w:rsidRPr="007E4001">
        <w:t>34.</w:t>
      </w:r>
      <w:r w:rsidRPr="007E4001">
        <w:tab/>
        <w:t xml:space="preserve">kannustaa jäsenvaltioita koordinoimaan kansallisten puolustusmäärärahojen suunnittelua Naton suorituskykytavoitteiden kanssa, jotta voidaan varmistaa </w:t>
      </w:r>
      <w:r w:rsidRPr="007E4001">
        <w:lastRenderedPageBreak/>
        <w:t>täydentävyys ja välttää resurssien hajautuminen; kehottaa jäsenvaltioita selvittämään tapoja perustaa talousarvion ulkopuolinen rahoitusväline, joka mahdollistaisi kansallisten puolustusmäärärahojen tiettyjen osien yhdistämisen ja yhteisen käytön EU:n tasolla, jotta voidaan kattaa lippulaivahankkeiden koko elinkaari;</w:t>
      </w:r>
    </w:p>
    <w:p w14:paraId="326AD9D8" w14:textId="77777777" w:rsidR="00F73C0E" w:rsidRPr="007E4001" w:rsidRDefault="00F73C0E" w:rsidP="00BA1188">
      <w:pPr>
        <w:pStyle w:val="NormalCenter12a"/>
        <w:rPr>
          <w:bCs/>
          <w:iCs/>
        </w:rPr>
      </w:pPr>
      <w:r w:rsidRPr="007E4001">
        <w:t>°</w:t>
      </w:r>
    </w:p>
    <w:p w14:paraId="4833F0AF" w14:textId="77777777" w:rsidR="00F73C0E" w:rsidRPr="007E4001" w:rsidRDefault="00F73C0E" w:rsidP="00BA1188">
      <w:pPr>
        <w:pStyle w:val="NormalCenter12a"/>
        <w:rPr>
          <w:bCs/>
          <w:iCs/>
        </w:rPr>
      </w:pPr>
      <w:r w:rsidRPr="007E4001">
        <w:t>°</w:t>
      </w:r>
      <w:r w:rsidRPr="007E4001">
        <w:tab/>
        <w:t>°</w:t>
      </w:r>
    </w:p>
    <w:p w14:paraId="0BA552C7" w14:textId="6C11B8C1" w:rsidR="00333263" w:rsidRPr="007E4001" w:rsidRDefault="00F73C0E" w:rsidP="00BA1188">
      <w:pPr>
        <w:pStyle w:val="NormalHanging12a"/>
      </w:pPr>
      <w:r w:rsidRPr="007E4001">
        <w:t>35.</w:t>
      </w:r>
      <w:r w:rsidRPr="007E4001">
        <w:tab/>
        <w:t>kehottaa puhemiestä välittämään tämän päätöslauselman neuvostolle, komissiolle, Natolle, Naton parlamentaariselle yleiskokoukselle, EU:n turvallisuus- ja puolustusalan virastoille sekä jäsenvaltioiden hallituksille ja parlamenteille.</w:t>
      </w:r>
      <w:bookmarkEnd w:id="10"/>
    </w:p>
    <w:sectPr w:rsidR="00333263" w:rsidRPr="007E4001" w:rsidSect="0033326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98FA" w14:textId="77777777" w:rsidR="00A80AEF" w:rsidRPr="00333263" w:rsidRDefault="00A80AEF">
      <w:r w:rsidRPr="00333263">
        <w:separator/>
      </w:r>
    </w:p>
  </w:endnote>
  <w:endnote w:type="continuationSeparator" w:id="0">
    <w:p w14:paraId="272D2BB4" w14:textId="77777777" w:rsidR="00A80AEF" w:rsidRPr="00333263" w:rsidRDefault="00A80AEF">
      <w:r w:rsidRPr="00333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28BAE" w14:textId="77777777" w:rsidR="00A80AEF" w:rsidRPr="00333263" w:rsidRDefault="00A80AEF">
      <w:r w:rsidRPr="00333263">
        <w:separator/>
      </w:r>
    </w:p>
  </w:footnote>
  <w:footnote w:type="continuationSeparator" w:id="0">
    <w:p w14:paraId="2B305A94" w14:textId="77777777" w:rsidR="00A80AEF" w:rsidRPr="00333263" w:rsidRDefault="00A80AEF">
      <w:r w:rsidRPr="00333263">
        <w:continuationSeparator/>
      </w:r>
    </w:p>
  </w:footnote>
  <w:footnote w:id="1">
    <w:p w14:paraId="5C0A2F36" w14:textId="3D5E17CC" w:rsidR="00944055" w:rsidRPr="00333263" w:rsidRDefault="00944055" w:rsidP="00333263">
      <w:pPr>
        <w:pStyle w:val="FootnoteText"/>
        <w:ind w:left="567" w:hanging="567"/>
        <w:rPr>
          <w:sz w:val="24"/>
          <w:lang w:val="fi-FI"/>
        </w:rPr>
      </w:pPr>
      <w:r w:rsidRPr="008F2C66">
        <w:rPr>
          <w:rStyle w:val="FootnoteReference"/>
          <w:sz w:val="24"/>
          <w:szCs w:val="24"/>
        </w:rPr>
        <w:footnoteRef/>
      </w:r>
      <w:r w:rsidRPr="008F2C66">
        <w:rPr>
          <w:sz w:val="24"/>
          <w:szCs w:val="24"/>
          <w:vertAlign w:val="superscript"/>
          <w:lang w:val="fi-FI"/>
        </w:rPr>
        <w:t xml:space="preserve"> </w:t>
      </w:r>
      <w:r w:rsidRPr="00333263">
        <w:rPr>
          <w:sz w:val="24"/>
          <w:vertAlign w:val="superscript"/>
          <w:lang w:val="fi-FI"/>
        </w:rPr>
        <w:tab/>
      </w:r>
      <w:r w:rsidRPr="00333263">
        <w:rPr>
          <w:sz w:val="24"/>
          <w:lang w:val="fi-FI"/>
        </w:rPr>
        <w:t xml:space="preserve">EUVL L 170, 12.5.2021, s. 149, </w:t>
      </w:r>
      <w:r w:rsidR="008227A7" w:rsidRPr="00D95A8C">
        <w:rPr>
          <w:sz w:val="24"/>
          <w:lang w:val="fi-FI"/>
        </w:rPr>
        <w:t xml:space="preserve">ELI: </w:t>
      </w:r>
      <w:hyperlink r:id="rId1" w:tgtFrame="http://data.europa.eu/eli/reg/2021/697/oj" w:history="1">
        <w:r w:rsidR="008227A7" w:rsidRPr="00D95A8C">
          <w:rPr>
            <w:rStyle w:val="Hyperlink"/>
            <w:sz w:val="24"/>
            <w:lang w:val="fi-FI"/>
          </w:rPr>
          <w:t>http://data.europa.eu/eli/reg/2021/697/oj</w:t>
        </w:r>
      </w:hyperlink>
      <w:r w:rsidRPr="00333263">
        <w:rPr>
          <w:sz w:val="24"/>
          <w:lang w:val="fi-FI"/>
        </w:rPr>
        <w:t>.</w:t>
      </w:r>
    </w:p>
  </w:footnote>
  <w:footnote w:id="2">
    <w:p w14:paraId="598C963D" w14:textId="1BE940B5"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EUVL L, 2025/2643, 29.12.2025, ELI: </w:t>
      </w:r>
      <w:hyperlink r:id="rId2" w:history="1">
        <w:r w:rsidRPr="00333263">
          <w:rPr>
            <w:rStyle w:val="Hyperlink"/>
            <w:sz w:val="24"/>
            <w:lang w:val="fi-FI"/>
          </w:rPr>
          <w:t>http://data.europa.eu/eli/reg/2025/2643/oj</w:t>
        </w:r>
      </w:hyperlink>
      <w:r w:rsidRPr="00333263">
        <w:rPr>
          <w:sz w:val="24"/>
          <w:lang w:val="fi-FI"/>
        </w:rPr>
        <w:t xml:space="preserve">. </w:t>
      </w:r>
    </w:p>
  </w:footnote>
  <w:footnote w:id="3">
    <w:p w14:paraId="016C74E3" w14:textId="3FDDF4A2"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EUVL L, 2025/1106, 28.5.2025, ELI: </w:t>
      </w:r>
      <w:hyperlink r:id="rId3" w:history="1">
        <w:r w:rsidRPr="00333263">
          <w:rPr>
            <w:rStyle w:val="Hyperlink"/>
            <w:sz w:val="24"/>
            <w:lang w:val="fi-FI"/>
          </w:rPr>
          <w:t>http://data.europa.eu/eli/reg/2025/1106/oj</w:t>
        </w:r>
      </w:hyperlink>
      <w:r w:rsidRPr="00333263">
        <w:rPr>
          <w:sz w:val="24"/>
          <w:lang w:val="fi-FI"/>
        </w:rPr>
        <w:t xml:space="preserve">. </w:t>
      </w:r>
    </w:p>
  </w:footnote>
  <w:footnote w:id="4">
    <w:p w14:paraId="38CCC9F5" w14:textId="0759BCA9"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EUVL L 335, 13.12.2008, s. 99, ELI: </w:t>
      </w:r>
      <w:hyperlink r:id="rId4" w:history="1">
        <w:r w:rsidRPr="00333263">
          <w:rPr>
            <w:rStyle w:val="Hyperlink"/>
            <w:sz w:val="24"/>
            <w:lang w:val="fi-FI"/>
          </w:rPr>
          <w:t>http://data.europa.eu/eli/compos/2008/944/oj</w:t>
        </w:r>
      </w:hyperlink>
      <w:r w:rsidRPr="00333263">
        <w:rPr>
          <w:sz w:val="24"/>
          <w:lang w:val="fi-FI"/>
        </w:rPr>
        <w:t xml:space="preserve">. </w:t>
      </w:r>
    </w:p>
  </w:footnote>
  <w:footnote w:id="5">
    <w:p w14:paraId="236C9D44" w14:textId="653FF0E6"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EUVL C, C/2025/3151, 20.6.2025, ELI: </w:t>
      </w:r>
      <w:hyperlink r:id="rId5" w:history="1">
        <w:r w:rsidRPr="00333263">
          <w:rPr>
            <w:rStyle w:val="Hyperlink"/>
            <w:sz w:val="24"/>
            <w:lang w:val="fi-FI"/>
          </w:rPr>
          <w:t>http://data.europa.eu/eli/C/2025/3151/oj</w:t>
        </w:r>
      </w:hyperlink>
      <w:r w:rsidRPr="00333263">
        <w:rPr>
          <w:sz w:val="24"/>
          <w:lang w:val="fi-FI"/>
        </w:rPr>
        <w:t xml:space="preserve">. </w:t>
      </w:r>
    </w:p>
  </w:footnote>
  <w:footnote w:id="6">
    <w:p w14:paraId="18D9EFCE" w14:textId="477051F0"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EUVL C, C/2025/4389, 9.9.2025, ELI: </w:t>
      </w:r>
      <w:hyperlink r:id="rId6" w:history="1">
        <w:r w:rsidRPr="00333263">
          <w:rPr>
            <w:rStyle w:val="Hyperlink"/>
            <w:sz w:val="24"/>
            <w:lang w:val="fi-FI"/>
          </w:rPr>
          <w:t>http://data.europa.eu/eli/C/2025/4389/oj</w:t>
        </w:r>
      </w:hyperlink>
      <w:r w:rsidRPr="00333263">
        <w:rPr>
          <w:sz w:val="24"/>
          <w:lang w:val="fi-FI"/>
        </w:rPr>
        <w:t xml:space="preserve">. </w:t>
      </w:r>
    </w:p>
  </w:footnote>
  <w:footnote w:id="7">
    <w:p w14:paraId="7BD16ADA" w14:textId="2C22CBD9"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Sellaisina kuin ne lueteltu yhteisen tiedonannon ”Rauhan puolesta - puolustusvalmiuden tiekartta 2030” sivulla 3.</w:t>
      </w:r>
    </w:p>
  </w:footnote>
  <w:footnote w:id="8">
    <w:p w14:paraId="2BFD362A" w14:textId="7EE66DC5" w:rsidR="00F73C0E" w:rsidRPr="00333263" w:rsidRDefault="00F73C0E" w:rsidP="00333263">
      <w:pPr>
        <w:pStyle w:val="FootnoteText"/>
        <w:ind w:left="567" w:hanging="567"/>
        <w:rPr>
          <w:sz w:val="24"/>
          <w:lang w:val="fi-FI"/>
        </w:rPr>
      </w:pPr>
      <w:r w:rsidRPr="00333263">
        <w:rPr>
          <w:rStyle w:val="FootnoteReference"/>
          <w:sz w:val="24"/>
          <w:lang w:val="fi-FI"/>
        </w:rPr>
        <w:footnoteRef/>
      </w:r>
      <w:r w:rsidR="00333263" w:rsidRPr="00333263">
        <w:rPr>
          <w:sz w:val="24"/>
          <w:lang w:val="fi-FI"/>
        </w:rPr>
        <w:t xml:space="preserve"> </w:t>
      </w:r>
      <w:r w:rsidR="00333263" w:rsidRPr="00333263">
        <w:rPr>
          <w:sz w:val="24"/>
          <w:lang w:val="fi-FI"/>
        </w:rPr>
        <w:tab/>
      </w:r>
      <w:r w:rsidRPr="00333263">
        <w:rPr>
          <w:sz w:val="24"/>
          <w:lang w:val="fi-FI"/>
        </w:rPr>
        <w:t xml:space="preserve">EYVL L 1, 3.1.1994, s. 3, ELI: </w:t>
      </w:r>
      <w:hyperlink r:id="rId7" w:history="1">
        <w:r w:rsidRPr="00333263">
          <w:rPr>
            <w:rStyle w:val="Hyperlink"/>
            <w:sz w:val="24"/>
            <w:lang w:val="fi-FI"/>
          </w:rPr>
          <w:t>http://data.europa.eu/eli/agree_internation/1994/1/oj</w:t>
        </w:r>
      </w:hyperlink>
      <w:r w:rsidRPr="00333263">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3419645">
    <w:abstractNumId w:val="9"/>
  </w:num>
  <w:num w:numId="2" w16cid:durableId="1083071127">
    <w:abstractNumId w:val="9"/>
  </w:num>
  <w:num w:numId="3" w16cid:durableId="469785720">
    <w:abstractNumId w:val="7"/>
  </w:num>
  <w:num w:numId="4" w16cid:durableId="2107190455">
    <w:abstractNumId w:val="7"/>
  </w:num>
  <w:num w:numId="5" w16cid:durableId="2050259930">
    <w:abstractNumId w:val="6"/>
  </w:num>
  <w:num w:numId="6" w16cid:durableId="1979652605">
    <w:abstractNumId w:val="6"/>
  </w:num>
  <w:num w:numId="7" w16cid:durableId="881870071">
    <w:abstractNumId w:val="5"/>
  </w:num>
  <w:num w:numId="8" w16cid:durableId="1851604147">
    <w:abstractNumId w:val="5"/>
  </w:num>
  <w:num w:numId="9" w16cid:durableId="2015574716">
    <w:abstractNumId w:val="4"/>
  </w:num>
  <w:num w:numId="10" w16cid:durableId="1023677531">
    <w:abstractNumId w:val="4"/>
  </w:num>
  <w:num w:numId="11" w16cid:durableId="1656495215">
    <w:abstractNumId w:val="8"/>
  </w:num>
  <w:num w:numId="12" w16cid:durableId="1354186811">
    <w:abstractNumId w:val="8"/>
  </w:num>
  <w:num w:numId="13" w16cid:durableId="1324353574">
    <w:abstractNumId w:val="3"/>
  </w:num>
  <w:num w:numId="14" w16cid:durableId="1666395085">
    <w:abstractNumId w:val="3"/>
  </w:num>
  <w:num w:numId="15" w16cid:durableId="1127549665">
    <w:abstractNumId w:val="2"/>
  </w:num>
  <w:num w:numId="16" w16cid:durableId="1619490863">
    <w:abstractNumId w:val="2"/>
  </w:num>
  <w:num w:numId="17" w16cid:durableId="2135057905">
    <w:abstractNumId w:val="1"/>
  </w:num>
  <w:num w:numId="18" w16cid:durableId="923682612">
    <w:abstractNumId w:val="1"/>
  </w:num>
  <w:num w:numId="19" w16cid:durableId="1464470196">
    <w:abstractNumId w:val="0"/>
  </w:num>
  <w:num w:numId="20" w16cid:durableId="1302660452">
    <w:abstractNumId w:val="0"/>
  </w:num>
  <w:num w:numId="21" w16cid:durableId="560948666">
    <w:abstractNumId w:val="9"/>
  </w:num>
  <w:num w:numId="22" w16cid:durableId="716468143">
    <w:abstractNumId w:val="7"/>
  </w:num>
  <w:num w:numId="23" w16cid:durableId="1694264305">
    <w:abstractNumId w:val="6"/>
  </w:num>
  <w:num w:numId="24" w16cid:durableId="1099913011">
    <w:abstractNumId w:val="5"/>
  </w:num>
  <w:num w:numId="25" w16cid:durableId="1454209943">
    <w:abstractNumId w:val="4"/>
  </w:num>
  <w:num w:numId="26" w16cid:durableId="1803572459">
    <w:abstractNumId w:val="8"/>
  </w:num>
  <w:num w:numId="27" w16cid:durableId="953905231">
    <w:abstractNumId w:val="3"/>
  </w:num>
  <w:num w:numId="28" w16cid:durableId="1388794888">
    <w:abstractNumId w:val="2"/>
  </w:num>
  <w:num w:numId="29" w16cid:durableId="1445080708">
    <w:abstractNumId w:val="1"/>
  </w:num>
  <w:num w:numId="30" w16cid:durableId="429786235">
    <w:abstractNumId w:val="0"/>
  </w:num>
  <w:num w:numId="31" w16cid:durableId="2012103312">
    <w:abstractNumId w:val="9"/>
  </w:num>
  <w:num w:numId="32" w16cid:durableId="1444881567">
    <w:abstractNumId w:val="7"/>
  </w:num>
  <w:num w:numId="33" w16cid:durableId="2065836483">
    <w:abstractNumId w:val="6"/>
  </w:num>
  <w:num w:numId="34" w16cid:durableId="856426492">
    <w:abstractNumId w:val="5"/>
  </w:num>
  <w:num w:numId="35" w16cid:durableId="1356269877">
    <w:abstractNumId w:val="4"/>
  </w:num>
  <w:num w:numId="36" w16cid:durableId="1896887218">
    <w:abstractNumId w:val="8"/>
  </w:num>
  <w:num w:numId="37" w16cid:durableId="1776823684">
    <w:abstractNumId w:val="3"/>
  </w:num>
  <w:num w:numId="38" w16cid:durableId="689599763">
    <w:abstractNumId w:val="2"/>
  </w:num>
  <w:num w:numId="39" w16cid:durableId="502554816">
    <w:abstractNumId w:val="1"/>
  </w:num>
  <w:num w:numId="40" w16cid:durableId="1522668773">
    <w:abstractNumId w:val="0"/>
  </w:num>
  <w:num w:numId="41" w16cid:durableId="775834932">
    <w:abstractNumId w:val="10"/>
  </w:num>
  <w:num w:numId="42" w16cid:durableId="945191783">
    <w:abstractNumId w:val="10"/>
  </w:num>
  <w:num w:numId="43" w16cid:durableId="1654214606">
    <w:abstractNumId w:val="10"/>
  </w:num>
  <w:num w:numId="44" w16cid:durableId="958951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FI"/>
    <w:docVar w:name="dvnumam" w:val="0"/>
    <w:docVar w:name="dvpe" w:val="776.841"/>
    <w:docVar w:name="dvrapporteur" w:val="Esittelijä: "/>
    <w:docVar w:name="dvtitre" w:val="Euroopan parlamentin päätöslauselma xx. maaliskuuta 2026 yhteistä etua koskevista puolustusalan eurooppalaisista lippulaivahankkeista(2025/2144(INI))"/>
  </w:docVars>
  <w:rsids>
    <w:rsidRoot w:val="00A80AEF"/>
    <w:rsid w:val="00002272"/>
    <w:rsid w:val="00064002"/>
    <w:rsid w:val="000677B9"/>
    <w:rsid w:val="000831BA"/>
    <w:rsid w:val="000A42CC"/>
    <w:rsid w:val="000E7DD9"/>
    <w:rsid w:val="0010095E"/>
    <w:rsid w:val="00125B37"/>
    <w:rsid w:val="00187494"/>
    <w:rsid w:val="001F32AE"/>
    <w:rsid w:val="00232497"/>
    <w:rsid w:val="00236595"/>
    <w:rsid w:val="002767FF"/>
    <w:rsid w:val="002B18FE"/>
    <w:rsid w:val="002B5493"/>
    <w:rsid w:val="00333263"/>
    <w:rsid w:val="00341CE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EF4"/>
    <w:rsid w:val="00545827"/>
    <w:rsid w:val="00560270"/>
    <w:rsid w:val="00563B75"/>
    <w:rsid w:val="005C2568"/>
    <w:rsid w:val="005E2897"/>
    <w:rsid w:val="005F1B17"/>
    <w:rsid w:val="006037C0"/>
    <w:rsid w:val="006631B6"/>
    <w:rsid w:val="00680577"/>
    <w:rsid w:val="006F74FA"/>
    <w:rsid w:val="00731ADD"/>
    <w:rsid w:val="00734777"/>
    <w:rsid w:val="00747932"/>
    <w:rsid w:val="00751A4A"/>
    <w:rsid w:val="00756632"/>
    <w:rsid w:val="00762C74"/>
    <w:rsid w:val="007735DE"/>
    <w:rsid w:val="00786EC0"/>
    <w:rsid w:val="007D1690"/>
    <w:rsid w:val="007E22AD"/>
    <w:rsid w:val="007E4001"/>
    <w:rsid w:val="00817416"/>
    <w:rsid w:val="008227A7"/>
    <w:rsid w:val="00842779"/>
    <w:rsid w:val="00861FAD"/>
    <w:rsid w:val="00865F67"/>
    <w:rsid w:val="00881A7B"/>
    <w:rsid w:val="008840E5"/>
    <w:rsid w:val="00887B3E"/>
    <w:rsid w:val="008C2AC6"/>
    <w:rsid w:val="008F2C66"/>
    <w:rsid w:val="00930C23"/>
    <w:rsid w:val="0093193B"/>
    <w:rsid w:val="00944055"/>
    <w:rsid w:val="009509D8"/>
    <w:rsid w:val="00950B64"/>
    <w:rsid w:val="00981893"/>
    <w:rsid w:val="00A049CE"/>
    <w:rsid w:val="00A1687D"/>
    <w:rsid w:val="00A43E52"/>
    <w:rsid w:val="00A4678D"/>
    <w:rsid w:val="00A778C7"/>
    <w:rsid w:val="00A80AEF"/>
    <w:rsid w:val="00AB441E"/>
    <w:rsid w:val="00AB6293"/>
    <w:rsid w:val="00AE0928"/>
    <w:rsid w:val="00AF3B82"/>
    <w:rsid w:val="00B12E95"/>
    <w:rsid w:val="00B22876"/>
    <w:rsid w:val="00B558F0"/>
    <w:rsid w:val="00BA1188"/>
    <w:rsid w:val="00BB666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C0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F6974"/>
  <w15:chartTrackingRefBased/>
  <w15:docId w15:val="{9A009EF1-807B-4590-8562-5FC5764D6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3C0E"/>
    <w:pPr>
      <w:widowControl/>
      <w:spacing w:after="240"/>
      <w:ind w:left="566" w:hanging="566"/>
    </w:pPr>
    <w:rPr>
      <w:szCs w:val="24"/>
      <w:lang w:eastAsia="en-US"/>
    </w:rPr>
  </w:style>
  <w:style w:type="paragraph" w:customStyle="1" w:styleId="Normal12">
    <w:name w:val="Normal12"/>
    <w:basedOn w:val="Normal"/>
    <w:rsid w:val="00F73C0E"/>
    <w:pPr>
      <w:widowControl/>
      <w:spacing w:after="240"/>
    </w:pPr>
    <w:rPr>
      <w:szCs w:val="24"/>
      <w:lang w:eastAsia="en-US"/>
    </w:rPr>
  </w:style>
  <w:style w:type="paragraph" w:customStyle="1" w:styleId="NormalHanging">
    <w:name w:val="NormalHanging"/>
    <w:basedOn w:val="Normal"/>
    <w:rsid w:val="00F73C0E"/>
    <w:pPr>
      <w:widowControl/>
      <w:spacing w:after="240"/>
      <w:ind w:left="566" w:hanging="566"/>
    </w:pPr>
    <w:rPr>
      <w:szCs w:val="24"/>
      <w:lang w:eastAsia="en-US"/>
    </w:rPr>
  </w:style>
  <w:style w:type="paragraph" w:customStyle="1" w:styleId="NormalCenter12a">
    <w:name w:val="NormalCenter12a"/>
    <w:basedOn w:val="Normal"/>
    <w:rsid w:val="00F73C0E"/>
    <w:pPr>
      <w:widowControl/>
      <w:spacing w:after="240"/>
      <w:jc w:val="center"/>
    </w:pPr>
    <w:rPr>
      <w:szCs w:val="24"/>
      <w:lang w:eastAsia="en-US"/>
    </w:rPr>
  </w:style>
  <w:style w:type="character" w:styleId="Hyperlink">
    <w:name w:val="Hyperlink"/>
    <w:basedOn w:val="DefaultParagraphFont"/>
    <w:rsid w:val="00F73C0E"/>
    <w:rPr>
      <w:color w:val="0000FF"/>
      <w:u w:val="single"/>
    </w:rPr>
  </w:style>
  <w:style w:type="character" w:customStyle="1" w:styleId="NormalHanging12aChar">
    <w:name w:val="NormalHanging12a Char"/>
    <w:basedOn w:val="DefaultParagraphFont"/>
    <w:link w:val="NormalHanging12a"/>
    <w:locked/>
    <w:rsid w:val="00F73C0E"/>
    <w:rPr>
      <w:sz w:val="24"/>
      <w:szCs w:val="24"/>
      <w:lang w:val="fi-FI" w:eastAsia="en-US"/>
    </w:rPr>
  </w:style>
  <w:style w:type="paragraph" w:styleId="Footer">
    <w:name w:val="footer"/>
    <w:basedOn w:val="Normal"/>
    <w:link w:val="FooterChar"/>
    <w:rsid w:val="00BA1188"/>
    <w:pPr>
      <w:tabs>
        <w:tab w:val="center" w:pos="4513"/>
        <w:tab w:val="right" w:pos="9026"/>
      </w:tabs>
    </w:pPr>
  </w:style>
  <w:style w:type="character" w:customStyle="1" w:styleId="FooterChar">
    <w:name w:val="Footer Char"/>
    <w:basedOn w:val="DefaultParagraphFont"/>
    <w:link w:val="Footer"/>
    <w:rsid w:val="00BA1188"/>
    <w:rPr>
      <w:sz w:val="24"/>
      <w:lang w:val="fi-FI"/>
    </w:rPr>
  </w:style>
  <w:style w:type="paragraph" w:styleId="Revision">
    <w:name w:val="Revision"/>
    <w:hidden/>
    <w:uiPriority w:val="99"/>
    <w:semiHidden/>
    <w:rsid w:val="00BA1188"/>
    <w:rPr>
      <w:sz w:val="24"/>
      <w:lang w:val="fi-FI"/>
    </w:rPr>
  </w:style>
  <w:style w:type="character" w:styleId="CommentReference">
    <w:name w:val="annotation reference"/>
    <w:basedOn w:val="DefaultParagraphFont"/>
    <w:rsid w:val="00944055"/>
    <w:rPr>
      <w:sz w:val="16"/>
      <w:szCs w:val="16"/>
    </w:rPr>
  </w:style>
  <w:style w:type="paragraph" w:styleId="CommentText">
    <w:name w:val="annotation text"/>
    <w:basedOn w:val="Normal"/>
    <w:link w:val="CommentTextChar"/>
    <w:rsid w:val="00944055"/>
    <w:rPr>
      <w:sz w:val="20"/>
    </w:rPr>
  </w:style>
  <w:style w:type="character" w:customStyle="1" w:styleId="CommentTextChar">
    <w:name w:val="Comment Text Char"/>
    <w:basedOn w:val="DefaultParagraphFont"/>
    <w:link w:val="CommentText"/>
    <w:rsid w:val="00944055"/>
    <w:rPr>
      <w:lang w:val="fi-FI"/>
    </w:rPr>
  </w:style>
  <w:style w:type="paragraph" w:styleId="CommentSubject">
    <w:name w:val="annotation subject"/>
    <w:basedOn w:val="CommentText"/>
    <w:next w:val="CommentText"/>
    <w:link w:val="CommentSubjectChar"/>
    <w:rsid w:val="00944055"/>
    <w:rPr>
      <w:b/>
      <w:bCs/>
    </w:rPr>
  </w:style>
  <w:style w:type="character" w:customStyle="1" w:styleId="CommentSubjectChar">
    <w:name w:val="Comment Subject Char"/>
    <w:basedOn w:val="CommentTextChar"/>
    <w:link w:val="CommentSubject"/>
    <w:rsid w:val="00944055"/>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4359</Words>
  <Characters>39461</Characters>
  <Application>Microsoft Office Word</Application>
  <DocSecurity>0</DocSecurity>
  <Lines>1360</Lines>
  <Paragraphs>381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PIRTTIJARVI Tiina</cp:lastModifiedBy>
  <cp:revision>2</cp:revision>
  <cp:lastPrinted>2004-11-19T15:42:00Z</cp:lastPrinted>
  <dcterms:created xsi:type="dcterms:W3CDTF">2026-04-21T09:57:00Z</dcterms:created>
  <dcterms:modified xsi:type="dcterms:W3CDTF">2026-04-21T09:57:00Z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A10-0014/2026</vt:lpwstr>
  </property>
  <property fmtid="{D5CDD505-2E9C-101B-9397-08002B2CF9AE}" pid="4" name="&lt;Type&gt;">
    <vt:lpwstr>RR</vt:lpwstr>
  </property>
</Properties>
</file>