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3CE3" w14:paraId="2F804B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8583CC" w14:textId="77777777" w:rsidR="00751A4A" w:rsidRPr="00373CE3" w:rsidRDefault="004C0B81" w:rsidP="0010095E">
            <w:pPr>
              <w:pStyle w:val="EPName"/>
            </w:pPr>
            <w:r w:rsidRPr="00373CE3">
              <w:t>Parlament Europejski</w:t>
            </w:r>
          </w:p>
          <w:p w14:paraId="601DE56D" w14:textId="77777777" w:rsidR="00751A4A" w:rsidRPr="00373CE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3CE3">
              <w:t>2024</w:t>
            </w:r>
            <w:r w:rsidR="00817416" w:rsidRPr="00373CE3">
              <w:t>-202</w:t>
            </w:r>
            <w:r w:rsidRPr="00373CE3">
              <w:t>9</w:t>
            </w:r>
          </w:p>
        </w:tc>
        <w:tc>
          <w:tcPr>
            <w:tcW w:w="2268" w:type="dxa"/>
            <w:shd w:val="clear" w:color="auto" w:fill="auto"/>
          </w:tcPr>
          <w:p w14:paraId="75F768E7" w14:textId="77777777" w:rsidR="00751A4A" w:rsidRPr="00373CE3" w:rsidRDefault="00187494" w:rsidP="0010095E">
            <w:pPr>
              <w:pStyle w:val="EPLogo"/>
            </w:pPr>
            <w:r w:rsidRPr="00373CE3">
              <w:rPr>
                <w:noProof/>
                <w:lang w:eastAsia="ja-JP"/>
              </w:rPr>
              <w:drawing>
                <wp:inline distT="0" distB="0" distL="0" distR="0" wp14:anchorId="12D7A4B4" wp14:editId="75D651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E6B287" w14:textId="77777777" w:rsidR="00D058B8" w:rsidRPr="00373CE3" w:rsidRDefault="00D058B8" w:rsidP="004C5D52">
      <w:pPr>
        <w:pStyle w:val="LineTop"/>
      </w:pPr>
    </w:p>
    <w:p w14:paraId="185BE493" w14:textId="77777777" w:rsidR="00680577" w:rsidRPr="00373CE3" w:rsidRDefault="004C0B81" w:rsidP="00680577">
      <w:pPr>
        <w:pStyle w:val="EPBodyTA1"/>
      </w:pPr>
      <w:r w:rsidRPr="00373CE3">
        <w:t>TEKSTY PRZYJĘTE</w:t>
      </w:r>
    </w:p>
    <w:p w14:paraId="185C94BA" w14:textId="77777777" w:rsidR="00D058B8" w:rsidRPr="00373CE3" w:rsidRDefault="00D058B8" w:rsidP="00D058B8">
      <w:pPr>
        <w:pStyle w:val="LineBottom"/>
      </w:pPr>
    </w:p>
    <w:p w14:paraId="32C25553" w14:textId="20970D3F" w:rsidR="004C0B81" w:rsidRPr="00373CE3" w:rsidRDefault="004C0B81" w:rsidP="004C0B81">
      <w:pPr>
        <w:pStyle w:val="ATHeading1"/>
      </w:pPr>
      <w:bookmarkStart w:id="0" w:name="TANumber"/>
      <w:r w:rsidRPr="00373CE3">
        <w:t>P10_TA(2026)00</w:t>
      </w:r>
      <w:bookmarkEnd w:id="0"/>
      <w:r w:rsidR="00490E8B">
        <w:t>80</w:t>
      </w:r>
    </w:p>
    <w:p w14:paraId="64501C01" w14:textId="77777777" w:rsidR="004C0B81" w:rsidRPr="00373CE3" w:rsidRDefault="004C0B81" w:rsidP="004C0B81">
      <w:pPr>
        <w:pStyle w:val="ATHeading2"/>
      </w:pPr>
      <w:bookmarkStart w:id="1" w:name="title"/>
      <w:r w:rsidRPr="00373CE3">
        <w:t>Sztandarowe europejskie projekty wspólnego zainteresowania w dziedzinie obronności</w:t>
      </w:r>
      <w:bookmarkEnd w:id="1"/>
    </w:p>
    <w:p w14:paraId="704F3DCF" w14:textId="77777777" w:rsidR="004C0B81" w:rsidRPr="00373CE3" w:rsidRDefault="004C0B81" w:rsidP="004C0B81">
      <w:pPr>
        <w:rPr>
          <w:i/>
          <w:vanish/>
        </w:rPr>
      </w:pPr>
      <w:r w:rsidRPr="00373CE3">
        <w:rPr>
          <w:i/>
        </w:rPr>
        <w:fldChar w:fldCharType="begin"/>
      </w:r>
      <w:r w:rsidRPr="00373CE3">
        <w:rPr>
          <w:i/>
        </w:rPr>
        <w:instrText xml:space="preserve"> TC"(</w:instrText>
      </w:r>
      <w:bookmarkStart w:id="2" w:name="DocNumber"/>
      <w:r w:rsidRPr="00373CE3">
        <w:rPr>
          <w:i/>
        </w:rPr>
        <w:instrText>A10-0014/2026</w:instrText>
      </w:r>
      <w:bookmarkEnd w:id="2"/>
      <w:r w:rsidRPr="00373CE3">
        <w:rPr>
          <w:i/>
        </w:rPr>
        <w:instrText xml:space="preserve"> - Sprawozdawca: Lucia Annunziata)"\l3 \n&gt; \* MERGEFORMAT </w:instrText>
      </w:r>
      <w:r w:rsidRPr="00373CE3">
        <w:rPr>
          <w:i/>
        </w:rPr>
        <w:fldChar w:fldCharType="end"/>
      </w:r>
    </w:p>
    <w:p w14:paraId="2B031A2C" w14:textId="77777777" w:rsidR="004C0B81" w:rsidRPr="00373CE3" w:rsidRDefault="004C0B81" w:rsidP="004C0B81">
      <w:pPr>
        <w:rPr>
          <w:vanish/>
        </w:rPr>
      </w:pPr>
      <w:bookmarkStart w:id="3" w:name="Commission"/>
      <w:r w:rsidRPr="00373CE3">
        <w:rPr>
          <w:vanish/>
        </w:rPr>
        <w:t>Komisja Bezpieczeństwa i Obrony</w:t>
      </w:r>
      <w:bookmarkEnd w:id="3"/>
    </w:p>
    <w:p w14:paraId="310FDA15" w14:textId="77777777" w:rsidR="004C0B81" w:rsidRPr="00373CE3" w:rsidRDefault="004C0B81" w:rsidP="004C0B81">
      <w:pPr>
        <w:rPr>
          <w:vanish/>
        </w:rPr>
      </w:pPr>
      <w:bookmarkStart w:id="4" w:name="PE"/>
      <w:r w:rsidRPr="00373CE3">
        <w:rPr>
          <w:vanish/>
        </w:rPr>
        <w:t>PE776.841</w:t>
      </w:r>
      <w:bookmarkEnd w:id="4"/>
    </w:p>
    <w:p w14:paraId="482E3823" w14:textId="24CB5CD3" w:rsidR="004C0B81" w:rsidRPr="00373CE3" w:rsidRDefault="004C0B81" w:rsidP="004C0B81">
      <w:pPr>
        <w:pStyle w:val="ATHeading3"/>
      </w:pPr>
      <w:bookmarkStart w:id="5" w:name="Sujet"/>
      <w:r w:rsidRPr="00373CE3">
        <w:t xml:space="preserve">Rezolucja Parlamentu Europejskiego z dnia </w:t>
      </w:r>
      <w:r w:rsidR="00490E8B">
        <w:t xml:space="preserve">11 </w:t>
      </w:r>
      <w:r w:rsidR="00CE537D">
        <w:t>marca</w:t>
      </w:r>
      <w:r w:rsidRPr="00373CE3">
        <w:t xml:space="preserve"> 2026 r. w sprawie sztandarowych europejskich projektów wspólnego zainteresowania w dziedzinie obronności</w:t>
      </w:r>
      <w:bookmarkEnd w:id="5"/>
      <w:r w:rsidRPr="00373CE3">
        <w:t xml:space="preserve"> </w:t>
      </w:r>
      <w:bookmarkStart w:id="6" w:name="References"/>
      <w:r w:rsidRPr="00373CE3">
        <w:t>(2025/2144(INI))</w:t>
      </w:r>
      <w:bookmarkEnd w:id="6"/>
    </w:p>
    <w:p w14:paraId="6CBF48B2" w14:textId="77777777" w:rsidR="00E978AC" w:rsidRPr="00373CE3" w:rsidRDefault="00E978AC" w:rsidP="00E978AC">
      <w:pPr>
        <w:pStyle w:val="Normal12"/>
      </w:pPr>
      <w:r w:rsidRPr="00373CE3">
        <w:rPr>
          <w:i/>
        </w:rPr>
        <w:t>Parlament Europejski</w:t>
      </w:r>
      <w:r w:rsidRPr="00373CE3">
        <w:t>,</w:t>
      </w:r>
    </w:p>
    <w:p w14:paraId="0154CAFB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Traktat o Unii Europejskiej (TUE), w szczególności jego art. 42 ust. 2 i 3,</w:t>
      </w:r>
    </w:p>
    <w:p w14:paraId="2CFBAB78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Traktat o funkcjonowaniu Unii Europejskiej (TFUE), w szczególności jego art. 2, art. 107 ust. 3 lit. b) oraz art. 114 i 346,</w:t>
      </w:r>
    </w:p>
    <w:p w14:paraId="4DEDDB7B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art. 2 lit. e) Protokołu nr 10 w sprawie stałej współpracy strukturalnej (PESCO) ustanowionej na mocy art. 42 ust. 6 TUE oraz wspólną notyfikację PESCO podpisaną przez ministrów 23 państw członkowskich UE 13 listopada 2017 r.,</w:t>
      </w:r>
    </w:p>
    <w:p w14:paraId="3909EE90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deklarację wersalską przyjętą na nieformalnym posiedzeniu szefów państw i rządów 11 marca 2022 r., w szczególności jej art. 22,</w:t>
      </w:r>
    </w:p>
    <w:p w14:paraId="4D11E99F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„Strategiczny kompas na rzecz bezpieczeństwa i obrony – dla Unii Europejskiej, która chroni swoich obywateli, swoje wartości i interesy oraz przyczynia się do międzynarodowego pokoju i bezpieczeństwa”, zatwierdzony przez Radę 21 marca 2022 r. i poparty przez Radę Europejską 25 marca 2022 r.,</w:t>
      </w:r>
    </w:p>
    <w:p w14:paraId="433C5466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wspólny komunikat Komisji i wysokiego przedstawiciela Unii do spraw zagranicznych i polityki bezpieczeństwa z 18 maja 2022 r. w sprawie analizy luk inwestycyjnych w zakresie obronności i dalszych działań (JOIN(2022)0024),</w:t>
      </w:r>
    </w:p>
    <w:p w14:paraId="7C7EAC83" w14:textId="77777777" w:rsidR="00E978AC" w:rsidRPr="00373CE3" w:rsidRDefault="00E978AC" w:rsidP="00E978AC">
      <w:pPr>
        <w:pStyle w:val="NormalHanging"/>
        <w:ind w:left="567" w:hanging="567"/>
      </w:pPr>
      <w:r w:rsidRPr="00373CE3">
        <w:t>–</w:t>
      </w:r>
      <w:r w:rsidRPr="00373CE3">
        <w:tab/>
        <w:t xml:space="preserve">uwzględniając wspólny komunikat Komisji i wysokiego przedstawiciela Unii do spraw zagranicznych i polityki bezpieczeństwa z 10 marca 2023 r. pt. „Strategia kosmiczna UE na rzecz bezpieczeństwa i obrony” (JOIN(2023)0009), </w:t>
      </w:r>
    </w:p>
    <w:p w14:paraId="22AD072A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wspólny komunikat Komisji i wysokiego przedstawiciela Unii do spraw zagranicznych i polityki bezpieczeństwa z 5 marca 2024 r. pt. „Nowa Strategia na rzecz europejskiego przemysłu obronnego – osiągnięcie gotowości UE dzięki zdolnemu do reagowania i odpornemu europejskiemu przemysłowi obronnemu” (JOIN(2024)0010),</w:t>
      </w:r>
    </w:p>
    <w:p w14:paraId="62F8AD8C" w14:textId="77777777" w:rsidR="00E978AC" w:rsidRPr="00373CE3" w:rsidRDefault="00E978AC" w:rsidP="00E978AC">
      <w:pPr>
        <w:pStyle w:val="NormalHanging"/>
      </w:pPr>
      <w:r w:rsidRPr="00373CE3">
        <w:lastRenderedPageBreak/>
        <w:t>–</w:t>
      </w:r>
      <w:r w:rsidRPr="00373CE3">
        <w:tab/>
        <w:t>uwzględniając wspólny komunikat Komisji i wysokiej przedstawicielki Unii do spraw zagranicznych i polityki bezpieczeństwa z 21 lutego 2025 r. pt. „Plan działania UE na rzecz bezpieczeństwa kabli” (JOIN(2025)0009),</w:t>
      </w:r>
    </w:p>
    <w:p w14:paraId="7926C526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wspólną białą księgę Komisji i wysokiej przedstawicielki Unii do spraw zagranicznych i polityki bezpieczeństwa z 19 marca 2025 r. pt. „Wspólna biała księga w sprawie obronności europejskiej – Gotowość 2030” (JOIN(2025)0120),</w:t>
      </w:r>
    </w:p>
    <w:p w14:paraId="5F663538" w14:textId="1CE0FD59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rozporządzenie Parlamentu Europejskiego i Rady (UE) 2021/697 z dnia 29 kwietnia 2021 r. ustanawiające Europejski Fundusz Obronny (EFO)</w:t>
      </w:r>
      <w:r w:rsidR="00490E8B">
        <w:rPr>
          <w:rStyle w:val="FootnoteReference"/>
        </w:rPr>
        <w:footnoteReference w:id="1"/>
      </w:r>
      <w:r w:rsidRPr="00373CE3">
        <w:t>,</w:t>
      </w:r>
    </w:p>
    <w:p w14:paraId="6F148D44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rozporządzenie Parlamentu Europejskiego i Rady (UE) 2025/2643 z dnia 16 grudnia 2025 r. ustanawiające Program na rzecz europejskiego przemysłu obronnego oraz ramy środków w celu zapewnienia terminowej dostępności i dostaw produktów związanych z obronnością</w:t>
      </w:r>
      <w:r w:rsidRPr="00373CE3">
        <w:rPr>
          <w:rStyle w:val="FootnoteReference"/>
        </w:rPr>
        <w:footnoteReference w:id="2"/>
      </w:r>
      <w:r w:rsidRPr="00373CE3">
        <w:t xml:space="preserve"> (rozporządzenie w sprawie EDIP), w szczególności jego rozdział IV dotyczący sztandarowych europejskich projektów wspólnego zainteresowania w dziedzinie obronności (EDPCI), </w:t>
      </w:r>
    </w:p>
    <w:p w14:paraId="027C6770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wniosek Komisji z 19 marca 2025 r. dotyczący rozporządzenia Rady ustanawiającego Instrument na rzecz Zwiększenia Bezpieczeństwa Europy (SAFE) poprzez Wzmocnienie Europejskiego Przemysłu Obronnego (COM(2025)0122),</w:t>
      </w:r>
    </w:p>
    <w:p w14:paraId="7998DF5E" w14:textId="0E870AAD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 xml:space="preserve">uwzględniając wniosek Komisji z 22 kwietnia 2025 r. dotyczący rozporządzenia Parlamentu Europejskiego i Rady zmieniającego rozporządzenia: </w:t>
      </w:r>
      <w:r w:rsidR="000675A9">
        <w:t xml:space="preserve">(UE) </w:t>
      </w:r>
      <w:r w:rsidRPr="00373CE3">
        <w:t xml:space="preserve">2021/694, (UE) 2021/695, (UE) 2021/697, (UE) 2021/1153, (UE) 2023/1525 i (UE) 2024/795 w odniesieniu do tworzenia zachęt do inwestycji związanych z obronnością w budżecie UE w celu wdrożenia planu </w:t>
      </w:r>
      <w:proofErr w:type="spellStart"/>
      <w:r w:rsidRPr="00373CE3">
        <w:t>ReArm</w:t>
      </w:r>
      <w:proofErr w:type="spellEnd"/>
      <w:r w:rsidRPr="00373CE3">
        <w:t xml:space="preserve"> Europe (</w:t>
      </w:r>
      <w:proofErr w:type="gramStart"/>
      <w:r w:rsidRPr="00373CE3">
        <w:t>COM(</w:t>
      </w:r>
      <w:proofErr w:type="gramEnd"/>
      <w:r w:rsidRPr="00373CE3">
        <w:t>2025)0188),</w:t>
      </w:r>
    </w:p>
    <w:p w14:paraId="78BE1561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rozporządzenie Rady (UE) 2025/1106 z dnia 27 maja 2025 r. ustanawiające Instrument na rzecz Zwiększenia Bezpieczeństwa Europy („instrument SAFE”) poprzez Wzmocnienie Europejskiego Przemysłu Obronnego</w:t>
      </w:r>
      <w:r w:rsidRPr="00373CE3">
        <w:rPr>
          <w:rStyle w:val="FootnoteReference"/>
        </w:rPr>
        <w:footnoteReference w:id="3"/>
      </w:r>
      <w:r w:rsidRPr="00373CE3">
        <w:t>,</w:t>
      </w:r>
    </w:p>
    <w:p w14:paraId="2F47214D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wspólny komunikat Komisji i wysokiej przedstawicielki Unii do spraw zagranicznych i polityki bezpieczeństwa z 16 października 2025 r. pt. „Utrzymanie pokoju – Plan działania na rzecz gotowości obronnej do 2030 r.” (JOIN(2025)0027),</w:t>
      </w:r>
    </w:p>
    <w:p w14:paraId="56D55293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wspólne stanowisko Rady 2008/944/</w:t>
      </w:r>
      <w:proofErr w:type="spellStart"/>
      <w:r w:rsidRPr="00373CE3">
        <w:t>WPZiB</w:t>
      </w:r>
      <w:proofErr w:type="spellEnd"/>
      <w:r w:rsidRPr="00373CE3">
        <w:t xml:space="preserve"> z dnia 8 grudnia 2008 r. określające wspólne zasady kontroli wywozu technologii wojskowych i sprzętu wojskowego</w:t>
      </w:r>
      <w:r w:rsidRPr="00373CE3">
        <w:rPr>
          <w:rStyle w:val="FootnoteReference"/>
        </w:rPr>
        <w:footnoteReference w:id="4"/>
      </w:r>
      <w:r w:rsidRPr="00373CE3">
        <w:t>,</w:t>
      </w:r>
    </w:p>
    <w:p w14:paraId="50CDB5CE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dokument programowy Komisji z 29 września 2025 r. dotyczący planu działania na rzecz gotowości do obrony do 2030 r.,</w:t>
      </w:r>
    </w:p>
    <w:p w14:paraId="7EC488F5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sprawozdanie wysokiej przedstawicielki Unii do spraw zagranicznych i polityki bezpieczeństwa dla Rady z 11 kwietnia 2025 r. pt. „Roczne sprawozdanie z postępów w realizacji Strategicznego kompasu na rzecz bezpieczeństwa i obrony”,</w:t>
      </w:r>
    </w:p>
    <w:p w14:paraId="54C71923" w14:textId="77777777" w:rsidR="00E978AC" w:rsidRPr="00373CE3" w:rsidRDefault="00E978AC" w:rsidP="00E978AC">
      <w:pPr>
        <w:pStyle w:val="NormalHanging"/>
      </w:pPr>
      <w:r w:rsidRPr="00373CE3">
        <w:lastRenderedPageBreak/>
        <w:t>–</w:t>
      </w:r>
      <w:r w:rsidRPr="00373CE3">
        <w:tab/>
        <w:t>uwzględniając konkluzje Rady Europejskiej z 22 i 23 czerwca 2017 r., w szczególności ust. 8 dotyczący PESCO, oraz konkluzje z 6 marca 2025 r., w szczególności ust. 3 lit. f),</w:t>
      </w:r>
    </w:p>
    <w:p w14:paraId="751C308C" w14:textId="77777777" w:rsidR="00E978AC" w:rsidRPr="00373CE3" w:rsidRDefault="00E978AC" w:rsidP="00E978AC">
      <w:pPr>
        <w:pStyle w:val="NormalHanging"/>
        <w:spacing w:after="100" w:afterAutospacing="1"/>
      </w:pPr>
      <w:r w:rsidRPr="00373CE3">
        <w:t>–</w:t>
      </w:r>
      <w:r w:rsidRPr="00373CE3">
        <w:tab/>
        <w:t>uwzględniając konkluzje Rady Europejskiej z 23 października 2025 r.,</w:t>
      </w:r>
    </w:p>
    <w:p w14:paraId="557F6D15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 xml:space="preserve">uwzględniając krajowe strategie bezpieczeństwa państw członkowskich UE, </w:t>
      </w:r>
    </w:p>
    <w:p w14:paraId="1488B325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</w:r>
      <w:bookmarkStart w:id="7" w:name="_Hlk220570567"/>
      <w:r w:rsidRPr="00373CE3">
        <w:t>uwzględniając opinię Europejskiego Trybunału Obrachunkowego nr 02/2024 z 3 października 2024 r. w sprawie wniosku dotyczącego rozporządzenia Parlamentu Europejskiego i Rady ustanawiającego program na rzecz europejskiego przemysłu obronnego</w:t>
      </w:r>
      <w:bookmarkEnd w:id="7"/>
      <w:r w:rsidRPr="00373CE3">
        <w:t xml:space="preserve"> oraz ramy środków w celu zapewnienia terminowej dostępności i dostaw produktów związanych z obronnością (EDIP), w szczególności jej ust. 42,</w:t>
      </w:r>
    </w:p>
    <w:p w14:paraId="5B4D5739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sprawozdanie roczne Europejskiej Agencji Obrony (EDA) za 2024 r., a także jej sprawozdanie z 14 listopada 2023 r. dotyczące priorytetów UE dotyczących rozwoju zdolności w 2023 r. oraz sprawozdanie z 2024 r. dotyczące skoordynowanego rocznego przeglądu obronności,</w:t>
      </w:r>
    </w:p>
    <w:p w14:paraId="41181C2B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sprawozdanie sekretariatu PESCO z września 2025 r. z postępów w realizacji projektów PESCO,</w:t>
      </w:r>
    </w:p>
    <w:p w14:paraId="54FD7E21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 xml:space="preserve">uwzględniając sprawozdanie Maria </w:t>
      </w:r>
      <w:proofErr w:type="spellStart"/>
      <w:r w:rsidRPr="00373CE3">
        <w:t>Draghiego</w:t>
      </w:r>
      <w:proofErr w:type="spellEnd"/>
      <w:r w:rsidRPr="00373CE3">
        <w:t xml:space="preserve"> z 9 września 2024 r. w sprawie przyszłości europejskiej konkurencyjności oraz jego rozdział 4, dotyczący zwiększenia bezpieczeństwa i zmniejszenia zależności,</w:t>
      </w:r>
    </w:p>
    <w:p w14:paraId="1BDC9008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 xml:space="preserve">uwzględniając sprawozdanie Enrica </w:t>
      </w:r>
      <w:proofErr w:type="spellStart"/>
      <w:r w:rsidRPr="00373CE3">
        <w:t>Letty</w:t>
      </w:r>
      <w:proofErr w:type="spellEnd"/>
      <w:r w:rsidRPr="00373CE3">
        <w:t xml:space="preserve"> z 17 kwietnia 2024 r. pt. „Much </w:t>
      </w:r>
      <w:proofErr w:type="spellStart"/>
      <w:r w:rsidRPr="00373CE3">
        <w:t>more</w:t>
      </w:r>
      <w:proofErr w:type="spellEnd"/>
      <w:r w:rsidRPr="00373CE3">
        <w:t xml:space="preserve"> </w:t>
      </w:r>
      <w:proofErr w:type="spellStart"/>
      <w:r w:rsidRPr="00373CE3">
        <w:t>than</w:t>
      </w:r>
      <w:proofErr w:type="spellEnd"/>
      <w:r w:rsidRPr="00373CE3">
        <w:t xml:space="preserve"> a market” [Znacznie więcej niż rynek], a zwłaszcza rozdział 3 pt. „A single market to </w:t>
      </w:r>
      <w:proofErr w:type="spellStart"/>
      <w:r w:rsidRPr="00373CE3">
        <w:t>play</w:t>
      </w:r>
      <w:proofErr w:type="spellEnd"/>
      <w:r w:rsidRPr="00373CE3">
        <w:t xml:space="preserve"> big: </w:t>
      </w:r>
      <w:proofErr w:type="spellStart"/>
      <w:r w:rsidRPr="00373CE3">
        <w:t>scale</w:t>
      </w:r>
      <w:proofErr w:type="spellEnd"/>
      <w:r w:rsidRPr="00373CE3">
        <w:t xml:space="preserve"> </w:t>
      </w:r>
      <w:proofErr w:type="spellStart"/>
      <w:r w:rsidRPr="00373CE3">
        <w:t>matters</w:t>
      </w:r>
      <w:proofErr w:type="spellEnd"/>
      <w:r w:rsidRPr="00373CE3">
        <w:t>” [Jednolity rynek jako duży gracz: skala się liczy],</w:t>
      </w:r>
    </w:p>
    <w:p w14:paraId="778E46CA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 xml:space="preserve">uwzględniając sprawozdanie </w:t>
      </w:r>
      <w:proofErr w:type="spellStart"/>
      <w:r w:rsidRPr="00373CE3">
        <w:t>Saulego</w:t>
      </w:r>
      <w:proofErr w:type="spellEnd"/>
      <w:r w:rsidRPr="00373CE3">
        <w:t xml:space="preserve"> </w:t>
      </w:r>
      <w:proofErr w:type="spellStart"/>
      <w:r w:rsidRPr="00373CE3">
        <w:t>Niinistö</w:t>
      </w:r>
      <w:proofErr w:type="spellEnd"/>
      <w:r w:rsidRPr="00373CE3">
        <w:t xml:space="preserve"> z 30 października 2024 r. pt. „Razem bezpieczniej: wzmocnienie gotowości cywilnej i wojskowej oraz przygotowania w Europie”, w szczególności rozdział 7,</w:t>
      </w:r>
    </w:p>
    <w:p w14:paraId="283EA2F4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wspólną deklarację w sprawie współpracy UE–NATO z 10 stycznia 2023 r.,</w:t>
      </w:r>
    </w:p>
    <w:p w14:paraId="05FE2FF4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deklarację ze szczytu w Hadze wydaną przez szefów państw i rządów NATO uczestniczących w posiedzeniu Rady Północnoatlantyckiej w Hadze 25 czerwca 2025 r.,</w:t>
      </w:r>
    </w:p>
    <w:p w14:paraId="038257CB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wydane 10 czerwca 2025 r. dziesiąte sprawozdanie z postępów w realizacji wspólnego zestawu wniosków zatwierdzonego przez Radę UE i Radę NATO 6 grudnia 2016 r. i 5 grudnia 2017 r.,</w:t>
      </w:r>
    </w:p>
    <w:p w14:paraId="3A6ECA68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programy współpracy sprzętowej zarządzane przez Organizację do spraw Współpracy w Zakresie Uzbrojenia (OCCAR),</w:t>
      </w:r>
    </w:p>
    <w:p w14:paraId="4757D272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swoją rezolucję z 12 marca 2025 r. w sprawie białej księgi na temat przyszłości obronności europejskiej</w:t>
      </w:r>
      <w:r w:rsidRPr="00373CE3">
        <w:rPr>
          <w:rStyle w:val="FootnoteReference"/>
        </w:rPr>
        <w:footnoteReference w:id="5"/>
      </w:r>
      <w:r w:rsidRPr="00373CE3">
        <w:t>, w szczególności ust. 4 i 58,</w:t>
      </w:r>
    </w:p>
    <w:p w14:paraId="0F313104" w14:textId="77777777" w:rsidR="00E978AC" w:rsidRPr="00373CE3" w:rsidRDefault="00E978AC" w:rsidP="00E978AC">
      <w:pPr>
        <w:pStyle w:val="NormalHanging"/>
      </w:pPr>
      <w:r w:rsidRPr="00373CE3">
        <w:lastRenderedPageBreak/>
        <w:t>–</w:t>
      </w:r>
      <w:r w:rsidRPr="00373CE3">
        <w:tab/>
        <w:t>uwzględniając swoją rezolucję z 2 kwietnia 2025 r. w sprawie realizacji wspólnej polityki bezpieczeństwa i obrony – sprawozdanie roczne za 2024 r.</w:t>
      </w:r>
      <w:r w:rsidRPr="00373CE3">
        <w:rPr>
          <w:rStyle w:val="FootnoteReference"/>
        </w:rPr>
        <w:footnoteReference w:id="6"/>
      </w:r>
      <w:r w:rsidRPr="00373CE3">
        <w:t>, w szczególności ust. 46,</w:t>
      </w:r>
    </w:p>
    <w:p w14:paraId="6D321282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art. 55 Regulaminu,</w:t>
      </w:r>
    </w:p>
    <w:p w14:paraId="34FCFDF0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opinię przedstawioną przez Komisję Rynku Wewnętrznego i Ochrony Konsumentów,</w:t>
      </w:r>
    </w:p>
    <w:p w14:paraId="68A6ABA3" w14:textId="77777777" w:rsidR="00E978AC" w:rsidRPr="00373CE3" w:rsidRDefault="00E978AC" w:rsidP="00E978AC">
      <w:pPr>
        <w:pStyle w:val="NormalHanging"/>
      </w:pPr>
      <w:r w:rsidRPr="00373CE3">
        <w:t>–</w:t>
      </w:r>
      <w:r w:rsidRPr="00373CE3">
        <w:tab/>
        <w:t>uwzględniając sprawozdanie Komisji Bezpieczeństwa i Obrony (A10-0014/2026),</w:t>
      </w:r>
    </w:p>
    <w:p w14:paraId="5D13890B" w14:textId="77777777" w:rsidR="00E978AC" w:rsidRPr="00373CE3" w:rsidRDefault="00E978AC" w:rsidP="00E978AC">
      <w:pPr>
        <w:pStyle w:val="NormalHanging"/>
      </w:pPr>
      <w:r w:rsidRPr="00373CE3">
        <w:t>A.</w:t>
      </w:r>
      <w:r w:rsidRPr="00373CE3">
        <w:tab/>
        <w:t>mając na uwadze, że wyzwania, jakie stawia przed nami pogarszający się stan pokoju i bezpieczeństwa, prowadzona nadal przez Rosję wojna napastnicza przeciwko Ukrainie oraz nowe, ewoluujące zagrożenia dla bezpieczeństwa UE, zmuszają UE i państwa członkowskie do znacznego zwiększenia inwestycji w obronność, by rozwijać zdolności obronne i wywiadowcze, które pozwolą bronić suwerenności, niepodległości i integralności terytorialnej, zwiększać zdolność do odstraszania, jak również działać i reagować – samodzielnie lub we współpracy z sojusznikami, zwłaszcza w NATO – na bezpośrednie i przyszłe zagrożenia;</w:t>
      </w:r>
    </w:p>
    <w:p w14:paraId="517D5C5D" w14:textId="77777777" w:rsidR="00E978AC" w:rsidRPr="00373CE3" w:rsidRDefault="00E978AC" w:rsidP="00E978AC">
      <w:pPr>
        <w:pStyle w:val="NormalHanging"/>
      </w:pPr>
      <w:r w:rsidRPr="00373CE3">
        <w:t>B.</w:t>
      </w:r>
      <w:r w:rsidRPr="00373CE3">
        <w:tab/>
        <w:t>mając na uwadze, że coraz częstsze ataki na europejską infrastrukturę krytyczną, w tym cyberataki i sabotaż, poważnie zagrażają naszemu życiu codziennemu i działalności gospodarczej w całej UE oraz wymagają skoordynowanej reakcji UE za pośrednictwem projektów europejskich zakrojonych na szeroką skalę;</w:t>
      </w:r>
    </w:p>
    <w:p w14:paraId="514D2ECE" w14:textId="77777777" w:rsidR="00E978AC" w:rsidRPr="00373CE3" w:rsidRDefault="00E978AC" w:rsidP="00E978AC">
      <w:pPr>
        <w:pStyle w:val="NormalHanging"/>
      </w:pPr>
      <w:r w:rsidRPr="00373CE3">
        <w:t>C.</w:t>
      </w:r>
      <w:r w:rsidRPr="00373CE3">
        <w:tab/>
        <w:t>mając na uwadze, że dotychczas w działaniach wojennych dominowała broń konwencjonalna, a obecnie, jak się zdaje, wojna przechodzi „od stali do sieci”; mając na uwadze, że w coraz większym stopniu włącza się w nią zdolności cybernetyczne i operacje sieciowe, a strategie wojenne zmieniają się pod wpływem nowych technologii i sztucznej inteligencji (AI) i nie ograniczają się już do siły rażenia i wielkich bitew, lecz zmierzają do miniaturyzacji i decentralizacji systemów, czego dowodzi stosowanie dronów i rojów dronów we wszystkich obszarach działań, broni wspomaganej przez AI, inteligentnych min i przenośnych systemów rakietowych; mając na uwadze, że myśliwce, okręty, artyleria, czołgi i pojazdy lądowe są coraz bardziej narażone na ostrzały precyzyjne, dlatego wymagają większej ochrony, gdyż wciąż mają zasadnicze znaczenie dla operacji zbrojnych i operacji bezpieczeństwa; mając na uwadze, że nadal trzeba produkować i w razie potrzeby rozmieszczać na dużą skalę tradycyjne systemy uzbrojenia i amunicji;</w:t>
      </w:r>
    </w:p>
    <w:p w14:paraId="19097891" w14:textId="77777777" w:rsidR="00E978AC" w:rsidRPr="00373CE3" w:rsidRDefault="00E978AC" w:rsidP="00E978AC">
      <w:pPr>
        <w:pStyle w:val="NormalHanging"/>
      </w:pPr>
      <w:r w:rsidRPr="00373CE3">
        <w:t>D.</w:t>
      </w:r>
      <w:r w:rsidRPr="00373CE3">
        <w:tab/>
        <w:t>mając na uwadze, że ten nowy paradygmat konfliktu oznacza, iż żaden region UE nie jest wolny od ryzyka agresji, ingerencji, dezinformacji, dywersji psychologicznej lub ataku hybrydowego; mając na uwadze, że strategiczne przygotowania do przedłużającego się konfliktu nadal mają kluczowe znaczenie dla zapewnienia długoterminowej odporności w zakresie bezpieczeństwa i obrony;</w:t>
      </w:r>
    </w:p>
    <w:p w14:paraId="1B632373" w14:textId="77777777" w:rsidR="00E978AC" w:rsidRPr="00373CE3" w:rsidRDefault="00E978AC" w:rsidP="00E978AC">
      <w:pPr>
        <w:pStyle w:val="NormalHanging"/>
      </w:pPr>
      <w:r w:rsidRPr="00373CE3">
        <w:t>E.</w:t>
      </w:r>
      <w:r w:rsidRPr="00373CE3">
        <w:tab/>
        <w:t xml:space="preserve">mając na uwadze, że przestrzeń kosmiczna staje się coraz bardziej zatłoczonym i spornym obszarem strategicznym, a segmenty naziemny i kosmiczny coraz częściej służą za narzędzia walki; mając na uwadze, że NATO uznało przestrzeń kosmiczną za piątą strategiczną domenę operacyjną, dostrzegając rosnące wyzwania w zakresie </w:t>
      </w:r>
      <w:r w:rsidRPr="00373CE3">
        <w:lastRenderedPageBreak/>
        <w:t>bezpieczeństwa związane z przestrzenią kosmiczną, a w konsekwencji potrzebę zwiększenia jej bezpieczeństwa;</w:t>
      </w:r>
    </w:p>
    <w:p w14:paraId="4553C546" w14:textId="77777777" w:rsidR="00E978AC" w:rsidRPr="00373CE3" w:rsidRDefault="00E978AC" w:rsidP="00E978AC">
      <w:pPr>
        <w:pStyle w:val="NormalHanging"/>
      </w:pPr>
      <w:r w:rsidRPr="00373CE3">
        <w:t>F.</w:t>
      </w:r>
      <w:r w:rsidRPr="00373CE3">
        <w:tab/>
        <w:t>mając na uwadze, że we wspólnym komunikacie z 5 marca 2024 r. pt. „Nowa strategia na rzecz europejskiego przemysłu obronnego” Komisja podkreśliła, iż w 2022 r. na wspólne zamówienia UE na sprzęt obronny przeznaczono zaledwie 18 % łącznych wydatków sprzętowych państw członkowskich UE, znacznie poniżej zbiorowego poziomu odniesienia wynoszącego 35 %, ustalonego przez państwa członkowskie na posiedzeniu Ministerialnej Rady Sterującej EDA w 2007 r.; mając na uwadze, że w komunikacie „Utrzymanie pokoju – Plan działania na rzecz gotowości obronnej do 2030 r.” wyznaczono cel polegający na zorganizowaniu – do końca 2027 r. – co najmniej 40 % zamówień w dziedzinie obronności jako wspólnych zamówień; mając na uwadze, że chcąc poprawić zdolności europejskiego przemysłu obronnego Rada Europejska 23 października 2025 r. wezwała państwa członkowskie, by przy wsparciu ze strony EDA w coraz większym stopniu ukierunkowywały inwestycje w obronność na wspólny rozwój, wspólną produkcję i wspólne zamówienia; mając na uwadze, że skoordynowane starania państw członkowskich o efektywny przydział zasobów, zmniejszenie fragmentacji i przyspieszenie rozwoju innowacyjnych technologii obronnych mają zasadnicze znaczenie dla powstania w pełni funkcjonującego rynku; mając na uwadze, że osiągnięcie tych celów wymaga silniejszych zachęt i mniejszych obciążeń administracyjnych, a jednocześnie zagwarantowania, że współpraca nadal będzie opierała się na zasadach rynkowych, w oparciu o wymagane zdolności obronne i komplementarne procesy planowania obronnego UE, jej państw członkowskich i NATO;</w:t>
      </w:r>
    </w:p>
    <w:p w14:paraId="39C3E7BF" w14:textId="77777777" w:rsidR="00E978AC" w:rsidRPr="00373CE3" w:rsidRDefault="00E978AC" w:rsidP="00E978AC">
      <w:pPr>
        <w:pStyle w:val="NormalHanging"/>
      </w:pPr>
      <w:r w:rsidRPr="00373CE3">
        <w:t>G.</w:t>
      </w:r>
      <w:r w:rsidRPr="00373CE3">
        <w:tab/>
        <w:t>mając na uwadze, że europejskie inicjatywy przewodnie na rzecz gotowości przedstawione w komunikacie „Utrzymanie pokoju – Plan działania na rzecz gotowości obronnej do 2030 r.” bazują na całościowym podejściu do obronności, obejmującym zarówno ochronę przed bezpośrednią agresją wojskową, jak i gotowość na zagrożenia hybrydowe; mając na uwadze, że są one okazją do wspierania innowacji, interoperacyjności i konkurencyjności w przemyśle obronnym UE dzięki rozwijaniu wspólnych innowacyjnych partnerstw przemysłowych w dziedzinie technologii pionierskich, znacznemu udoskonaleniu europejskiej bazy technologiczno-przemysłowej sektora obronnego (EDTIB) i zmniejszeniu jej zależności od technologii z państw trzecich;</w:t>
      </w:r>
    </w:p>
    <w:p w14:paraId="2B9E51A5" w14:textId="77777777" w:rsidR="00E978AC" w:rsidRPr="00373CE3" w:rsidRDefault="00E978AC" w:rsidP="00E978AC">
      <w:pPr>
        <w:pStyle w:val="NormalHanging"/>
      </w:pPr>
      <w:r w:rsidRPr="00373CE3">
        <w:t>H.</w:t>
      </w:r>
      <w:r w:rsidRPr="00373CE3">
        <w:tab/>
        <w:t xml:space="preserve">mając na uwadze, że państwa członkowskie leżące przy wschodniej granicy UE są najbardziej narażone na poważne zagrożenia i mają zasadnicze znaczenie dla bezpieczeństwa całej UE; mając na uwadze, że w konkluzjach z 23 października 2025 r. Rada Europejska zaznaczyła, iż należy priorytetowo zająć się bezpośrednimi zagrożeniami dla wschodniej flanki UE i udzielaniem konkretnego wsparcia państwom członkowskim; mając na uwadze, że w komunikacie „Utrzymanie pokoju – Plan działania na rzecz gotowości obronnej do 2030 r.” wskazano, iż europejska inicjatywa na rzecz obrony przed dronami i straż wschodniej flanki są inicjatywami, które należy uruchomić w pierwszej kolejności; mając na uwadze, że zgodnie z propozycją straż wschodniej flanki ma wzmocnić wschodnie granice UE przez integrację zdolności obrony naziemnej, morskiej i powietrznej ze skutecznymi i najnowocześniejszymi systemami i technologiami </w:t>
      </w:r>
      <w:proofErr w:type="spellStart"/>
      <w:r w:rsidRPr="00373CE3">
        <w:t>antydronowymi</w:t>
      </w:r>
      <w:proofErr w:type="spellEnd"/>
      <w:r w:rsidRPr="00373CE3">
        <w:t>, które mają też zasadnicze znaczenie dla europejskiej inicjatywy na rzecz obrony przed dronami;</w:t>
      </w:r>
    </w:p>
    <w:p w14:paraId="73AEF6D0" w14:textId="77777777" w:rsidR="00E978AC" w:rsidRPr="00373CE3" w:rsidRDefault="00E978AC" w:rsidP="00E978AC">
      <w:pPr>
        <w:pStyle w:val="NormalHanging"/>
      </w:pPr>
      <w:r w:rsidRPr="00373CE3">
        <w:lastRenderedPageBreak/>
        <w:t>I.</w:t>
      </w:r>
      <w:r w:rsidRPr="00373CE3">
        <w:tab/>
        <w:t>mając na uwadze, że użytkownikami końcowymi produktów obronnych są przede wszystkim krajowe siły zbrojne państw członkowskich, mogą one zatem rozważać zwiększenie inwestycji w projekty przemysłowe związane z obronnością tylko wtedy, gdy projekty te dotyczą rozwoju zdolności wojskowych będących przedmiotem wspólnego zainteresowania dla ich sił zbrojnych; mając na uwadze, że art. 346 TFUE stanowi, iż każde państwo członkowskie może podejmować środki, jakie uważa za konieczne w celu ochrony podstawowych interesów jego bezpieczeństwa, a które odnoszą się do produkcji lub handlu bronią, amunicją lub materiałami wojennymi;</w:t>
      </w:r>
    </w:p>
    <w:p w14:paraId="1A3F7B88" w14:textId="77777777" w:rsidR="00E978AC" w:rsidRPr="00373CE3" w:rsidRDefault="00E978AC" w:rsidP="00E978AC">
      <w:pPr>
        <w:pStyle w:val="NormalHanging"/>
      </w:pPr>
      <w:r w:rsidRPr="00373CE3">
        <w:t>J.</w:t>
      </w:r>
      <w:r w:rsidRPr="00373CE3">
        <w:tab/>
        <w:t>mając na uwadze, że w Strategicznym kompasie na rzecz bezpieczeństwa i obrony wyznaczono cel polegający na opracowaniu zachęt stymulujących współpracę inwestycyjną państw członkowskich we wspólnych projektach i wspólnych zamówieniach na zdolności obronne, realizowanych na zasadzie współpracy w UE;</w:t>
      </w:r>
    </w:p>
    <w:p w14:paraId="1072CE86" w14:textId="77777777" w:rsidR="00E978AC" w:rsidRPr="00373CE3" w:rsidRDefault="00E978AC" w:rsidP="00E978AC">
      <w:pPr>
        <w:pStyle w:val="NormalHanging"/>
      </w:pPr>
      <w:r w:rsidRPr="00373CE3">
        <w:t>K.</w:t>
      </w:r>
      <w:r w:rsidRPr="00373CE3">
        <w:tab/>
        <w:t xml:space="preserve">mając na uwadze, że rozporządzenie (UE) 2025/2643 ustanawiające Program na rzecz europejskiego przemysłu obronnego (EDIP) przewiduje wdrożenie EDPCI; mając na uwadze, że EDPCI to wspólne projekty przemysłowe mające zwiększać konkurencyjność EDTIB w całej Unii, a jednocześnie pomagać rozwijać zdolności wojskowe państw członkowskich o kluczowym znaczeniu dla interesów Unii w zakresie bezpieczeństwa i obrony, propagować otwartą i modułową architekturę, innowacje podwójnego zastosowania oraz transgraniczny udział małych i średnich przedsiębiorstw (MŚP) oraz spółek o średniej kapitalizacji we </w:t>
      </w:r>
      <w:bookmarkStart w:id="8" w:name="_Hlk219991787"/>
      <w:r w:rsidRPr="00373CE3">
        <w:t xml:space="preserve">wszystkich typach operacji: lądowych, morskich, powietrznych, kosmicznych i cybernetycznych; </w:t>
      </w:r>
      <w:bookmarkEnd w:id="8"/>
      <w:r w:rsidRPr="00373CE3">
        <w:t>mając na uwadze, że EDIP obejmuje również struktury na rzecz europejskiego programu zbrojeniowego (SEAP), nowe rozwiązania prawne, które można wykorzystać we wspólnych inicjatywach zbrojeniowych w ramach projektów sztandarowych;</w:t>
      </w:r>
    </w:p>
    <w:p w14:paraId="1F69B469" w14:textId="77777777" w:rsidR="00E978AC" w:rsidRPr="00373CE3" w:rsidRDefault="00E978AC" w:rsidP="00E978AC">
      <w:pPr>
        <w:pStyle w:val="NormalHanging12a"/>
      </w:pPr>
      <w:r w:rsidRPr="00373CE3">
        <w:t>L.</w:t>
      </w:r>
      <w:r w:rsidRPr="00373CE3">
        <w:tab/>
        <w:t>mając na uwadze, że jak podkreślono w komunikacie pt. „Utrzymanie pokoju – planie działania na rzecz gotowości obronnej do 2030 r.”, Ukraina jest nadal pierwszą linią obrony Europy i nieodłącznym elementem europejskiej architektury obronności i bezpieczeństwa; mając na uwadze, że współpraca między przemysłem obronnym UE i Ukrainy, zwłaszcza w ramach projektów sztandarowych lub EDPCI, ma ogromne znaczenie dla ich rynków, konkurencyjności i potencjału innowacyjnego;</w:t>
      </w:r>
    </w:p>
    <w:p w14:paraId="353AEFCB" w14:textId="77777777" w:rsidR="00E978AC" w:rsidRPr="00373CE3" w:rsidRDefault="00E978AC" w:rsidP="00E978AC">
      <w:pPr>
        <w:pStyle w:val="NormalHanging12a"/>
      </w:pPr>
      <w:r w:rsidRPr="00373CE3">
        <w:t>1.</w:t>
      </w:r>
      <w:r w:rsidRPr="00373CE3">
        <w:tab/>
        <w:t xml:space="preserve">docenia ogólny wzrost wydatków na obronność w państwach członkowskich UE jako jednoznaczny wyraz ich determinacji do reagowania na pogarszający się stan bezpieczeństwa przez zwiększenie zdolności wojskowych, lepsze odstraszanie i zwiększenie wspólnego zaangażowania na rzecz obrony europejskiej i transatlantyckiej; zauważa, że niektóre państwa członkowskie, zwłaszcza te, które leżą przy wschodniej granicy UE, osiągnęły lub przekroczyły cel NATO, jakim jest przeznaczenie 2 % PKB na wydatki obronne do końca 2025 r.; </w:t>
      </w:r>
    </w:p>
    <w:p w14:paraId="310E1BCF" w14:textId="77777777" w:rsidR="00E978AC" w:rsidRPr="00373CE3" w:rsidRDefault="00E978AC" w:rsidP="00E978AC">
      <w:pPr>
        <w:pStyle w:val="NormalHanging12a"/>
        <w:ind w:left="567" w:hanging="567"/>
      </w:pPr>
      <w:r w:rsidRPr="00373CE3">
        <w:t>2.</w:t>
      </w:r>
      <w:r w:rsidRPr="00373CE3">
        <w:tab/>
        <w:t>przyznaje też, że poprawa bezpieczeństwa i obrony Europy wymaga nie tylko zwiększenia krajowych wydatków na obronność, ale także całościowo lepszej koordynacji, skuteczności i integracji w dziedzinie kształtowania i realizacji polityki obronnej państw członkowskich oraz dostarczania potrzebnych do tego zasobów; podkreśla, że to przejście: od przeważnie krajowego podejścia do obrony do wspólnego rozumienia stanowiska UE w kwestii zbiorowego bezpieczeństwa odstraszania, musi odbywać się z pełnym poszanowaniem suwerenności państw członkowskich i ich kompetencji w dziedzinie bezpieczeństwa i obrony, zgodnie z art. 4 ust. 2 TUE;</w:t>
      </w:r>
    </w:p>
    <w:p w14:paraId="054D9E9B" w14:textId="77777777" w:rsidR="00E978AC" w:rsidRPr="00373CE3" w:rsidRDefault="00E978AC" w:rsidP="00E978AC">
      <w:pPr>
        <w:pStyle w:val="NormalHanging12a"/>
      </w:pPr>
      <w:r w:rsidRPr="00373CE3">
        <w:lastRenderedPageBreak/>
        <w:t>3.</w:t>
      </w:r>
      <w:r w:rsidRPr="00373CE3">
        <w:tab/>
        <w:t>zauważa, że mimo zwiększonych starań w dziedzinie obronności w UE i państwach członkowskich utrzymują się niedobory w strategicznych zdolnościach zbiorowych, strukturach dowodzenia i kontroli oraz trwałych zdolnościach wojskowych; podkreśla zwłaszcza, że państwa członkowskie wskazały następujące początkowe braki w zdolnościach priorytetowych</w:t>
      </w:r>
      <w:r w:rsidRPr="00373CE3">
        <w:rPr>
          <w:vertAlign w:val="superscript"/>
        </w:rPr>
        <w:footnoteReference w:id="7"/>
      </w:r>
      <w:r w:rsidRPr="00373CE3">
        <w:t xml:space="preserve">: obrona przeciwlotnicza i przeciwrakietowa, systemy artyleryjskie, pociski i amunicja, drony i systemy </w:t>
      </w:r>
      <w:proofErr w:type="spellStart"/>
      <w:r w:rsidRPr="00373CE3">
        <w:t>antydronowe</w:t>
      </w:r>
      <w:proofErr w:type="spellEnd"/>
      <w:r w:rsidRPr="00373CE3">
        <w:t xml:space="preserve">, czynniki warunkujące potencjał sił, w tym w odniesieniu do przestrzeni kosmicznej i ochrony infrastruktury krytycznej, mobilność wojskowa, działania z użyciem </w:t>
      </w:r>
      <w:proofErr w:type="spellStart"/>
      <w:r w:rsidRPr="00373CE3">
        <w:t>cybertechnologii</w:t>
      </w:r>
      <w:proofErr w:type="spellEnd"/>
      <w:r w:rsidRPr="00373CE3">
        <w:t xml:space="preserve"> i AI oraz walka radioelektroniczna, walka na lądzie, bezpieczeństwo na morzu; podkreśla, że braki te znacznie ograniczają zdolność UE i jej państw członkowskich do lepszego odstraszania i do długotrwałej obrony przed działaniami wielkoskalowymi, wobec rosnącego prawdopodobieństwa wojny hybrydowej lub konwencjonalnej; apeluje o pilne uzupełnianie tych krytycznych niedoborów zdolności dzięki zacieśnionej współpracy zarówno w kwestiach strategicznych, jak i przemysłowych, skoordynowanemu planowaniu i ukierunkowanym inwestycjom, mającym zapewnić gotowość obronną; uznaje starania partnerów EDTIB służące sprostaniu takim wyzwaniom;</w:t>
      </w:r>
    </w:p>
    <w:p w14:paraId="0DCA61F3" w14:textId="77777777" w:rsidR="00E978AC" w:rsidRPr="00373CE3" w:rsidRDefault="00E978AC" w:rsidP="00E978AC">
      <w:pPr>
        <w:pStyle w:val="NormalHanging12a"/>
      </w:pPr>
      <w:r w:rsidRPr="00373CE3">
        <w:t>4.</w:t>
      </w:r>
      <w:r w:rsidRPr="00373CE3">
        <w:tab/>
        <w:t>podkreśla, że uzupełnienie niedoborów w zdolnościach wymaga autonomicznych strategicznych czynników warunkujących, bez których siły zbrojne państw członkowskich nie mogą skutecznie prowadzić wspólnych operacji wojskowych; zaleca zatem stworzenie bezpiecznej i chronionej wspólnej architektury dowodzenia, kontroli, łączności, wywiadu, nadzoru, namierzania i rozpoznawania celów, a także wspólnych zdolności obronnych w dziedzinie przestrzeni kosmicznej, strategicznego transportu lotniczego i morskiego, tankowania w powietrzu oraz zapobiegania zagrożeniom chemicznym, biologicznym, radiologicznym i jądrowym (CBRJ); docenia prace EDA, która oferuje ogląd i analizę krajobrazu obronnego UE oraz przedstawia zalecenia dotyczące możliwości współpracy w rozwoju i nabywaniu zdolności zgodnie z priorytetami rozwoju zdolności i skoordynowanym rocznym przeglądem obronności;</w:t>
      </w:r>
    </w:p>
    <w:p w14:paraId="281C5F40" w14:textId="77777777" w:rsidR="00E978AC" w:rsidRPr="00373CE3" w:rsidRDefault="00E978AC" w:rsidP="00E978AC">
      <w:pPr>
        <w:pStyle w:val="NormalHanging12a"/>
      </w:pPr>
      <w:r w:rsidRPr="00373CE3">
        <w:t>5.</w:t>
      </w:r>
      <w:r w:rsidRPr="00373CE3">
        <w:tab/>
        <w:t>przypomina, że role NATO i UE są spójne i wzajemnie się uzupełniają i wzmacniają; apeluje do państw członkowskich UE i sojuszników NATO o większe zaangażowanie we współpracę, zgodnie z trzecią wspólną deklaracją z 10 stycznia 2023 r. w sprawie współpracy UE–NATO, by móc rozwijać zdolności obronne i uzupełniać braki; podkreśla, że wszystkie europejskie wysiłki w tej dziedzinie należy podejmować w ścisłej koordynacji z NATO</w:t>
      </w:r>
      <w:bookmarkStart w:id="9" w:name="_Hlk214465974"/>
      <w:r w:rsidRPr="00373CE3">
        <w:t>, by zacieśnić współpracę przemysłową i poprawić interoperacyjność; apeluje o większe zaangażowanie Europy w istniejące struktury współpracy NATO</w:t>
      </w:r>
      <w:bookmarkEnd w:id="9"/>
      <w:r w:rsidRPr="00373CE3">
        <w:t xml:space="preserve"> i przypomina, że trzeba zapewnić spójność wyników procesu planowania rozwoju zdolności UE oraz procesu planowania i przeglądu NATO; apeluje o lepszą interoperacyjności sprzętu wojskowego między państwami członkowskimi UE a sojusznikami NATO, zwłaszcza dzięki zapewnieniu zgodności norm i specyfikacji;</w:t>
      </w:r>
    </w:p>
    <w:p w14:paraId="637EE806" w14:textId="77777777" w:rsidR="00E978AC" w:rsidRPr="00373CE3" w:rsidRDefault="00E978AC" w:rsidP="00E978AC">
      <w:pPr>
        <w:pStyle w:val="NormalHanging12a"/>
      </w:pPr>
      <w:r w:rsidRPr="00373CE3">
        <w:t>6.</w:t>
      </w:r>
      <w:r w:rsidRPr="00373CE3">
        <w:tab/>
        <w:t xml:space="preserve">przyznaje, że niektóre pilne potrzeby obronne nadal trzeba zaspokajać dzięki dostawom lub wsparciu z państw spoza UE; podkreśla też, że bezpieczeństwo europejskie jest nadal w dużym stopniu uzależnione od przemysłu obronnego państw spoza UE; podkreśla, że w obecnej sytuacji geopolitycznej i ze względu na to, iż UE musi wziąć na siebie większą odpowiedzialność za obronę, trzeba w kontrolowany i stopniowy sposób przejść od zależności od państw spoza UE do strategicznej autonomii i wzmocnienia EDTIB;  zgadza się z celem polegającym na znacznym ograniczeniu lub w miarę </w:t>
      </w:r>
      <w:r w:rsidRPr="00373CE3">
        <w:lastRenderedPageBreak/>
        <w:t>możliwości stopniowym wyeliminowaniu zależności od producentów i dostawców spoza UE, w tym w dziedzinie surowców i minerałów ziem rzadkich, gdy w UE istnieją lub mogą powstać równoważne rozwiązania o zasadniczym znaczeniu dla strategicznej autonomii UE i bezpieczeństwa dostaw; dlatego apeluje o środki wzmacniające EDTIB i poprawiające jej konkurencyjność, w tym dzięki ambitnej i dynamicznej preferencji unijnej w zamówieniach publicznych w dziedzinie obronności, otwartym i konkurencyjnym rynkom dla przedsiębiorstw z UE, transgranicznej współpracy przemysłowej wewnątrz UE oraz z zaufanymi partnerami o podobnych poglądach, a także uczciwemu dostępowi MŚP do zamówień publicznych;</w:t>
      </w:r>
    </w:p>
    <w:p w14:paraId="16981CDA" w14:textId="77777777" w:rsidR="00E978AC" w:rsidRPr="00373CE3" w:rsidRDefault="00E978AC" w:rsidP="00E978AC">
      <w:pPr>
        <w:pStyle w:val="NormalHanging12a"/>
      </w:pPr>
      <w:r w:rsidRPr="00373CE3">
        <w:t>7.</w:t>
      </w:r>
      <w:r w:rsidRPr="00373CE3">
        <w:tab/>
        <w:t>podkreśla, że jeśli nie powstanie w UE w pełni funkcjonujący jednolity rynek produktów i usług z dziedziny obronności, rosnące krajowe wydatki na obronność może pochłonąć nieefektywność, a to doprowadzi do dalszej fragmentacji EDTIB; wzywa państwa członkowskie, by udoskonaliły system wspólnych zamówień w dziedzinie obronności i zacieśniły współpracę dotyczącą rozwoju zdolności obronnych, mając na celu większą interoperacyjność i zamienność, efektywną alokację zasobów, wzmocnienie EDTIB, przyciągnięcie inwestycji prywatnych, zmniejszenie fragmentacji unijnego rynku obronnego oraz zmniejszenie różnorodności produktów obronnych zaspokajających podobne potrzeby operacyjne w różnych państwach Unii; podkreśla, że postępowania przetargowe dotyczące projektów sztandarowych powinny prowadzić wspólnie uczestniczące państwa członkowskie, a projekty takie powinny przyczyniać się do osiągnięcia celu, jakim jest zorganizowanie do końca 2027 r. 40 % zamówień w dziedzinie obronności jako zamówień realizowanych na zasadzie współpracy;</w:t>
      </w:r>
    </w:p>
    <w:p w14:paraId="64979589" w14:textId="77777777" w:rsidR="00E978AC" w:rsidRPr="00373CE3" w:rsidRDefault="00E978AC" w:rsidP="00E978AC">
      <w:pPr>
        <w:rPr>
          <w:b/>
          <w:i/>
        </w:rPr>
      </w:pPr>
      <w:r w:rsidRPr="00373CE3">
        <w:rPr>
          <w:b/>
          <w:i/>
        </w:rPr>
        <w:t>Rozwijanie zdolności obronnych dzięki sztandarowym projektom w obszarach priorytetowych</w:t>
      </w:r>
    </w:p>
    <w:p w14:paraId="26508768" w14:textId="77777777" w:rsidR="00E978AC" w:rsidRPr="00373CE3" w:rsidRDefault="00E978AC" w:rsidP="00E978AC"/>
    <w:p w14:paraId="7A676410" w14:textId="77777777" w:rsidR="00E978AC" w:rsidRPr="00373CE3" w:rsidRDefault="00E978AC" w:rsidP="00E978AC">
      <w:pPr>
        <w:pStyle w:val="NormalHanging12a"/>
        <w:rPr>
          <w:bCs/>
          <w:iCs/>
        </w:rPr>
      </w:pPr>
      <w:bookmarkStart w:id="10" w:name="_Hlk219994569"/>
      <w:r w:rsidRPr="00373CE3">
        <w:t>8.</w:t>
      </w:r>
      <w:r w:rsidRPr="00373CE3">
        <w:tab/>
        <w:t xml:space="preserve">odnotowuje propozycję Komisji i wysokiej przedstawicielki Unii do spraw zagranicznych i polityki bezpieczeństwa, by zainicjować zestaw pierwszych europejskich inicjatyw przewodnich na rzecz gotowości jako element „Utrzymania pokoju – Planu działania na rzecz gotowości obronnej do 2030 r.”; odnotowuje zatwierdzenie tego planu działania przez Radę Europejską, a także zobowiązanie państw członkowskich do opracowania czterech pierwszych europejskich inicjatyw przewodnich na rzecz gotowości: europejskiej inicjatywy na rzecz obrony przed dronami, straży wschodniej flanki, europejskiej tarczy obrony powietrznej i europejskiej tarczy obrony kosmicznej; zauważa, że te proponowane projekty sztandarowe obejmują bardzo szeroki zakres zdolności obronnych; zauważa też, że </w:t>
      </w:r>
      <w:bookmarkStart w:id="11" w:name="_Hlk219885051"/>
      <w:r w:rsidRPr="00373CE3">
        <w:t>są to inicjatywy przekrojowe i w pełnym zakresie przyczynią się do realizacji interesów Unii związanych z bezpieczeństwem</w:t>
      </w:r>
      <w:bookmarkEnd w:id="11"/>
      <w:r w:rsidRPr="00373CE3">
        <w:t xml:space="preserve">; wzywa zatem Komisję, uczestniczące państwa członkowskie i EDA do klarownego wskazania celów szczegółowych, określenia harmonogramu i głównych etapów realizacji, propozycji finansowania, mechanizmów zarządzania, zakresu technologicznego oraz oczekiwanej wielkości każdego z tych projektów; podkreśla, że potrzebujemy koncepcji operacyjnej i jasnego zarządzania, by każdy wiedział, jakie ma zadania, zwłaszcza w sytuacjach o skutkach transgranicznych, na przykład gdy wrogi dron przelatuje z jednego państwa członkowskiego do drugiego; podkreśla, że te projekty należy zaplanować i zrealizować całościowo, tak by obok zaawansowanych technologii obejmowały konwencjonalne komponenty obronne, co zagwarantuje stabilność operacyjną na wypadek przedłużających się konfliktów; wzywa uczestniczące państwa członkowskie, by zapewniły osiągnięcie celów pośrednich każdego projektu, sfinalizowały powstanie koalicji na rzecz zdolności, o których mowa </w:t>
      </w:r>
      <w:r w:rsidRPr="00373CE3">
        <w:lastRenderedPageBreak/>
        <w:t>w planie działania, oraz dołożyły wszelkich starań, by szybko uruchomić projekty sztandarowe, zgodnie z konkluzjami Rady Europejskiej z 23 października 2025 r.;</w:t>
      </w:r>
    </w:p>
    <w:p w14:paraId="6B76BE5C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9.</w:t>
      </w:r>
      <w:r w:rsidRPr="00373CE3">
        <w:tab/>
        <w:t xml:space="preserve">z zadowoleniem przyjmuje podejście zaproponowane w europejskiej inicjatywie na rzecz obrony przed dronami, w wyniku której ma powstać technologicznie zaawansowany, wielopoziomowy system mający </w:t>
      </w:r>
      <w:proofErr w:type="spellStart"/>
      <w:r w:rsidRPr="00373CE3">
        <w:t>interoperacyjne</w:t>
      </w:r>
      <w:proofErr w:type="spellEnd"/>
      <w:r w:rsidRPr="00373CE3">
        <w:t xml:space="preserve"> zdolności zwalczania dronów przez ich wykrywanie, śledzenie i neutralizację, a także zdolności do uderzania w cele naziemne dzięki wykorzystaniu technologii dronów do uderzeń precyzyjnych; uznaje, że zdolności zwalczania dronów powinny być w pełni </w:t>
      </w:r>
      <w:proofErr w:type="spellStart"/>
      <w:r w:rsidRPr="00373CE3">
        <w:t>interoperacyjne</w:t>
      </w:r>
      <w:proofErr w:type="spellEnd"/>
      <w:r w:rsidRPr="00373CE3">
        <w:t>, z połączeniami między państwami członkowskimi, by zapewnić orientację sytuacyjną na szczeblu UE oraz zdolność państw członkowskich do wspólnego działania i zabezpieczenia infrastruktury krytycznej we współpracy z NATO; dostrzega wyzwania związane z utworzeniem funkcjonalnego systemu obrony przed dronami w tej inicjatywie, dlatego apeluje o wdrożenie w pierwszej kolejności projektów pilotażowych z udziałem mniejszej liczby państw członkowskich, by stopniowo doprowadzić do podejścia 360°, gdy systemy te będą wystarczająco operacyjne i skuteczne, aby można je było szerzej zastosować;</w:t>
      </w:r>
    </w:p>
    <w:p w14:paraId="4571B5B3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10.</w:t>
      </w:r>
      <w:r w:rsidRPr="00373CE3">
        <w:tab/>
        <w:t xml:space="preserve">podkreśla, że projekty sztandarowe powinny uwzględniać szczególne wymogi obronne i odstraszające wschodniej flanki UE; z zadowoleniem przyjmuje podejście zaproponowane w inicjatywie straży wschodniej flanki, by zwiększyć zdolności państw członkowskich graniczących z Rosją do stawienia czoła szerokiemu zakresowi zagrożeń, w tym operacjom hybrydowym, wykorzystaniu rosyjskiej floty cieni w operacjach sabotażowych i inwigilacyjnych oraz ryzyku zbrojnej agresji; podkreśla, że podejście to polega na zintegrowaniu czterech elementów: obrony naziemnej, orientacji sytuacyjnej, obrony powietrznej i systemów </w:t>
      </w:r>
      <w:proofErr w:type="spellStart"/>
      <w:r w:rsidRPr="00373CE3">
        <w:t>antydronowych</w:t>
      </w:r>
      <w:proofErr w:type="spellEnd"/>
      <w:r w:rsidRPr="00373CE3">
        <w:t xml:space="preserve">, a także na zapewnieniu bezpieczeństwa na Morzu Bałtyckim i Morzu Czarnym; popiera zaproponowany cel, jakim jest utworzenie całościowej zdolności obronnej na granicach, co przyczyni się do bezpieczeństwa całej Unii, z wykorzystaniem wielodomenowych systemów nadzoru, zdolności wykorzystania i zwalczania dronów, zdolności do walki radioelektronicznej, systemów uderzeń precyzyjnych oraz elastycznej koordynacji operacyjnej; apeluje o uwzględnienie tu również środków zwiększających odporność, poprawiających zdolności do ochrony infrastruktury i do </w:t>
      </w:r>
      <w:proofErr w:type="spellStart"/>
      <w:r w:rsidRPr="00373CE3">
        <w:t>cyberobrony</w:t>
      </w:r>
      <w:proofErr w:type="spellEnd"/>
      <w:r w:rsidRPr="00373CE3">
        <w:t>, a także o zapewnienie interoperacyjności regionalnej i pełnej gotowości operacyjnej na wypadek kryzysu;</w:t>
      </w:r>
    </w:p>
    <w:p w14:paraId="36546B9F" w14:textId="77777777" w:rsidR="00E978AC" w:rsidRPr="00373CE3" w:rsidRDefault="00E978AC" w:rsidP="00E978AC">
      <w:pPr>
        <w:spacing w:after="100" w:afterAutospacing="1"/>
        <w:ind w:left="567" w:hanging="567"/>
        <w:rPr>
          <w:bCs/>
        </w:rPr>
      </w:pPr>
      <w:r w:rsidRPr="00373CE3">
        <w:t>11.</w:t>
      </w:r>
      <w:r w:rsidRPr="00373CE3">
        <w:tab/>
        <w:t>podkreśla, że projekty sztandarowe to doskonała okazja do poprawy konkurencyjności, wydajności i innowacyjności EDTIB; przyznaje, że potrzebna jest powszechnie uzgodniona definicja „sztandarowych projektów wspólnego zainteresowania” jako zakrojonych na szeroką skalę ogólnoeuropejskich inicjatyw opartych na współpracy – z udziałem jak największej liczby państw członkowskich – w dziedzinie zdolności obronnych i rozwoju przemysłowego, w tym strategicznych czynników warunkujących, we wspólnych ramach takich jak EDIP, które umożliwią spójne wskazanie i realizację tych projektów w polityce obronnej i przemysłowej UE; podkreśla, że określenie projektów sztandarowych ma kluczowe znaczenie dla skutecznej współpracy między państwami członkowskimi, łączenia zasobów w celu usuwania krytycznych braków w zdolnościach i dążenia do prawdziwej europejskiej unii obrony;</w:t>
      </w:r>
      <w:r w:rsidRPr="00373CE3">
        <w:rPr>
          <w:i/>
        </w:rPr>
        <w:t xml:space="preserve"> </w:t>
      </w:r>
    </w:p>
    <w:p w14:paraId="5FB17333" w14:textId="77777777" w:rsidR="00E978AC" w:rsidRPr="00373CE3" w:rsidRDefault="00E978AC" w:rsidP="00E978AC">
      <w:pPr>
        <w:pStyle w:val="NormalHanging12a"/>
        <w:rPr>
          <w:bCs/>
          <w:i/>
          <w:iCs/>
        </w:rPr>
      </w:pPr>
      <w:r w:rsidRPr="00373CE3">
        <w:t>12.</w:t>
      </w:r>
      <w:r w:rsidRPr="00373CE3">
        <w:tab/>
        <w:t xml:space="preserve">podkreśla strategiczne znaczenie wzmocnienia EDTIB przez współpracę z Ukrainą, krajami partnerskimi współpracującymi na mocy Porozumienia o Europejskim </w:t>
      </w:r>
      <w:r w:rsidRPr="00373CE3">
        <w:lastRenderedPageBreak/>
        <w:t>Obszarze Gospodarczym</w:t>
      </w:r>
      <w:r w:rsidRPr="00373CE3">
        <w:rPr>
          <w:rStyle w:val="FootnoteReference"/>
          <w:bCs/>
        </w:rPr>
        <w:footnoteReference w:id="8"/>
      </w:r>
      <w:r w:rsidRPr="00373CE3">
        <w:t>, państwami spoza UE o podobnych poglądach oraz państwami, z którymi UE podpisała partnerstwa w dziedzinie bezpieczeństwa i obrony; podkreśla w związku z tym, że ukraiński przemysł obronny zdobył kluczową wiedzę technologiczną i know-how na podstawie doświadczeń ukraińskich sił zbrojnych na polu walki, i uznaje proponowany sojusz na rzecz dronów z Ukrainą; w celu rozwiązania problemu powolnych cykli innowacji w UE, powiązania badań i rozwoju z produkcją oraz zapewnienia ciągłego rozwoju technologicznego zaleca, by projekty sztandarowe były – w miarę możliwości i z pełnym poszanowaniem interesów bezpieczeństwa UE i jej państw członkowskich – otwarte na udział Ukrainy, państw stowarzyszonych i państw, które podpisały z UE partnerstwo w dziedzinie bezpieczeństwa i obrony;</w:t>
      </w:r>
    </w:p>
    <w:p w14:paraId="359D4D76" w14:textId="77777777" w:rsidR="00E978AC" w:rsidRPr="00373CE3" w:rsidRDefault="00E978AC" w:rsidP="00E978AC">
      <w:pPr>
        <w:rPr>
          <w:b/>
          <w:i/>
        </w:rPr>
      </w:pPr>
      <w:r w:rsidRPr="00373CE3">
        <w:rPr>
          <w:b/>
          <w:i/>
        </w:rPr>
        <w:t>Wskazanie projektów sztandarowych oraz zapewnienie ich właściwej organizacji i realizacji</w:t>
      </w:r>
    </w:p>
    <w:p w14:paraId="6EB16ADA" w14:textId="77777777" w:rsidR="00E978AC" w:rsidRPr="00373CE3" w:rsidRDefault="00E978AC" w:rsidP="00E978AC">
      <w:pPr>
        <w:rPr>
          <w:b/>
          <w:i/>
        </w:rPr>
      </w:pPr>
    </w:p>
    <w:p w14:paraId="275D15DF" w14:textId="77777777" w:rsidR="00E978AC" w:rsidRPr="00373CE3" w:rsidRDefault="00E978AC" w:rsidP="00E978AC">
      <w:pPr>
        <w:pStyle w:val="NormalHanging12a"/>
      </w:pPr>
      <w:bookmarkStart w:id="12" w:name="_Hlk220400357"/>
      <w:r w:rsidRPr="00373CE3">
        <w:t>13.</w:t>
      </w:r>
      <w:r w:rsidRPr="00373CE3">
        <w:tab/>
        <w:t xml:space="preserve">podkreśla, że cele projektów sztandarowych muszą być dopasowane do uzgodnionych celów obronnych UE i spójne z celami NATO dotyczącymi rozwoju zdolności; zaznacza ponadto, że powinny one dotyczyć innowacyjnych obszarów technologicznych obronności i pomagać w rozwoju najnowocześniejszych zdolności obronnych, odpowiadających wymaganiom nowoczesnej wojny, w tym rosnącej potrzebie sieciowania wielodomenowych operacji wojskowych, oddziałów i broni, zapewnienia </w:t>
      </w:r>
      <w:proofErr w:type="spellStart"/>
      <w:r w:rsidRPr="00373CE3">
        <w:t>cyberobrony</w:t>
      </w:r>
      <w:proofErr w:type="spellEnd"/>
      <w:r w:rsidRPr="00373CE3">
        <w:t xml:space="preserve">, rozwoju narzędzi gromadzenia, przechowywania, przetwarzania i udostępniania danych wywiadowczych, systemów bezzałogowych i narzędzi wspierających podejmowanie decyzji z wykorzystaniem AI, prowadzenia uderzeń głębokich i precyzyjnych oraz przeciwdziałania atakom </w:t>
      </w:r>
      <w:proofErr w:type="spellStart"/>
      <w:r w:rsidRPr="00373CE3">
        <w:t>dronowym</w:t>
      </w:r>
      <w:proofErr w:type="spellEnd"/>
      <w:r w:rsidRPr="00373CE3">
        <w:t>; podkreśla znaczenie etycznego i odpowiedzialnego stosowania systemów sztucznej inteligencji w pełnej zgodności z międzynarodowym prawem humanitarnym;</w:t>
      </w:r>
    </w:p>
    <w:bookmarkEnd w:id="12"/>
    <w:p w14:paraId="391CDC69" w14:textId="77777777" w:rsidR="00E978AC" w:rsidRPr="00373CE3" w:rsidRDefault="00E978AC" w:rsidP="00E978AC">
      <w:pPr>
        <w:pStyle w:val="NormalHanging12a"/>
      </w:pPr>
      <w:r w:rsidRPr="00373CE3">
        <w:t>14.</w:t>
      </w:r>
      <w:r w:rsidRPr="00373CE3">
        <w:tab/>
        <w:t xml:space="preserve">apeluje do Komisji i państw członkowskich UE o włączenie domeny cybernetycznej i technologii cyfrowych do podstawowych priorytetów obronności UE, aby zapewnić suwerenność danych i zbiorową gotowość na wypadek zagrożeń hybrydowych i </w:t>
      </w:r>
      <w:proofErr w:type="spellStart"/>
      <w:r w:rsidRPr="00373CE3">
        <w:t>cyberzagrożeń</w:t>
      </w:r>
      <w:proofErr w:type="spellEnd"/>
      <w:r w:rsidRPr="00373CE3">
        <w:t xml:space="preserve">; podkreśla, że zagwarantowanie </w:t>
      </w:r>
      <w:proofErr w:type="spellStart"/>
      <w:r w:rsidRPr="00373CE3">
        <w:t>cyberbezpieczeństwa</w:t>
      </w:r>
      <w:proofErr w:type="spellEnd"/>
      <w:r w:rsidRPr="00373CE3">
        <w:t xml:space="preserve"> i </w:t>
      </w:r>
      <w:proofErr w:type="spellStart"/>
      <w:r w:rsidRPr="00373CE3">
        <w:t>cyberodporności</w:t>
      </w:r>
      <w:proofErr w:type="spellEnd"/>
      <w:r w:rsidRPr="00373CE3">
        <w:t xml:space="preserve"> powinno być celem przekrojowym we wszystkich projektach sztandarowych, zapewniającym bezpieczną infrastrukturę cyfrową, ochronę systemów dowodzenia i kontroli oraz integralność przepływów danych między obszarami operacyjnymi, zgodnie z priorytetami polityki UE w zakresie </w:t>
      </w:r>
      <w:proofErr w:type="spellStart"/>
      <w:r w:rsidRPr="00373CE3">
        <w:t>cyberobrony</w:t>
      </w:r>
      <w:proofErr w:type="spellEnd"/>
      <w:r w:rsidRPr="00373CE3">
        <w:t xml:space="preserve"> i z priorytetami Strategicznego kompasu;</w:t>
      </w:r>
    </w:p>
    <w:p w14:paraId="23407E2A" w14:textId="77777777" w:rsidR="00E978AC" w:rsidRPr="00373CE3" w:rsidRDefault="00E978AC" w:rsidP="00E978AC">
      <w:pPr>
        <w:pStyle w:val="NormalHanging12a"/>
        <w:tabs>
          <w:tab w:val="left" w:pos="142"/>
        </w:tabs>
        <w:spacing w:before="240"/>
        <w:ind w:left="567" w:hanging="567"/>
      </w:pPr>
      <w:r w:rsidRPr="00373CE3">
        <w:t>15.</w:t>
      </w:r>
      <w:r w:rsidRPr="00373CE3">
        <w:tab/>
        <w:t>podkreśla, że potrzebne są projekty sztandarowe obejmujące domenę kosmiczną – strategiczną i coraz bardziej zmilitaryzowaną – gdyż zależy od niej szereg działań związanych z bezpieczeństwem, np. bezpieczna komunikacja i gromadzenie danych wywiadowczych; zaznacza też, że projekty sztandarowe obronnych należy powiązać ze strategiczną infrastrukturą transportową i logistyczną, np. z transgranicznymi korytarzami mobilności wojskowej i infrastrukturą podwójnego zastosowania, zwłaszcza w Europie Wschodniej i Południowo-Wschodniej, mającą kluczowe znaczenie dla szybkiego rozmieszczenia i odporności wzdłuż wschodniej flanki;</w:t>
      </w:r>
    </w:p>
    <w:p w14:paraId="7C34D8D0" w14:textId="77777777" w:rsidR="00E978AC" w:rsidRPr="00373CE3" w:rsidRDefault="00E978AC" w:rsidP="00E978AC">
      <w:pPr>
        <w:pStyle w:val="NormalHanging12a"/>
      </w:pPr>
      <w:r w:rsidRPr="00373CE3">
        <w:t>16.</w:t>
      </w:r>
      <w:r w:rsidRPr="00373CE3">
        <w:tab/>
        <w:t xml:space="preserve">podkreśla, że projekty sztandarowe powinny służyć ściślejszej współpracy i innowacyjności w mechanizmach zarządzania na szczeblu UE i wśród jej państw członkowskich, wskazywać najlepsze praktyki w dążeniu do wspólnej i </w:t>
      </w:r>
      <w:r w:rsidRPr="00373CE3">
        <w:lastRenderedPageBreak/>
        <w:t xml:space="preserve">skoordynowanej strategii na rzecz europejskiej obronności, a także uwzględniać nabytą w Ukrainie wiedzę o przebiegu współczesnych działań wojennych; podkreśla, że Komisja powinna opracować jasną krótko-, średnio- i długoterminową strategię rozwoju projektów sztandarowych, zapewniającą spójną koordynację długoterminowych działań badawczo-rozwojowych i innowacyjnych z krótkoterminowymi inwestycjami w krytyczne zdolności obronne, aby zagwarantować zarówno postęp technologiczny, jak i natychmiastową gotowość operacyjną; zaznacza też, że dobre zarządzanie projektami sztandarowymi musi bazować na wspólnej wizji i skutecznej koordynacji działań podmiotów programowych, czyli Komisji, rządów, sztabów generalnych i agencji zamówień publicznych państw członkowskich UE oraz przedsiębiorstw przemysłu obronnego; uważa, że projekty sztandarowe mogą skorzystać z doświadczeń w dotychczasowej współpracy w projektach PESCO i Europejskiego Funduszu Obronnego (EFO); </w:t>
      </w:r>
    </w:p>
    <w:p w14:paraId="126E8F50" w14:textId="77777777" w:rsidR="00E978AC" w:rsidRPr="00373CE3" w:rsidRDefault="00E978AC" w:rsidP="00E978AC">
      <w:pPr>
        <w:pStyle w:val="NormalHanging12a"/>
      </w:pPr>
      <w:r w:rsidRPr="00373CE3">
        <w:t>17.</w:t>
      </w:r>
      <w:r w:rsidRPr="00373CE3">
        <w:tab/>
        <w:t xml:space="preserve">przyznaje, że szereg europejskich przedsiębiorstw obronnych z czasem zaangażowało się już w duże transnarodowe projekty współpracy w różnych obszarach związanych z wymiarem bezpieczeństwa; podkreśla, że te przypadki mogą posłużyć za przykład przy opracowywaniu przyszłych projektów sztandarowych i zarządzaniu nimi; </w:t>
      </w:r>
      <w:bookmarkStart w:id="13" w:name="_Hlk214892111"/>
      <w:r w:rsidRPr="00373CE3">
        <w:t>podkreśla, że poza fazami rozwoju i produkcji projekty sztandarowe powinny też zapewniać powstanie na szczeblu Unii wspólnych ram eksploatacji, utrzymania i zarządzania cyklem życia;</w:t>
      </w:r>
      <w:bookmarkEnd w:id="13"/>
    </w:p>
    <w:p w14:paraId="367CAB55" w14:textId="77777777" w:rsidR="00E978AC" w:rsidRPr="00373CE3" w:rsidRDefault="00E978AC" w:rsidP="00E978AC">
      <w:pPr>
        <w:pStyle w:val="NormalHanging12a"/>
      </w:pPr>
      <w:r w:rsidRPr="00373CE3">
        <w:t>18.</w:t>
      </w:r>
      <w:r w:rsidRPr="00373CE3">
        <w:tab/>
        <w:t>docenia utworzenie EDPCI jako nowego narzędzia EDIP; przyznaje, że w tej strukturze można też opracować projekty sztandarowe; zauważa, że EDPCI można realizować w kontekście SEAP; podkreśla, że EDPCI powinny poprawić interoperacyjność i odporność łańcuchów dostaw oraz w pełni uzupełniać planowanie zdolności NATO, zgodnie z zapisami komunikatu „Utrzymanie pokoju – Plan działania na rzecz gotowości obronnej do 2030 r.”;</w:t>
      </w:r>
    </w:p>
    <w:p w14:paraId="67C5A95A" w14:textId="77777777" w:rsidR="00E978AC" w:rsidRPr="00373CE3" w:rsidRDefault="00E978AC" w:rsidP="00E978AC">
      <w:pPr>
        <w:pStyle w:val="NormalHanging12a"/>
      </w:pPr>
      <w:r w:rsidRPr="00373CE3">
        <w:t>19.</w:t>
      </w:r>
      <w:r w:rsidRPr="00373CE3">
        <w:tab/>
        <w:t xml:space="preserve">apeluje do Komisji, by dążyła do pełnego koncepcyjnego i proceduralnego dostosowania ram wdrażania projektów sztandarowych oraz takich istniejących instrumentów jak PESCO, EFO, EDIP i EDPCI, by instrumenty te działały spójnie i wzajemnie się wzmacniały w ramach architektury obronnej UE; ponadto wzywa Komisję do wyjaśnienia, jak należy w praktyce zorganizować i łączyć EDPCI, by tworzyć projekt sztandarowy, w tym jakie są niezbędne mechanizmy zarządzania, sekwencjonowania i koordynacji; </w:t>
      </w:r>
    </w:p>
    <w:p w14:paraId="24FEDADB" w14:textId="77777777" w:rsidR="00E978AC" w:rsidRPr="00373CE3" w:rsidRDefault="00E978AC" w:rsidP="00E978AC">
      <w:pPr>
        <w:ind w:left="567" w:hanging="567"/>
      </w:pPr>
      <w:r w:rsidRPr="00373CE3">
        <w:t>20.</w:t>
      </w:r>
      <w:r w:rsidRPr="00373CE3">
        <w:tab/>
        <w:t>podkreśla, że trzeba wspierać większą synergię między badaniami naukowymi, innowacjami i rozwojem przemysłowym w ekosystemie obronnym UE; odnotowuje w związku z tym wkład odpowiednich zainteresowanych stron: organizacji badawczych, instytucji akademickich, centrów innowacji, ośrodków technologicznych oraz jednostek testujących i certyfikujących ze wszystkich państw członkowskich; apeluje o włączenie do projektów sztandarowych jak najszerszego grona podmiotów przemysłowych, zwłaszcza spółek o średniej kapitalizacji, MŚP i przedsiębiorstw typu start-</w:t>
      </w:r>
      <w:proofErr w:type="spellStart"/>
      <w:r w:rsidRPr="00373CE3">
        <w:t>up</w:t>
      </w:r>
      <w:proofErr w:type="spellEnd"/>
      <w:r w:rsidRPr="00373CE3">
        <w:t>, by umożliwić rozpowszechnianie innowacji w całym spektrum EDTIB i poprawić bezpieczeństwo dostaw; apeluje o powołanie grupy wysokiego szczebla ds. europejskiego przemysłu obronnego, by zapewnić skuteczną współpracę oraz ściślejszy dialog i większe zaangażowanie w stosunki z przemysłem w całej Europie;</w:t>
      </w:r>
    </w:p>
    <w:p w14:paraId="601ED262" w14:textId="77777777" w:rsidR="00E978AC" w:rsidRPr="00373CE3" w:rsidRDefault="00E978AC" w:rsidP="00E978AC">
      <w:pPr>
        <w:pStyle w:val="NormalHanging12a"/>
        <w:spacing w:before="240"/>
        <w:rPr>
          <w:b/>
          <w:i/>
        </w:rPr>
      </w:pPr>
      <w:r w:rsidRPr="00373CE3">
        <w:t>21.</w:t>
      </w:r>
      <w:r w:rsidRPr="00373CE3">
        <w:tab/>
        <w:t xml:space="preserve">podkreśla, że trzeba zapewnić zrównoważony geograficznie udział jak największej liczby państw członkowskich w projektach sztandarowych, w tym państw z dopiero </w:t>
      </w:r>
      <w:r w:rsidRPr="00373CE3">
        <w:lastRenderedPageBreak/>
        <w:t>powstającym przemysłem obronnym; podkreśla, że projekty sztandarowe powinny umożliwić wszystkim uczestniczącym w nich państwom członkowskim korzystanie z postępu technologicznego i zdolności produkcyjnych oraz pomóc zwiększać zdolności i odporność Unii jako całości; podkreśla też, że projekty te powinny umożliwiać udział nowych państw członkowskich oraz że należy zachęcać do włączania się do nich w przyszłości kolejnych państw członkowskich i ułatwiać takie włączanie; apeluje o elastyczne i włączające mechanizmy współfinansowania, które zagwarantują wszystkim państwom członkowskim niezależnie od wielkości ich gospodarki możliwość merytorycznego udziału w projektach sztandarowych;</w:t>
      </w:r>
    </w:p>
    <w:p w14:paraId="1979D6BD" w14:textId="77777777" w:rsidR="00E978AC" w:rsidRPr="00373CE3" w:rsidRDefault="00E978AC" w:rsidP="00E978AC">
      <w:pPr>
        <w:pStyle w:val="NormalHanging12a"/>
      </w:pPr>
      <w:r w:rsidRPr="00373CE3">
        <w:t>22.</w:t>
      </w:r>
      <w:r w:rsidRPr="00373CE3">
        <w:tab/>
        <w:t>podkreśla, że trzeba zwiększyć regionalny wymiar strategii UE na rzecz przemysłu obronnego, i zwraca uwagę na potencjalny wpływ projektów sztandarowych w postaci technologicznego efektu mnożnikowego, korzyści gospodarczych, miejsc pracy dla wykwalifikowanych pracowników oraz spójności społecznej we wszystkich regionach UE; apeluje o zaangażowanie samorządów regionalnych i lokalnych oraz o danie regionom UE szansy na wykorzystanie projektów sztandarowych do wspierania wspólnej odpowiedzialności w kwestiach obronnych;</w:t>
      </w:r>
    </w:p>
    <w:p w14:paraId="722FE208" w14:textId="77777777" w:rsidR="00E978AC" w:rsidRPr="00373CE3" w:rsidRDefault="00E978AC" w:rsidP="00E978AC">
      <w:pPr>
        <w:pStyle w:val="NormalHanging12a"/>
      </w:pPr>
      <w:r w:rsidRPr="00373CE3">
        <w:t>23.</w:t>
      </w:r>
      <w:r w:rsidRPr="00373CE3">
        <w:tab/>
        <w:t>podkreśla, że trzeba zapobiegać transferowi technologii wojskowych, zwłaszcza newralgicznych nowych technologii i krytycznych produktów podwójnego zastosowania, szczególnie w dziedzinie przestrzeni kosmicznej, technologii kwantowych i AI, do krajów trzecich wrogo nastawionych lub systemowo rywalizujących z UE; wzywa państwa członkowskie uczestniczące w projektach sztandarowych do zacieśnienia współpracy, zobowiązania się do stosowania wspólnego podejścia oraz określenia i uzgodnienia wspólnej strategii i warunków udzielania pozwoleń na wywóz licencji na produkty powstałe w wyniku realizacji projektów sztandarowych do nieuczestniczących w nich państw spoza UE;</w:t>
      </w:r>
    </w:p>
    <w:p w14:paraId="31FF30C9" w14:textId="77777777" w:rsidR="00E978AC" w:rsidRPr="00373CE3" w:rsidRDefault="00E978AC" w:rsidP="00E978AC">
      <w:pPr>
        <w:pStyle w:val="NormalHanging12a"/>
        <w:spacing w:before="240"/>
        <w:rPr>
          <w:bCs/>
          <w:iCs/>
        </w:rPr>
      </w:pPr>
      <w:r w:rsidRPr="00373CE3">
        <w:t>24.</w:t>
      </w:r>
      <w:r w:rsidRPr="00373CE3">
        <w:tab/>
        <w:t>apeluje o wprowadzenie w państwach członkowskich uczestniczących w projektach sztandarowych skoordynowanego mechanizmu kontroli wywozu opartego na analizie ryzyka, dostosowanego do celów Strategicznego kompasu UE oraz spójnego z właściwościami i prerogatywami krajowymi i zobowiązaniami międzynarodowymi państw członkowskich, w tym w ramach NATO;</w:t>
      </w:r>
    </w:p>
    <w:p w14:paraId="25FF6DCE" w14:textId="77777777" w:rsidR="00E978AC" w:rsidRPr="00373CE3" w:rsidRDefault="00E978AC" w:rsidP="00E978AC">
      <w:pPr>
        <w:rPr>
          <w:b/>
          <w:i/>
        </w:rPr>
      </w:pPr>
      <w:r w:rsidRPr="00373CE3">
        <w:rPr>
          <w:b/>
          <w:i/>
        </w:rPr>
        <w:t>Zarządzanie projektami sztandarowymi i rola Parlamentu</w:t>
      </w:r>
    </w:p>
    <w:p w14:paraId="5324490F" w14:textId="77777777" w:rsidR="00E978AC" w:rsidRPr="00373CE3" w:rsidRDefault="00E978AC" w:rsidP="00E978AC"/>
    <w:p w14:paraId="32139A65" w14:textId="77777777" w:rsidR="00E978AC" w:rsidRPr="00373CE3" w:rsidRDefault="00E978AC" w:rsidP="00E978AC">
      <w:pPr>
        <w:pStyle w:val="NormalHanging12a"/>
      </w:pPr>
      <w:r w:rsidRPr="00373CE3">
        <w:t>25.</w:t>
      </w:r>
      <w:r w:rsidRPr="00373CE3">
        <w:tab/>
        <w:t>apeluje do Komisji i państw członkowskich o kolejne propozycje projektów sztandarowych dotyczących rozwoju zdolności obronnych i umożliwiających państwom członkowskim lepsze dostosowanie ich działań krajowych do uzgodnionych celów obronnych UE, z zachowaniem spójności z odpowiednimi celami NATO dotyczącymi rozwoju zdolności; podkreśla, że propozycje projektów powinny uwzględniać szczególne potrzeby państw członkowskich najbardziej narażonych na urzeczywistnienie się konwencjonalnych i hybrydowych zagrożeń wojskowych; podkreśla znaczenie udziału przemysłu obronnego w określaniu priorytetów i zakresu zarówno przyszłych projektów sztandarowych;</w:t>
      </w:r>
    </w:p>
    <w:p w14:paraId="3516D548" w14:textId="77777777" w:rsidR="00E978AC" w:rsidRPr="00373CE3" w:rsidRDefault="00E978AC" w:rsidP="00E978AC">
      <w:pPr>
        <w:pStyle w:val="NormalHanging12a"/>
        <w:rPr>
          <w:b/>
          <w:i/>
        </w:rPr>
      </w:pPr>
      <w:r w:rsidRPr="00373CE3">
        <w:t>26.</w:t>
      </w:r>
      <w:r w:rsidRPr="00373CE3">
        <w:tab/>
        <w:t>podkreśla, że wybór projektów sztandarowych powinien bazować na przejrzystych procedurach, zapewniających wyważony geograficznie udział różnych podmiotów i zapobiegających koncentracji decyzji lub korzyści przemysłowych w ograniczonej liczbie państw członkowskich;</w:t>
      </w:r>
    </w:p>
    <w:p w14:paraId="4800F4A9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lastRenderedPageBreak/>
        <w:t>27.</w:t>
      </w:r>
      <w:r w:rsidRPr="00373CE3">
        <w:tab/>
        <w:t xml:space="preserve">zaleca Komisji, wysokiej przedstawicielce Unii do spraw zagranicznych i polityki bezpieczeństwa oraz EDA, by uczestniczyli w projektach sztandarowych w roli doradczej, wspierającej i koordynującej, by ułatwiać ich realizację; podkreśla kluczową rolę Komitetu Wojskowego Unii Europejskiej w udzielaniu strategicznych </w:t>
      </w:r>
      <w:r w:rsidRPr="00490E8B">
        <w:rPr>
          <w:rStyle w:val="Strong"/>
          <w:b w:val="0"/>
          <w:bCs w:val="0"/>
          <w:shd w:val="clear" w:color="auto" w:fill="FFFFFF"/>
        </w:rPr>
        <w:t>porad wojskowych i formułowaniu zaleceń dla Komitetu Politycznego i Bezpieczeństwa</w:t>
      </w:r>
      <w:r w:rsidRPr="00373CE3">
        <w:rPr>
          <w:shd w:val="clear" w:color="auto" w:fill="FFFFFF"/>
        </w:rPr>
        <w:t>, zwłaszcza jeśli chodzi o</w:t>
      </w:r>
      <w:r w:rsidRPr="00373CE3">
        <w:t xml:space="preserve"> opracowywanie, ocenę i przegląd celów dotyczących zdolności, i w związku z tym apeluje o jego formalne włączenie do ram zarządzania projektami sztandarowymi;</w:t>
      </w:r>
    </w:p>
    <w:p w14:paraId="67B6D880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28.</w:t>
      </w:r>
      <w:r w:rsidRPr="00373CE3">
        <w:tab/>
        <w:t>zobowiązuje się, że na podstawie regularnych i wyczerpujących informacji i sprawozdań Komisji będzie wypełniać funkcje kontrolne, ustawodawcze i budżetowe w odniesieniu do koordynacji, realizacji i finansowania projektów sztandarowych; podkreśla, że w odniesieniu do wykorzystania funduszy UE sprawuje władzę budżetową i wykonuje stosowne obowiązki; apeluje o regularną sprawozdawczość publiczną i kontrolę parlamentarną, mające zapewnić rozliczalność i zaufanie w odniesieniu do projektów sztandarowych;</w:t>
      </w:r>
    </w:p>
    <w:p w14:paraId="6C9C8FEC" w14:textId="77777777" w:rsidR="00E978AC" w:rsidRPr="00373CE3" w:rsidRDefault="00E978AC" w:rsidP="00E978AC">
      <w:pPr>
        <w:pStyle w:val="NormalHanging12a"/>
        <w:rPr>
          <w:b/>
          <w:i/>
        </w:rPr>
      </w:pPr>
      <w:r w:rsidRPr="00373CE3">
        <w:rPr>
          <w:b/>
          <w:i/>
        </w:rPr>
        <w:t xml:space="preserve">Zapewnienie długoterminowego finansowania projektów sztandarowych </w:t>
      </w:r>
    </w:p>
    <w:p w14:paraId="4D4A4061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29.</w:t>
      </w:r>
      <w:r w:rsidRPr="00373CE3">
        <w:tab/>
        <w:t>apeluje o wystarczające specjalne środki finansowe w kolejnych wieloletnich ramach finansowych, zapewniające długoterminowe finansowanie projektów sztandarowych; podkreśla, że projekty sztandarowe wymagają wystarczającego i odpowiedniego finansowania, niezagrażającego funduszom przeznaczonym na inne strategiczne obszary budżetu UE dotyczące obronności; podkreśla potrzebę przeznaczenia części tego finansowania na szkolenia, rozwój umiejętności i inicjatywy na rzecz zatrzymywania talentów;</w:t>
      </w:r>
    </w:p>
    <w:p w14:paraId="34949597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30.</w:t>
      </w:r>
      <w:r w:rsidRPr="00373CE3">
        <w:tab/>
        <w:t xml:space="preserve">podkreśla, że wspólny rozwój zdolności obronnych na szczeblu Unii może przynieść znaczne korzyści skali, zmniejszyć koszty oraz zapewnić, aby fundusze publiczne i pieniądze podatników były wykorzystywane jak najefektywniej i jak najodpowiedzialniej; </w:t>
      </w:r>
    </w:p>
    <w:p w14:paraId="433B9F37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31.</w:t>
      </w:r>
      <w:r w:rsidRPr="00373CE3">
        <w:tab/>
        <w:t>zgadza się z uwagą Europejskiego Trybunału Obrachunkowego dotyczącą wniosku w sprawie EDIP, że czas potrzebny na ukończenie sztandarowych projektów prawdopodobnie przekroczy dwuletni okres wdrażania przewidziany w EDIP; dlatego podkreśla, że aby projekty sztandarowe mogły korzystać z finansowania EDIP, zainteresowane państwa członkowskie muszą zobowiązać się do ich współfinansowania przez cały czas ich trwania, znacznie dłuższy niż początkowy okres dwóch lat; podkreśla znaczenie długoterminowego planowania trwałych inwestycji i ciągłości przemysłowej dla zapewnienia strategicznej autonomii Europy;</w:t>
      </w:r>
    </w:p>
    <w:p w14:paraId="6157E742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32.</w:t>
      </w:r>
      <w:r w:rsidRPr="00373CE3">
        <w:tab/>
        <w:t>podkreśla, że współfinansowanie projektów sztandarowych powinno spełniać zasady należytego zarządzania i planowania budżetowego, rentowności i przejrzystości; dlatego wzywa Komisję i państwa członkowskie do wyznaczenia celów pośrednich, wskaźników wykonania, wprowadzenia okresowych kontroli finansowych i przeglądów wydatków poniesionych na realizację projektów sztandarowych;</w:t>
      </w:r>
    </w:p>
    <w:p w14:paraId="044FA67F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33.</w:t>
      </w:r>
      <w:r w:rsidRPr="00373CE3">
        <w:tab/>
        <w:t xml:space="preserve">wzywa państwa członkowskie, by rozważyły pomysł systematycznego przeznaczania części krajowych budżetów na obronność na rozwój inicjatyw partnerskich i zamówień na sprzęt obronny produkowany w ramach projektów sztandarowych w dziedzinach, w </w:t>
      </w:r>
      <w:r w:rsidRPr="00373CE3">
        <w:lastRenderedPageBreak/>
        <w:t>których wspólne działania przynoszą wartość dodaną, zgodnie z art. 4 ust. 2 TUE i art. 346 TFUE;</w:t>
      </w:r>
    </w:p>
    <w:p w14:paraId="7EB30F9A" w14:textId="77777777" w:rsidR="00E978AC" w:rsidRPr="00373CE3" w:rsidRDefault="00E978AC" w:rsidP="00E978AC">
      <w:pPr>
        <w:pStyle w:val="NormalHanging12a"/>
        <w:rPr>
          <w:bCs/>
          <w:iCs/>
        </w:rPr>
      </w:pPr>
      <w:r w:rsidRPr="00373CE3">
        <w:t>34.</w:t>
      </w:r>
      <w:r w:rsidRPr="00373CE3">
        <w:tab/>
        <w:t>zachęca państwa członkowskie do koordynowania krajowego planowania budżetowego w dziedzinie obronności z celami NATO dotyczącymi zdolności, aby zapewnić komplementarność i uniknąć fragmentacji zasobów; zachęca państwa członkowskie, by zastanowiły się, jak stworzyć pozabudżetowy instrument finansowy umożliwiający łączenie i uwspólnianie niektórych części krajowych budżetów obronnych na szczeblu UE, by ująć w nim cały cykl życia projektów sztandarowych;</w:t>
      </w:r>
    </w:p>
    <w:p w14:paraId="31A4198C" w14:textId="77777777" w:rsidR="00E978AC" w:rsidRPr="00373CE3" w:rsidRDefault="00E978AC" w:rsidP="00E978AC">
      <w:pPr>
        <w:pStyle w:val="NormalCenter12a"/>
        <w:rPr>
          <w:bCs/>
          <w:iCs/>
        </w:rPr>
      </w:pPr>
      <w:r w:rsidRPr="00373CE3">
        <w:t>°</w:t>
      </w:r>
    </w:p>
    <w:p w14:paraId="7F74E3A0" w14:textId="77777777" w:rsidR="00E978AC" w:rsidRPr="00373CE3" w:rsidRDefault="00E978AC" w:rsidP="00E978AC">
      <w:pPr>
        <w:pStyle w:val="NormalCenter12a"/>
        <w:rPr>
          <w:bCs/>
          <w:iCs/>
        </w:rPr>
      </w:pPr>
      <w:r w:rsidRPr="00373CE3">
        <w:t>°</w:t>
      </w:r>
      <w:r w:rsidRPr="00373CE3">
        <w:tab/>
        <w:t>°</w:t>
      </w:r>
    </w:p>
    <w:p w14:paraId="424D742D" w14:textId="5C0C58AD" w:rsidR="00373CE3" w:rsidRPr="00373CE3" w:rsidRDefault="00E978AC" w:rsidP="00373CE3">
      <w:pPr>
        <w:pStyle w:val="NormalHanging12a"/>
      </w:pPr>
      <w:r w:rsidRPr="00373CE3">
        <w:t>35.</w:t>
      </w:r>
      <w:r w:rsidRPr="00373CE3">
        <w:tab/>
        <w:t>zobowiązuje swoją przewodniczącą do przekazania niniejszej rezolucji Radzie, Komisji, NATO, Zgromadzeniu Parlamentarnemu NATO, unijnym agencjom ds. bezpieczeństwa i obrony oraz rządom i parlamentom państw członkowskich.</w:t>
      </w:r>
      <w:bookmarkEnd w:id="10"/>
    </w:p>
    <w:p w14:paraId="6129D4FD" w14:textId="10580021" w:rsidR="00E365E1" w:rsidRPr="00373CE3" w:rsidRDefault="00E365E1" w:rsidP="004C0B81"/>
    <w:sectPr w:rsidR="00E365E1" w:rsidRPr="00373CE3" w:rsidSect="00373C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176D0" w14:textId="77777777" w:rsidR="004C0B81" w:rsidRPr="00373CE3" w:rsidRDefault="004C0B81">
      <w:r w:rsidRPr="00373CE3">
        <w:separator/>
      </w:r>
    </w:p>
  </w:endnote>
  <w:endnote w:type="continuationSeparator" w:id="0">
    <w:p w14:paraId="61866A53" w14:textId="77777777" w:rsidR="004C0B81" w:rsidRPr="00373CE3" w:rsidRDefault="004C0B81">
      <w:r w:rsidRPr="00373C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26FA5" w14:textId="77777777" w:rsidR="00064002" w:rsidRPr="00373CE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9CA40" w14:textId="77777777" w:rsidR="00064002" w:rsidRPr="00373CE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89A46" w14:textId="77777777" w:rsidR="00064002" w:rsidRPr="00373CE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32387" w14:textId="77777777" w:rsidR="004C0B81" w:rsidRPr="00373CE3" w:rsidRDefault="004C0B81">
      <w:r w:rsidRPr="00373CE3">
        <w:separator/>
      </w:r>
    </w:p>
  </w:footnote>
  <w:footnote w:type="continuationSeparator" w:id="0">
    <w:p w14:paraId="6FB58EE6" w14:textId="77777777" w:rsidR="004C0B81" w:rsidRPr="00373CE3" w:rsidRDefault="004C0B81">
      <w:r w:rsidRPr="00373CE3">
        <w:continuationSeparator/>
      </w:r>
    </w:p>
  </w:footnote>
  <w:footnote w:id="1">
    <w:p w14:paraId="0A3B3806" w14:textId="5C1BD8B9" w:rsidR="00490E8B" w:rsidRPr="00373CE3" w:rsidRDefault="00490E8B" w:rsidP="00373CE3">
      <w:pPr>
        <w:pStyle w:val="FootnoteText"/>
        <w:ind w:left="567" w:hanging="567"/>
        <w:rPr>
          <w:sz w:val="24"/>
          <w:lang w:val="pl-PL"/>
        </w:rPr>
      </w:pPr>
      <w:r>
        <w:rPr>
          <w:rStyle w:val="FootnoteReference"/>
        </w:rPr>
        <w:footnoteRef/>
      </w:r>
      <w:r w:rsidRPr="00373CE3">
        <w:rPr>
          <w:sz w:val="24"/>
          <w:vertAlign w:val="superscript"/>
          <w:lang w:val="pl-PL"/>
        </w:rPr>
        <w:t xml:space="preserve"> </w:t>
      </w:r>
      <w:r w:rsidRPr="00373CE3">
        <w:rPr>
          <w:sz w:val="24"/>
          <w:vertAlign w:val="superscript"/>
          <w:lang w:val="pl-PL"/>
        </w:rPr>
        <w:tab/>
      </w:r>
      <w:r w:rsidRPr="00373CE3">
        <w:rPr>
          <w:sz w:val="24"/>
          <w:lang w:val="pl-PL"/>
        </w:rPr>
        <w:t xml:space="preserve">Dz.U. L 170 z 12.5.2021, s. 149, ELI: </w:t>
      </w:r>
      <w:hyperlink r:id="rId1" w:tgtFrame="http://data.europa.eu/eli/reg/2021/697/oj" w:history="1">
        <w:r w:rsidRPr="00373CE3">
          <w:rPr>
            <w:rStyle w:val="Hyperlink"/>
            <w:sz w:val="24"/>
            <w:lang w:val="pl-PL"/>
          </w:rPr>
          <w:t>http://data.europa.eu/eli/reg/2021/697/oj</w:t>
        </w:r>
      </w:hyperlink>
      <w:r w:rsidRPr="00373CE3">
        <w:rPr>
          <w:sz w:val="24"/>
          <w:lang w:val="pl-PL"/>
        </w:rPr>
        <w:t>.</w:t>
      </w:r>
    </w:p>
  </w:footnote>
  <w:footnote w:id="2">
    <w:p w14:paraId="661063D6" w14:textId="40301E20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 xml:space="preserve">Dz.U. L, 2025/2643, 29.12.2025, ELI: </w:t>
      </w:r>
      <w:hyperlink r:id="rId2" w:history="1">
        <w:r w:rsidRPr="00373CE3">
          <w:rPr>
            <w:rStyle w:val="Hyperlink"/>
            <w:sz w:val="24"/>
            <w:lang w:val="pl-PL"/>
          </w:rPr>
          <w:t>http://data.europa.eu/eli/reg/2025/2643/oj</w:t>
        </w:r>
      </w:hyperlink>
      <w:r w:rsidRPr="00373CE3">
        <w:rPr>
          <w:sz w:val="24"/>
          <w:lang w:val="pl-PL"/>
        </w:rPr>
        <w:t xml:space="preserve">. </w:t>
      </w:r>
    </w:p>
  </w:footnote>
  <w:footnote w:id="3">
    <w:p w14:paraId="1DD2E881" w14:textId="5D32630E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 xml:space="preserve">Dz.U. L, 2025/1106, 28.5.2025, ELI: </w:t>
      </w:r>
      <w:hyperlink r:id="rId3" w:history="1">
        <w:r w:rsidRPr="00373CE3">
          <w:rPr>
            <w:rStyle w:val="Hyperlink"/>
            <w:sz w:val="24"/>
            <w:lang w:val="pl-PL"/>
          </w:rPr>
          <w:t>http://data.europa.eu/eli/reg/2025/1106/oj</w:t>
        </w:r>
      </w:hyperlink>
      <w:r w:rsidRPr="00373CE3">
        <w:rPr>
          <w:sz w:val="24"/>
          <w:lang w:val="pl-PL"/>
        </w:rPr>
        <w:t xml:space="preserve">. </w:t>
      </w:r>
    </w:p>
  </w:footnote>
  <w:footnote w:id="4">
    <w:p w14:paraId="3F2E5596" w14:textId="67C8D162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 xml:space="preserve">Dz.U. L 335 z 13.12.2008, s. 99, ELI: </w:t>
      </w:r>
      <w:hyperlink r:id="rId4" w:history="1">
        <w:r w:rsidRPr="00373CE3">
          <w:rPr>
            <w:rStyle w:val="Hyperlink"/>
            <w:sz w:val="24"/>
            <w:lang w:val="pl-PL"/>
          </w:rPr>
          <w:t>http://data.europa.eu/eli/compos/2008/944/oj</w:t>
        </w:r>
      </w:hyperlink>
      <w:r w:rsidRPr="00373CE3">
        <w:rPr>
          <w:sz w:val="24"/>
          <w:lang w:val="pl-PL"/>
        </w:rPr>
        <w:t xml:space="preserve">. </w:t>
      </w:r>
    </w:p>
  </w:footnote>
  <w:footnote w:id="5">
    <w:p w14:paraId="6F962239" w14:textId="3BF9F5DB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 xml:space="preserve">Dz.U. C, C/2025/3151, 20.6.2025, ELI: </w:t>
      </w:r>
      <w:hyperlink r:id="rId5" w:history="1">
        <w:r w:rsidRPr="00373CE3">
          <w:rPr>
            <w:rStyle w:val="Hyperlink"/>
            <w:sz w:val="24"/>
            <w:lang w:val="pl-PL"/>
          </w:rPr>
          <w:t>http://data.europa.eu/eli/C/2025/3151/oj</w:t>
        </w:r>
      </w:hyperlink>
      <w:r w:rsidRPr="00373CE3">
        <w:rPr>
          <w:sz w:val="24"/>
          <w:lang w:val="pl-PL"/>
        </w:rPr>
        <w:t xml:space="preserve">. </w:t>
      </w:r>
    </w:p>
  </w:footnote>
  <w:footnote w:id="6">
    <w:p w14:paraId="6DABD087" w14:textId="2E76D3E2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 xml:space="preserve">Dz.U. C, C/2025/4389, 9.9.2025, ELI: </w:t>
      </w:r>
      <w:hyperlink r:id="rId6" w:history="1">
        <w:r w:rsidRPr="00373CE3">
          <w:rPr>
            <w:rStyle w:val="Hyperlink"/>
            <w:sz w:val="24"/>
            <w:lang w:val="pl-PL"/>
          </w:rPr>
          <w:t>http://data.europa.eu/eli/C/2025/4389/oj</w:t>
        </w:r>
      </w:hyperlink>
      <w:r w:rsidRPr="00373CE3">
        <w:rPr>
          <w:sz w:val="24"/>
          <w:lang w:val="pl-PL"/>
        </w:rPr>
        <w:t xml:space="preserve">. </w:t>
      </w:r>
    </w:p>
  </w:footnote>
  <w:footnote w:id="7">
    <w:p w14:paraId="736BB391" w14:textId="0A3E2E0F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>Wymienione na s. 3 wspólnego komunikatu pt. „Utrzymanie pokoju – Plan działania na rzecz gotowości obronnej do 2030 r.”</w:t>
      </w:r>
    </w:p>
  </w:footnote>
  <w:footnote w:id="8">
    <w:p w14:paraId="05D4AA81" w14:textId="6A193760" w:rsidR="00E978AC" w:rsidRPr="00373CE3" w:rsidRDefault="00E978AC" w:rsidP="00373CE3">
      <w:pPr>
        <w:pStyle w:val="FootnoteText"/>
        <w:ind w:left="567" w:hanging="567"/>
        <w:rPr>
          <w:sz w:val="24"/>
          <w:lang w:val="pl-PL"/>
        </w:rPr>
      </w:pPr>
      <w:r w:rsidRPr="00373CE3">
        <w:rPr>
          <w:rStyle w:val="FootnoteReference"/>
          <w:sz w:val="24"/>
          <w:lang w:val="pl-PL"/>
        </w:rPr>
        <w:footnoteRef/>
      </w:r>
      <w:r w:rsidR="00373CE3" w:rsidRPr="00373CE3">
        <w:rPr>
          <w:sz w:val="24"/>
          <w:lang w:val="pl-PL"/>
        </w:rPr>
        <w:t xml:space="preserve"> </w:t>
      </w:r>
      <w:r w:rsidR="00373CE3" w:rsidRPr="00373CE3">
        <w:rPr>
          <w:sz w:val="24"/>
          <w:lang w:val="pl-PL"/>
        </w:rPr>
        <w:tab/>
      </w:r>
      <w:r w:rsidRPr="00373CE3">
        <w:rPr>
          <w:sz w:val="24"/>
          <w:lang w:val="pl-PL"/>
        </w:rPr>
        <w:t xml:space="preserve">Dz.U. L 1 z 3.1.1994, s. 3, ELI: </w:t>
      </w:r>
      <w:hyperlink r:id="rId7" w:history="1">
        <w:r w:rsidRPr="00373CE3">
          <w:rPr>
            <w:rStyle w:val="Hyperlink"/>
            <w:sz w:val="24"/>
            <w:lang w:val="pl-PL"/>
          </w:rPr>
          <w:t>http://data.europa.eu/eli/agree_internation/1994/1/oj</w:t>
        </w:r>
      </w:hyperlink>
      <w:r w:rsidRPr="00373CE3">
        <w:rPr>
          <w:sz w:val="24"/>
          <w:lang w:val="pl-PL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9F806" w14:textId="77777777" w:rsidR="00064002" w:rsidRPr="00373CE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256C" w14:textId="77777777" w:rsidR="00064002" w:rsidRPr="00373CE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A0F3D" w14:textId="77777777" w:rsidR="00064002" w:rsidRPr="00373CE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8499552">
    <w:abstractNumId w:val="9"/>
  </w:num>
  <w:num w:numId="2" w16cid:durableId="587692129">
    <w:abstractNumId w:val="9"/>
  </w:num>
  <w:num w:numId="3" w16cid:durableId="1994216564">
    <w:abstractNumId w:val="7"/>
  </w:num>
  <w:num w:numId="4" w16cid:durableId="1149521218">
    <w:abstractNumId w:val="7"/>
  </w:num>
  <w:num w:numId="5" w16cid:durableId="1943610159">
    <w:abstractNumId w:val="6"/>
  </w:num>
  <w:num w:numId="6" w16cid:durableId="1066880782">
    <w:abstractNumId w:val="6"/>
  </w:num>
  <w:num w:numId="7" w16cid:durableId="1705254274">
    <w:abstractNumId w:val="5"/>
  </w:num>
  <w:num w:numId="8" w16cid:durableId="1159274930">
    <w:abstractNumId w:val="5"/>
  </w:num>
  <w:num w:numId="9" w16cid:durableId="1648780995">
    <w:abstractNumId w:val="4"/>
  </w:num>
  <w:num w:numId="10" w16cid:durableId="877858170">
    <w:abstractNumId w:val="4"/>
  </w:num>
  <w:num w:numId="11" w16cid:durableId="924656347">
    <w:abstractNumId w:val="8"/>
  </w:num>
  <w:num w:numId="12" w16cid:durableId="617562141">
    <w:abstractNumId w:val="8"/>
  </w:num>
  <w:num w:numId="13" w16cid:durableId="248388488">
    <w:abstractNumId w:val="3"/>
  </w:num>
  <w:num w:numId="14" w16cid:durableId="1819103756">
    <w:abstractNumId w:val="3"/>
  </w:num>
  <w:num w:numId="15" w16cid:durableId="1149521620">
    <w:abstractNumId w:val="2"/>
  </w:num>
  <w:num w:numId="16" w16cid:durableId="582032069">
    <w:abstractNumId w:val="2"/>
  </w:num>
  <w:num w:numId="17" w16cid:durableId="2087142432">
    <w:abstractNumId w:val="1"/>
  </w:num>
  <w:num w:numId="18" w16cid:durableId="2083941093">
    <w:abstractNumId w:val="1"/>
  </w:num>
  <w:num w:numId="19" w16cid:durableId="1539199989">
    <w:abstractNumId w:val="0"/>
  </w:num>
  <w:num w:numId="20" w16cid:durableId="310326938">
    <w:abstractNumId w:val="0"/>
  </w:num>
  <w:num w:numId="21" w16cid:durableId="11886824">
    <w:abstractNumId w:val="9"/>
  </w:num>
  <w:num w:numId="22" w16cid:durableId="395782490">
    <w:abstractNumId w:val="7"/>
  </w:num>
  <w:num w:numId="23" w16cid:durableId="467209225">
    <w:abstractNumId w:val="6"/>
  </w:num>
  <w:num w:numId="24" w16cid:durableId="2130539887">
    <w:abstractNumId w:val="5"/>
  </w:num>
  <w:num w:numId="25" w16cid:durableId="1346900530">
    <w:abstractNumId w:val="4"/>
  </w:num>
  <w:num w:numId="26" w16cid:durableId="1069765726">
    <w:abstractNumId w:val="8"/>
  </w:num>
  <w:num w:numId="27" w16cid:durableId="314990583">
    <w:abstractNumId w:val="3"/>
  </w:num>
  <w:num w:numId="28" w16cid:durableId="1396778286">
    <w:abstractNumId w:val="2"/>
  </w:num>
  <w:num w:numId="29" w16cid:durableId="1018963636">
    <w:abstractNumId w:val="1"/>
  </w:num>
  <w:num w:numId="30" w16cid:durableId="1988895981">
    <w:abstractNumId w:val="0"/>
  </w:num>
  <w:num w:numId="31" w16cid:durableId="913199511">
    <w:abstractNumId w:val="9"/>
  </w:num>
  <w:num w:numId="32" w16cid:durableId="876967468">
    <w:abstractNumId w:val="7"/>
  </w:num>
  <w:num w:numId="33" w16cid:durableId="852765233">
    <w:abstractNumId w:val="6"/>
  </w:num>
  <w:num w:numId="34" w16cid:durableId="1071269040">
    <w:abstractNumId w:val="5"/>
  </w:num>
  <w:num w:numId="35" w16cid:durableId="768546125">
    <w:abstractNumId w:val="4"/>
  </w:num>
  <w:num w:numId="36" w16cid:durableId="1159156717">
    <w:abstractNumId w:val="8"/>
  </w:num>
  <w:num w:numId="37" w16cid:durableId="1814712045">
    <w:abstractNumId w:val="3"/>
  </w:num>
  <w:num w:numId="38" w16cid:durableId="1412315092">
    <w:abstractNumId w:val="2"/>
  </w:num>
  <w:num w:numId="39" w16cid:durableId="1301957919">
    <w:abstractNumId w:val="1"/>
  </w:num>
  <w:num w:numId="40" w16cid:durableId="1539584839">
    <w:abstractNumId w:val="0"/>
  </w:num>
  <w:num w:numId="41" w16cid:durableId="101927254">
    <w:abstractNumId w:val="10"/>
  </w:num>
  <w:num w:numId="42" w16cid:durableId="737435922">
    <w:abstractNumId w:val="10"/>
  </w:num>
  <w:num w:numId="43" w16cid:durableId="1533422039">
    <w:abstractNumId w:val="10"/>
  </w:num>
  <w:num w:numId="44" w16cid:durableId="4697864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4/2026"/>
    <w:docVar w:name="dvlangue" w:val="PL"/>
    <w:docVar w:name="dvnumam" w:val="38"/>
    <w:docVar w:name="dvpe" w:val="776.841"/>
    <w:docVar w:name="dvrapporteur" w:val="Sprawozdawca: "/>
    <w:docVar w:name="dvtitre" w:val="Rezolucja Parlamentu Europejskiego z dnia  2026 r. w sprawie sztandarowych europejskich projektów wspólnego zainteresowania w dziedzinie obronności(2025/2144(INI))"/>
  </w:docVars>
  <w:rsids>
    <w:rsidRoot w:val="004C0B81"/>
    <w:rsid w:val="00002272"/>
    <w:rsid w:val="00064002"/>
    <w:rsid w:val="000675A9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CE3"/>
    <w:rsid w:val="00395FA1"/>
    <w:rsid w:val="003A21A6"/>
    <w:rsid w:val="003E15D4"/>
    <w:rsid w:val="00411CCE"/>
    <w:rsid w:val="0041666E"/>
    <w:rsid w:val="00421060"/>
    <w:rsid w:val="00471C19"/>
    <w:rsid w:val="004867E3"/>
    <w:rsid w:val="00490E8B"/>
    <w:rsid w:val="00494A28"/>
    <w:rsid w:val="004C0004"/>
    <w:rsid w:val="004C0B81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747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537D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78AC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AE967F"/>
  <w15:chartTrackingRefBased/>
  <w15:docId w15:val="{BB36627C-4743-4137-9972-D2AA25900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78A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qFormat/>
    <w:rsid w:val="00E978AC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E978AC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Bold12a">
    <w:name w:val="NormalBold12a"/>
    <w:basedOn w:val="Normal"/>
    <w:rsid w:val="00E978AC"/>
    <w:pPr>
      <w:widowControl/>
      <w:spacing w:after="240"/>
    </w:pPr>
    <w:rPr>
      <w:b/>
      <w:szCs w:val="24"/>
      <w:lang w:eastAsia="en-US"/>
    </w:rPr>
  </w:style>
  <w:style w:type="paragraph" w:customStyle="1" w:styleId="NormalCenter12a">
    <w:name w:val="NormalCenter12a"/>
    <w:basedOn w:val="Normal"/>
    <w:rsid w:val="00E978AC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E978A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978AC"/>
    <w:rPr>
      <w:sz w:val="24"/>
      <w:szCs w:val="24"/>
      <w:lang w:val="pl-PL" w:eastAsia="en-US"/>
    </w:rPr>
  </w:style>
  <w:style w:type="character" w:styleId="Strong">
    <w:name w:val="Strong"/>
    <w:basedOn w:val="DefaultParagraphFont"/>
    <w:uiPriority w:val="22"/>
    <w:qFormat/>
    <w:rsid w:val="00E978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106/oj" TargetMode="External"/><Relationship Id="rId7" Type="http://schemas.openxmlformats.org/officeDocument/2006/relationships/hyperlink" Target="http://data.europa.eu/eli/agree_internation/1994/1/oj" TargetMode="External"/><Relationship Id="rId2" Type="http://schemas.openxmlformats.org/officeDocument/2006/relationships/hyperlink" Target="http://data.europa.eu/eli/reg/2025/2643/oj" TargetMode="External"/><Relationship Id="rId1" Type="http://schemas.openxmlformats.org/officeDocument/2006/relationships/hyperlink" Target="http://data.europa.eu/eli/reg/2021/697/oj" TargetMode="External"/><Relationship Id="rId6" Type="http://schemas.openxmlformats.org/officeDocument/2006/relationships/hyperlink" Target="http://data.europa.eu/eli/C/2025/4389/oj" TargetMode="External"/><Relationship Id="rId5" Type="http://schemas.openxmlformats.org/officeDocument/2006/relationships/hyperlink" Target="http://data.europa.eu/eli/C/2025/3151/oj" TargetMode="External"/><Relationship Id="rId4" Type="http://schemas.openxmlformats.org/officeDocument/2006/relationships/hyperlink" Target="http://data.europa.eu/eli/compos/2008/94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5283</Words>
  <Characters>36626</Characters>
  <Application>Microsoft Office Word</Application>
  <DocSecurity>0</DocSecurity>
  <Lines>305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2</cp:revision>
  <cp:lastPrinted>2004-11-19T15:42:00Z</cp:lastPrinted>
  <dcterms:created xsi:type="dcterms:W3CDTF">2026-04-20T07:09:00Z</dcterms:created>
  <dcterms:modified xsi:type="dcterms:W3CDTF">2026-04-20T07:09:00Z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A10-0014/2026</vt:lpwstr>
  </property>
  <property fmtid="{D5CDD505-2E9C-101B-9397-08002B2CF9AE}" pid="4" name="&lt;Type&gt;">
    <vt:lpwstr>RR</vt:lpwstr>
  </property>
</Properties>
</file>