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AB2" w14:paraId="4C7FAD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C8FE7F" w14:textId="77777777" w:rsidR="00751A4A" w:rsidRPr="004C7AB2" w:rsidRDefault="003013E2" w:rsidP="0010095E">
            <w:pPr>
              <w:pStyle w:val="EPName"/>
            </w:pPr>
            <w:r w:rsidRPr="004C7AB2">
              <w:t xml:space="preserve">Parlamento </w:t>
            </w:r>
            <w:proofErr w:type="gramStart"/>
            <w:r w:rsidRPr="004C7AB2">
              <w:t>Europeu</w:t>
            </w:r>
            <w:proofErr w:type="gramEnd"/>
          </w:p>
          <w:p w14:paraId="7DD81983" w14:textId="77777777" w:rsidR="00751A4A" w:rsidRPr="004C7A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7AB2">
              <w:t>2024</w:t>
            </w:r>
            <w:r w:rsidR="00817416" w:rsidRPr="004C7AB2">
              <w:t>-202</w:t>
            </w:r>
            <w:r w:rsidRPr="004C7AB2">
              <w:t>9</w:t>
            </w:r>
          </w:p>
        </w:tc>
        <w:tc>
          <w:tcPr>
            <w:tcW w:w="2268" w:type="dxa"/>
            <w:shd w:val="clear" w:color="auto" w:fill="auto"/>
          </w:tcPr>
          <w:p w14:paraId="6657AC73" w14:textId="77777777" w:rsidR="00751A4A" w:rsidRPr="004C7AB2" w:rsidRDefault="00187494" w:rsidP="0010095E">
            <w:pPr>
              <w:pStyle w:val="EPLogo"/>
            </w:pPr>
            <w:r w:rsidRPr="004C7AB2">
              <w:rPr>
                <w:noProof/>
                <w:lang w:eastAsia="ja-JP"/>
              </w:rPr>
              <w:drawing>
                <wp:inline distT="0" distB="0" distL="0" distR="0" wp14:anchorId="62202EFF" wp14:editId="07B7DE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29BC38" w14:textId="77777777" w:rsidR="00D058B8" w:rsidRPr="004C7AB2" w:rsidRDefault="00D058B8" w:rsidP="004C5D52">
      <w:pPr>
        <w:pStyle w:val="LineTop"/>
      </w:pPr>
    </w:p>
    <w:p w14:paraId="3126937A" w14:textId="77777777" w:rsidR="00680577" w:rsidRPr="004C7AB2" w:rsidRDefault="003013E2" w:rsidP="00680577">
      <w:pPr>
        <w:pStyle w:val="EPBodyTA1"/>
      </w:pPr>
      <w:r w:rsidRPr="004C7AB2">
        <w:t>TEXTOS APROVADOS</w:t>
      </w:r>
    </w:p>
    <w:p w14:paraId="2FF46EB6" w14:textId="77777777" w:rsidR="00D058B8" w:rsidRPr="004C7AB2" w:rsidRDefault="00D058B8" w:rsidP="00D058B8">
      <w:pPr>
        <w:pStyle w:val="LineBottom"/>
      </w:pPr>
    </w:p>
    <w:p w14:paraId="4F480938" w14:textId="7EDB52B7" w:rsidR="003013E2" w:rsidRPr="004C7AB2" w:rsidRDefault="003013E2" w:rsidP="003013E2">
      <w:pPr>
        <w:pStyle w:val="ATHeading1"/>
      </w:pPr>
      <w:bookmarkStart w:id="0" w:name="TANumber"/>
      <w:r w:rsidRPr="004C7AB2">
        <w:t>P10_</w:t>
      </w:r>
      <w:proofErr w:type="gramStart"/>
      <w:r w:rsidRPr="004C7AB2">
        <w:t>TA(</w:t>
      </w:r>
      <w:proofErr w:type="gramEnd"/>
      <w:r w:rsidRPr="004C7AB2">
        <w:t>2026)</w:t>
      </w:r>
      <w:bookmarkEnd w:id="0"/>
      <w:r w:rsidR="001625D3" w:rsidRPr="004C7AB2">
        <w:t>0083</w:t>
      </w:r>
    </w:p>
    <w:p w14:paraId="19967FAA" w14:textId="77777777" w:rsidR="003013E2" w:rsidRPr="004C7AB2" w:rsidRDefault="003013E2" w:rsidP="003013E2">
      <w:pPr>
        <w:pStyle w:val="ATHeading2"/>
      </w:pPr>
      <w:bookmarkStart w:id="1" w:name="title"/>
      <w:r w:rsidRPr="004C7AB2">
        <w:t xml:space="preserve">O caso de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 e dos presos políticos sob o regime do Sonho Georgiano</w:t>
      </w:r>
      <w:bookmarkEnd w:id="1"/>
    </w:p>
    <w:p w14:paraId="3DAC59D3" w14:textId="77777777" w:rsidR="003013E2" w:rsidRPr="004C7AB2" w:rsidRDefault="003013E2" w:rsidP="003013E2">
      <w:pPr>
        <w:rPr>
          <w:i/>
          <w:vanish/>
        </w:rPr>
      </w:pPr>
      <w:r w:rsidRPr="004C7AB2">
        <w:rPr>
          <w:i/>
        </w:rPr>
        <w:fldChar w:fldCharType="begin"/>
      </w:r>
      <w:r w:rsidRPr="004C7AB2">
        <w:rPr>
          <w:i/>
        </w:rPr>
        <w:instrText xml:space="preserve"> TC"(</w:instrText>
      </w:r>
      <w:bookmarkStart w:id="2" w:name="DocNumber"/>
      <w:r w:rsidRPr="004C7AB2">
        <w:rPr>
          <w:i/>
        </w:rPr>
        <w:instrText>B10-0158, 0161, 0164, 0168, 0171 e 0174/2026</w:instrText>
      </w:r>
      <w:bookmarkEnd w:id="2"/>
      <w:r w:rsidRPr="004C7AB2">
        <w:rPr>
          <w:i/>
        </w:rPr>
        <w:instrText xml:space="preserve">)"\l3 \n&gt; \* MERGEFORMAT </w:instrText>
      </w:r>
      <w:r w:rsidRPr="004C7AB2">
        <w:rPr>
          <w:i/>
        </w:rPr>
        <w:fldChar w:fldCharType="end"/>
      </w:r>
    </w:p>
    <w:p w14:paraId="17FECEEB" w14:textId="77777777" w:rsidR="003013E2" w:rsidRPr="004C7AB2" w:rsidRDefault="003013E2" w:rsidP="003013E2">
      <w:pPr>
        <w:rPr>
          <w:vanish/>
        </w:rPr>
      </w:pPr>
      <w:bookmarkStart w:id="3" w:name="PE"/>
      <w:r w:rsidRPr="004C7AB2">
        <w:rPr>
          <w:vanish/>
        </w:rPr>
        <w:t>PE782.989</w:t>
      </w:r>
      <w:bookmarkEnd w:id="3"/>
    </w:p>
    <w:p w14:paraId="40D5C6BA" w14:textId="2A6B2277" w:rsidR="003013E2" w:rsidRPr="004C7AB2" w:rsidRDefault="003013E2" w:rsidP="003013E2">
      <w:pPr>
        <w:pStyle w:val="ATHeading3"/>
      </w:pPr>
      <w:bookmarkStart w:id="4" w:name="Sujet"/>
      <w:r w:rsidRPr="004C7AB2">
        <w:t xml:space="preserve">Resolução do Parlamento Europeu, de </w:t>
      </w:r>
      <w:r w:rsidR="001625D3" w:rsidRPr="004C7AB2">
        <w:t xml:space="preserve">12 </w:t>
      </w:r>
      <w:r w:rsidRPr="004C7AB2">
        <w:t xml:space="preserve">de </w:t>
      </w:r>
      <w:r w:rsidR="001625D3" w:rsidRPr="004C7AB2">
        <w:t xml:space="preserve">março </w:t>
      </w:r>
      <w:r w:rsidRPr="004C7AB2">
        <w:t xml:space="preserve">de 2026, sobre o caso de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 e dos presos políticos sob o regime do Sonho Georgiano</w:t>
      </w:r>
      <w:bookmarkEnd w:id="4"/>
      <w:r w:rsidRPr="004C7AB2">
        <w:t xml:space="preserve"> </w:t>
      </w:r>
      <w:bookmarkStart w:id="5" w:name="References"/>
      <w:r w:rsidRPr="004C7AB2">
        <w:t>(2026/2643(RSP))</w:t>
      </w:r>
      <w:bookmarkEnd w:id="5"/>
    </w:p>
    <w:p w14:paraId="6003A856" w14:textId="77777777" w:rsidR="00C704E0" w:rsidRPr="004C7AB2" w:rsidRDefault="00C704E0" w:rsidP="00C704E0">
      <w:pPr>
        <w:pStyle w:val="EPComma"/>
      </w:pPr>
      <w:bookmarkStart w:id="6" w:name="TextBodyBegin"/>
      <w:bookmarkEnd w:id="6"/>
      <w:r w:rsidRPr="004C7AB2">
        <w:rPr>
          <w:i/>
          <w:iCs/>
        </w:rPr>
        <w:t>O Parlamento Europeu,</w:t>
      </w:r>
    </w:p>
    <w:p w14:paraId="075DC323" w14:textId="77777777" w:rsidR="00C704E0" w:rsidRPr="004C7AB2" w:rsidRDefault="00C704E0" w:rsidP="00C704E0">
      <w:pPr>
        <w:pStyle w:val="NormalHanging12a"/>
        <w:rPr>
          <w:shd w:val="clear" w:color="auto" w:fill="FFFFFF"/>
        </w:rPr>
      </w:pPr>
      <w:r w:rsidRPr="004C7AB2">
        <w:t>–</w:t>
      </w:r>
      <w:r w:rsidRPr="004C7AB2">
        <w:tab/>
      </w:r>
      <w:r w:rsidRPr="004C7AB2">
        <w:rPr>
          <w:shd w:val="clear" w:color="auto" w:fill="FFFFFF"/>
        </w:rPr>
        <w:t>Tendo em conta as suas resoluções anteriores sobre a Geórgia,</w:t>
      </w:r>
    </w:p>
    <w:p w14:paraId="3313CBAA" w14:textId="77777777" w:rsidR="00C704E0" w:rsidRPr="004C7AB2" w:rsidRDefault="00C704E0" w:rsidP="00C704E0">
      <w:pPr>
        <w:pStyle w:val="NormalHanging12a"/>
      </w:pPr>
      <w:r w:rsidRPr="004C7AB2">
        <w:t>–</w:t>
      </w:r>
      <w:r w:rsidRPr="004C7AB2">
        <w:tab/>
        <w:t>Tendo em conta o artigo 150.º, n.º 5, e o artigo 136.º, n.º 4, do seu Regimento,</w:t>
      </w:r>
    </w:p>
    <w:p w14:paraId="19790A35" w14:textId="5CADAEA1" w:rsidR="00C704E0" w:rsidRPr="004C7AB2" w:rsidRDefault="00C704E0" w:rsidP="00C704E0">
      <w:pPr>
        <w:pStyle w:val="NormalHanging12a"/>
      </w:pPr>
      <w:r w:rsidRPr="004C7AB2">
        <w:t>A.</w:t>
      </w:r>
      <w:bookmarkStart w:id="7" w:name="_Hlk219406317"/>
      <w:r w:rsidRPr="004C7AB2">
        <w:tab/>
        <w:t>Considerando que as autoridades georgianas intensificaram a repressão da oposição política e da sociedade civil, em particular desde as eleições legislativas de outubro de</w:t>
      </w:r>
      <w:r w:rsidR="001625D3" w:rsidRPr="004C7AB2">
        <w:t> </w:t>
      </w:r>
      <w:r w:rsidRPr="004C7AB2">
        <w:t>2024;</w:t>
      </w:r>
    </w:p>
    <w:p w14:paraId="538957BD" w14:textId="77777777" w:rsidR="00C704E0" w:rsidRPr="004C7AB2" w:rsidRDefault="00C704E0" w:rsidP="00C704E0">
      <w:pPr>
        <w:pStyle w:val="NormalHanging12a"/>
      </w:pPr>
      <w:r w:rsidRPr="004C7AB2">
        <w:t>B.</w:t>
      </w:r>
      <w:r w:rsidRPr="004C7AB2">
        <w:tab/>
        <w:t>Considerando que a adoção de legislação draconiana, designadamente a «Lei relativa ao registo de agentes estrangeiros», a Lei relativa à transparência da influência estrangeira e as alterações à Lei relativa às subvenções, à Lei relativa à associação política e ao Código Penal, reflete uma estratégia autoritária deliberada destinada a silenciar a dissidência, e que tais medidas de repressão se inspiram no modelo russo;</w:t>
      </w:r>
      <w:bookmarkEnd w:id="7"/>
    </w:p>
    <w:p w14:paraId="56F7C83F" w14:textId="09B40222" w:rsidR="00C704E0" w:rsidRPr="004C7AB2" w:rsidRDefault="00C704E0" w:rsidP="00C704E0">
      <w:pPr>
        <w:pStyle w:val="NormalHanging12a"/>
      </w:pPr>
      <w:r w:rsidRPr="004C7AB2">
        <w:t>C.</w:t>
      </w:r>
      <w:r w:rsidRPr="004C7AB2">
        <w:tab/>
        <w:t>Considerando que centenas de pessoas foram detidas, condenadas ao pagamento de multas ou alvo de processos judiciais desde o início das manifestações, nomeadamente responsáveis políticos, jornalistas e ativistas, muitos dos quais se encontram em prisão preventiva</w:t>
      </w:r>
      <w:r w:rsidR="0096671B" w:rsidRPr="004C7AB2">
        <w:t>; considerando que</w:t>
      </w:r>
      <w:r w:rsidRPr="004C7AB2">
        <w:t xml:space="preserve"> dezenas de pessoas foram detidas na sequência da sua participação nas manifestações;</w:t>
      </w:r>
    </w:p>
    <w:p w14:paraId="7ACA09E0" w14:textId="19C542F6" w:rsidR="00C704E0" w:rsidRPr="004C7AB2" w:rsidRDefault="00C704E0" w:rsidP="00C704E0">
      <w:pPr>
        <w:pStyle w:val="NormalHanging12a"/>
      </w:pPr>
      <w:r w:rsidRPr="004C7AB2">
        <w:t>D.</w:t>
      </w:r>
      <w:r w:rsidRPr="004C7AB2">
        <w:tab/>
        <w:t xml:space="preserve">Considerando que vários dirigentes da oposição foram detidos, designadamente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, figura de proa da Coligação para a Mudança, que foi detida em setembro </w:t>
      </w:r>
      <w:r w:rsidR="0096671B" w:rsidRPr="004C7AB2">
        <w:t>de </w:t>
      </w:r>
      <w:r w:rsidRPr="004C7AB2">
        <w:t>2025 por ter escrito «Sonho russo» num cartaz eleitoral do partido no poder e é alvo de um processo penal com base em acusações falsas sem provas credíveis, puníveis com uma pena de prisão até 15 anos</w:t>
      </w:r>
      <w:bookmarkStart w:id="8" w:name="_Hlk224123252"/>
      <w:r w:rsidR="0096671B" w:rsidRPr="004C7AB2">
        <w:t>; considerando que</w:t>
      </w:r>
      <w:r w:rsidRPr="004C7AB2">
        <w:t xml:space="preserve"> há relatos de que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 terá sido vítima de tratamentos degradantes durante a detenção e de que o seu estado de saúde exige cuidados médicos especializados;</w:t>
      </w:r>
      <w:bookmarkEnd w:id="8"/>
    </w:p>
    <w:p w14:paraId="33E9D348" w14:textId="77777777" w:rsidR="00C704E0" w:rsidRPr="004C7AB2" w:rsidRDefault="00C704E0" w:rsidP="00C704E0">
      <w:pPr>
        <w:pStyle w:val="NormalHanging12a"/>
      </w:pPr>
      <w:r w:rsidRPr="004C7AB2">
        <w:t>E.</w:t>
      </w:r>
      <w:r w:rsidRPr="004C7AB2">
        <w:tab/>
        <w:t xml:space="preserve">Considerando que uma outra prisioneira de consciência, </w:t>
      </w:r>
      <w:proofErr w:type="spellStart"/>
      <w:r w:rsidRPr="004C7AB2">
        <w:t>Mzia</w:t>
      </w:r>
      <w:proofErr w:type="spellEnd"/>
      <w:r w:rsidRPr="004C7AB2">
        <w:t xml:space="preserve"> </w:t>
      </w:r>
      <w:proofErr w:type="spellStart"/>
      <w:r w:rsidRPr="004C7AB2">
        <w:t>Amaglobeli</w:t>
      </w:r>
      <w:proofErr w:type="spellEnd"/>
      <w:r w:rsidRPr="004C7AB2">
        <w:t xml:space="preserve">, foi galardoada com o Prémio </w:t>
      </w:r>
      <w:proofErr w:type="spellStart"/>
      <w:r w:rsidRPr="004C7AB2">
        <w:t>Sakharov</w:t>
      </w:r>
      <w:proofErr w:type="spellEnd"/>
      <w:r w:rsidRPr="004C7AB2">
        <w:t xml:space="preserve"> em 2025;</w:t>
      </w:r>
    </w:p>
    <w:p w14:paraId="2C5B4334" w14:textId="77777777" w:rsidR="00C704E0" w:rsidRPr="004C7AB2" w:rsidRDefault="00C704E0" w:rsidP="00C704E0">
      <w:pPr>
        <w:pStyle w:val="NormalHanging12a"/>
      </w:pPr>
      <w:r w:rsidRPr="004C7AB2">
        <w:lastRenderedPageBreak/>
        <w:t>1.</w:t>
      </w:r>
      <w:r w:rsidRPr="004C7AB2">
        <w:tab/>
        <w:t xml:space="preserve">Condena firmemente a detenção por motivos políticos de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 e de todas as outras pessoas visadas por exercerem a sua liberdade de expressão e de reunião ou exprimirem a sua dissidência pacífica, bem como a perseguição sistemática de opositores políticos, jornalistas e ativistas por parte do regime do «Sonho Georgiano»;</w:t>
      </w:r>
    </w:p>
    <w:p w14:paraId="442DF7C2" w14:textId="77777777" w:rsidR="00C704E0" w:rsidRPr="004C7AB2" w:rsidRDefault="00C704E0" w:rsidP="00C704E0">
      <w:pPr>
        <w:pStyle w:val="NormalHanging12a"/>
      </w:pPr>
      <w:r w:rsidRPr="004C7AB2">
        <w:t>2.</w:t>
      </w:r>
      <w:r w:rsidRPr="004C7AB2">
        <w:tab/>
        <w:t xml:space="preserve">Condena o tratamento degradante e desumano que terá sido infligido a </w:t>
      </w:r>
      <w:proofErr w:type="spellStart"/>
      <w:r w:rsidRPr="004C7AB2">
        <w:t>Elene</w:t>
      </w:r>
      <w:proofErr w:type="spellEnd"/>
      <w:r w:rsidRPr="004C7AB2">
        <w:t xml:space="preserve"> </w:t>
      </w:r>
      <w:proofErr w:type="spellStart"/>
      <w:r w:rsidRPr="004C7AB2">
        <w:t>Khoshtaria</w:t>
      </w:r>
      <w:proofErr w:type="spellEnd"/>
      <w:r w:rsidRPr="004C7AB2">
        <w:t xml:space="preserve"> durante a sua detenção; exige a sua libertação imediata e incondicional, bem como a de outras pessoas detidas por motivos políticos ou em razão do exercício pacífico dos seus direitos fundamentais; advoga a retirada imediata das acusações com motivações políticas de que são alvo;</w:t>
      </w:r>
    </w:p>
    <w:p w14:paraId="6EEA389A" w14:textId="7D68D056" w:rsidR="0095184F" w:rsidRPr="004C7AB2" w:rsidRDefault="00945482" w:rsidP="0095184F">
      <w:pPr>
        <w:pStyle w:val="NormalHanging12a"/>
      </w:pPr>
      <w:r w:rsidRPr="004C7AB2">
        <w:t>3.</w:t>
      </w:r>
      <w:r w:rsidR="0095184F" w:rsidRPr="004C7AB2">
        <w:tab/>
        <w:t xml:space="preserve">Manifesta viva preocupação com a detenção prolongada e o agravamento do estado de saúde do antigo presidente </w:t>
      </w:r>
      <w:proofErr w:type="spellStart"/>
      <w:r w:rsidR="0095184F" w:rsidRPr="004C7AB2">
        <w:t>Mikheil</w:t>
      </w:r>
      <w:proofErr w:type="spellEnd"/>
      <w:r w:rsidR="0095184F" w:rsidRPr="004C7AB2">
        <w:t xml:space="preserve"> </w:t>
      </w:r>
      <w:proofErr w:type="spellStart"/>
      <w:r w:rsidR="0095184F" w:rsidRPr="004C7AB2">
        <w:t>Saakashvili</w:t>
      </w:r>
      <w:proofErr w:type="spellEnd"/>
      <w:r w:rsidR="0095184F" w:rsidRPr="004C7AB2">
        <w:t xml:space="preserve">, que tem sido efetivamente mantido como refém político pelo oligarca </w:t>
      </w:r>
      <w:proofErr w:type="spellStart"/>
      <w:r w:rsidR="0095184F" w:rsidRPr="004C7AB2">
        <w:t>Bidzina</w:t>
      </w:r>
      <w:proofErr w:type="spellEnd"/>
      <w:r w:rsidR="0095184F" w:rsidRPr="004C7AB2">
        <w:t xml:space="preserve"> </w:t>
      </w:r>
      <w:proofErr w:type="spellStart"/>
      <w:r w:rsidR="0095184F" w:rsidRPr="004C7AB2">
        <w:t>Ivanishvili</w:t>
      </w:r>
      <w:proofErr w:type="spellEnd"/>
      <w:r w:rsidR="0095184F" w:rsidRPr="004C7AB2">
        <w:t xml:space="preserve"> há mais de quatro anos;</w:t>
      </w:r>
    </w:p>
    <w:p w14:paraId="3286AD76" w14:textId="4E386FB2" w:rsidR="00C704E0" w:rsidRPr="004C7AB2" w:rsidRDefault="00945482" w:rsidP="00C704E0">
      <w:pPr>
        <w:pStyle w:val="NormalHanging12a"/>
      </w:pPr>
      <w:r w:rsidRPr="004C7AB2">
        <w:t>4</w:t>
      </w:r>
      <w:r w:rsidR="00C704E0" w:rsidRPr="004C7AB2">
        <w:t>.</w:t>
      </w:r>
      <w:r w:rsidR="00C704E0" w:rsidRPr="004C7AB2">
        <w:tab/>
        <w:t xml:space="preserve">Exige a realização de uma investigação independente e transparente das acusações de </w:t>
      </w:r>
      <w:proofErr w:type="gramStart"/>
      <w:r w:rsidR="00C704E0" w:rsidRPr="004C7AB2">
        <w:t>maus tratos</w:t>
      </w:r>
      <w:proofErr w:type="gramEnd"/>
      <w:r w:rsidR="00C704E0" w:rsidRPr="004C7AB2">
        <w:t xml:space="preserve"> na prisão e da aplicação abusiva da legislação em matéria de segurança nacional, bem como das denúncias credíveis sobre a utilização de armas químicas contra manifestantes;</w:t>
      </w:r>
    </w:p>
    <w:p w14:paraId="301259D8" w14:textId="728BAC70" w:rsidR="0095184F" w:rsidRPr="004C7AB2" w:rsidRDefault="00945482" w:rsidP="00C704E0">
      <w:pPr>
        <w:pStyle w:val="NormalHanging12a"/>
      </w:pPr>
      <w:r w:rsidRPr="004C7AB2">
        <w:t>5.</w:t>
      </w:r>
      <w:r w:rsidR="0095184F" w:rsidRPr="004C7AB2">
        <w:tab/>
        <w:t xml:space="preserve">Expressa profunda preocupação com a expansão da influência da Rússia, da China e do Irão na Geórgia nos domínios político, económico e da segurança, o que é confirmado por inúmeros relatos e se reflete também na deterioração da forma como os direitos humanos são abordados no país; manifesta a sua indignação ante a abertura de inquéritos contra os autores destas denúncias, nomeadamente </w:t>
      </w:r>
      <w:proofErr w:type="spellStart"/>
      <w:r w:rsidR="0095184F" w:rsidRPr="004C7AB2">
        <w:t>Giorgi</w:t>
      </w:r>
      <w:proofErr w:type="spellEnd"/>
      <w:r w:rsidR="0095184F" w:rsidRPr="004C7AB2">
        <w:t xml:space="preserve"> </w:t>
      </w:r>
      <w:proofErr w:type="spellStart"/>
      <w:r w:rsidR="0095184F" w:rsidRPr="004C7AB2">
        <w:t>Kandelaki</w:t>
      </w:r>
      <w:proofErr w:type="spellEnd"/>
      <w:r w:rsidR="0095184F" w:rsidRPr="004C7AB2">
        <w:t xml:space="preserve">, investigador do Instituto </w:t>
      </w:r>
      <w:proofErr w:type="spellStart"/>
      <w:r w:rsidR="0095184F" w:rsidRPr="004C7AB2">
        <w:t>Hudson</w:t>
      </w:r>
      <w:proofErr w:type="spellEnd"/>
      <w:r w:rsidR="0095184F" w:rsidRPr="004C7AB2">
        <w:t xml:space="preserve">, e </w:t>
      </w:r>
      <w:proofErr w:type="spellStart"/>
      <w:r w:rsidR="0095184F" w:rsidRPr="004C7AB2">
        <w:t>Tinatin</w:t>
      </w:r>
      <w:proofErr w:type="spellEnd"/>
      <w:r w:rsidR="0095184F" w:rsidRPr="004C7AB2">
        <w:t xml:space="preserve"> </w:t>
      </w:r>
      <w:proofErr w:type="spellStart"/>
      <w:r w:rsidR="0095184F" w:rsidRPr="004C7AB2">
        <w:t>Khidasheli</w:t>
      </w:r>
      <w:proofErr w:type="spellEnd"/>
      <w:r w:rsidR="0095184F" w:rsidRPr="004C7AB2">
        <w:t>, em vez de se dar resposta às suas conclusões alarmantes sobre a expansão clara e sistemática da influência de potências autoritárias no país; exorta as autoridades georgianas a restabelecerem a liberdade de expressão, a liberdade académica e a investigação independente;</w:t>
      </w:r>
    </w:p>
    <w:p w14:paraId="73B9557D" w14:textId="6621DE72" w:rsidR="00C704E0" w:rsidRPr="004C7AB2" w:rsidRDefault="00945482" w:rsidP="00C704E0">
      <w:pPr>
        <w:pStyle w:val="NormalHanging12a"/>
      </w:pPr>
      <w:r w:rsidRPr="004C7AB2">
        <w:t>6</w:t>
      </w:r>
      <w:r w:rsidR="00C704E0" w:rsidRPr="004C7AB2">
        <w:t>.</w:t>
      </w:r>
      <w:r w:rsidR="00C704E0" w:rsidRPr="004C7AB2">
        <w:tab/>
        <w:t>Condena veementemente a contínua adoção de legislação restritiva que coarta as liberdades fundamentais e reprime a atividade política, os protestos cívicos e a dissidência; insta as autoridades georgianas a revogarem estas leis restritivas, a deixarem de recorrer à prisão preventiva para fins de repressão política e a salvaguardarem a independência judicial e as garantias processuais;</w:t>
      </w:r>
    </w:p>
    <w:p w14:paraId="2811A382" w14:textId="3C5FB300" w:rsidR="00C704E0" w:rsidRPr="004C7AB2" w:rsidRDefault="00945482" w:rsidP="00C704E0">
      <w:pPr>
        <w:pStyle w:val="NormalHanging12a"/>
        <w:rPr>
          <w:bCs/>
        </w:rPr>
      </w:pPr>
      <w:r w:rsidRPr="004C7AB2">
        <w:t>7</w:t>
      </w:r>
      <w:r w:rsidR="00C704E0" w:rsidRPr="004C7AB2">
        <w:t>.</w:t>
      </w:r>
      <w:r w:rsidR="00C704E0" w:rsidRPr="004C7AB2">
        <w:tab/>
        <w:t>Salienta que a existência de presos políticos é incompatível com as obrigações que incumbem à Geórgia ao abrigo do Acordo de Associação UE</w:t>
      </w:r>
      <w:r w:rsidR="00C704E0" w:rsidRPr="004C7AB2">
        <w:noBreakHyphen/>
        <w:t>Geórgia;</w:t>
      </w:r>
    </w:p>
    <w:p w14:paraId="47BA78E2" w14:textId="3E62DCF1" w:rsidR="00C704E0" w:rsidRPr="004C7AB2" w:rsidRDefault="00945482" w:rsidP="00C704E0">
      <w:pPr>
        <w:pStyle w:val="NormalHanging12a"/>
      </w:pPr>
      <w:r w:rsidRPr="004C7AB2">
        <w:t>8</w:t>
      </w:r>
      <w:r w:rsidR="00C704E0" w:rsidRPr="004C7AB2">
        <w:t>.</w:t>
      </w:r>
      <w:r w:rsidR="00C704E0" w:rsidRPr="004C7AB2">
        <w:tab/>
        <w:t>Reafirma o seu apoio inabalável ao povo georgiano e ao seu apego a um futuro europeu democrático; incentiva a Comissão e os Estados</w:t>
      </w:r>
      <w:r w:rsidR="00C704E0" w:rsidRPr="004C7AB2">
        <w:noBreakHyphen/>
        <w:t>Membros a apoiarem e a protegerem os ativistas, jornalistas e membros da oposição georgianos em risco;</w:t>
      </w:r>
    </w:p>
    <w:p w14:paraId="57BC5AF4" w14:textId="71C2F080" w:rsidR="00C704E0" w:rsidRPr="004C7AB2" w:rsidRDefault="00945482" w:rsidP="00C704E0">
      <w:pPr>
        <w:pStyle w:val="NormalHanging12a"/>
      </w:pPr>
      <w:r w:rsidRPr="004C7AB2">
        <w:t>9</w:t>
      </w:r>
      <w:r w:rsidR="00C704E0" w:rsidRPr="004C7AB2">
        <w:t>.</w:t>
      </w:r>
      <w:r w:rsidR="00C704E0" w:rsidRPr="004C7AB2">
        <w:tab/>
        <w:t>Exorta a UE e os Estados</w:t>
      </w:r>
      <w:r w:rsidR="00C704E0" w:rsidRPr="004C7AB2">
        <w:noBreakHyphen/>
        <w:t>Membros a imporem sanções seletivas, bem como uma proibição de emissão de vistos à escala da UE, aos representantes do regime e aos seus facilitadores responsáveis por detenções, processos judiciais e atos de violência por motivos políticos contra a oposição democrática, dissidentes, manifestantes e jornalistas;</w:t>
      </w:r>
    </w:p>
    <w:p w14:paraId="3C63B1E0" w14:textId="0F9CD451" w:rsidR="00E365E1" w:rsidRPr="004C7AB2" w:rsidRDefault="00945482" w:rsidP="00F709B6">
      <w:pPr>
        <w:pStyle w:val="NormalHanging12a"/>
      </w:pPr>
      <w:r w:rsidRPr="004C7AB2">
        <w:t>10</w:t>
      </w:r>
      <w:r w:rsidR="00C704E0" w:rsidRPr="004C7AB2">
        <w:t>.</w:t>
      </w:r>
      <w:r w:rsidR="00C704E0" w:rsidRPr="004C7AB2">
        <w:tab/>
        <w:t>Encarrega a sua Presidente de transmitir a presente resolução à VP/AR, ao Conselho, à Comissão, aos Estados</w:t>
      </w:r>
      <w:r w:rsidR="00C704E0" w:rsidRPr="004C7AB2">
        <w:noBreakHyphen/>
        <w:t>Membros, ao Conselho da Europa, à OSCE e às autoridades da Geórgia.</w:t>
      </w:r>
    </w:p>
    <w:sectPr w:rsidR="00E365E1" w:rsidRPr="004C7AB2" w:rsidSect="0093470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1B25" w14:textId="77777777" w:rsidR="003013E2" w:rsidRPr="0093470B" w:rsidRDefault="003013E2">
      <w:r w:rsidRPr="0093470B">
        <w:separator/>
      </w:r>
    </w:p>
  </w:endnote>
  <w:endnote w:type="continuationSeparator" w:id="0">
    <w:p w14:paraId="65314B23" w14:textId="77777777" w:rsidR="003013E2" w:rsidRPr="0093470B" w:rsidRDefault="003013E2">
      <w:r w:rsidRPr="009347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4FDE6" w14:textId="77777777" w:rsidR="003013E2" w:rsidRPr="0093470B" w:rsidRDefault="003013E2">
      <w:r w:rsidRPr="0093470B">
        <w:separator/>
      </w:r>
    </w:p>
  </w:footnote>
  <w:footnote w:type="continuationSeparator" w:id="0">
    <w:p w14:paraId="1643F5A5" w14:textId="77777777" w:rsidR="003013E2" w:rsidRPr="0093470B" w:rsidRDefault="003013E2">
      <w:r w:rsidRPr="0093470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0911833">
    <w:abstractNumId w:val="9"/>
  </w:num>
  <w:num w:numId="2" w16cid:durableId="2039354871">
    <w:abstractNumId w:val="9"/>
  </w:num>
  <w:num w:numId="3" w16cid:durableId="1121920053">
    <w:abstractNumId w:val="7"/>
  </w:num>
  <w:num w:numId="4" w16cid:durableId="103036934">
    <w:abstractNumId w:val="7"/>
  </w:num>
  <w:num w:numId="5" w16cid:durableId="1814786280">
    <w:abstractNumId w:val="6"/>
  </w:num>
  <w:num w:numId="6" w16cid:durableId="1278870134">
    <w:abstractNumId w:val="6"/>
  </w:num>
  <w:num w:numId="7" w16cid:durableId="836966009">
    <w:abstractNumId w:val="5"/>
  </w:num>
  <w:num w:numId="8" w16cid:durableId="353849223">
    <w:abstractNumId w:val="5"/>
  </w:num>
  <w:num w:numId="9" w16cid:durableId="791020030">
    <w:abstractNumId w:val="4"/>
  </w:num>
  <w:num w:numId="10" w16cid:durableId="1792825557">
    <w:abstractNumId w:val="4"/>
  </w:num>
  <w:num w:numId="11" w16cid:durableId="146359271">
    <w:abstractNumId w:val="8"/>
  </w:num>
  <w:num w:numId="12" w16cid:durableId="245308567">
    <w:abstractNumId w:val="8"/>
  </w:num>
  <w:num w:numId="13" w16cid:durableId="861671664">
    <w:abstractNumId w:val="3"/>
  </w:num>
  <w:num w:numId="14" w16cid:durableId="1849980879">
    <w:abstractNumId w:val="3"/>
  </w:num>
  <w:num w:numId="15" w16cid:durableId="2044285666">
    <w:abstractNumId w:val="2"/>
  </w:num>
  <w:num w:numId="16" w16cid:durableId="2146703272">
    <w:abstractNumId w:val="2"/>
  </w:num>
  <w:num w:numId="17" w16cid:durableId="221797655">
    <w:abstractNumId w:val="1"/>
  </w:num>
  <w:num w:numId="18" w16cid:durableId="769862576">
    <w:abstractNumId w:val="1"/>
  </w:num>
  <w:num w:numId="19" w16cid:durableId="563833020">
    <w:abstractNumId w:val="0"/>
  </w:num>
  <w:num w:numId="20" w16cid:durableId="93523176">
    <w:abstractNumId w:val="0"/>
  </w:num>
  <w:num w:numId="21" w16cid:durableId="2109694671">
    <w:abstractNumId w:val="9"/>
  </w:num>
  <w:num w:numId="22" w16cid:durableId="1126774228">
    <w:abstractNumId w:val="7"/>
  </w:num>
  <w:num w:numId="23" w16cid:durableId="448671080">
    <w:abstractNumId w:val="6"/>
  </w:num>
  <w:num w:numId="24" w16cid:durableId="136802378">
    <w:abstractNumId w:val="5"/>
  </w:num>
  <w:num w:numId="25" w16cid:durableId="1299998292">
    <w:abstractNumId w:val="4"/>
  </w:num>
  <w:num w:numId="26" w16cid:durableId="579755791">
    <w:abstractNumId w:val="8"/>
  </w:num>
  <w:num w:numId="27" w16cid:durableId="1222055273">
    <w:abstractNumId w:val="3"/>
  </w:num>
  <w:num w:numId="28" w16cid:durableId="1809542595">
    <w:abstractNumId w:val="2"/>
  </w:num>
  <w:num w:numId="29" w16cid:durableId="318195170">
    <w:abstractNumId w:val="1"/>
  </w:num>
  <w:num w:numId="30" w16cid:durableId="1357079462">
    <w:abstractNumId w:val="0"/>
  </w:num>
  <w:num w:numId="31" w16cid:durableId="1938170355">
    <w:abstractNumId w:val="9"/>
  </w:num>
  <w:num w:numId="32" w16cid:durableId="203639530">
    <w:abstractNumId w:val="7"/>
  </w:num>
  <w:num w:numId="33" w16cid:durableId="431439261">
    <w:abstractNumId w:val="6"/>
  </w:num>
  <w:num w:numId="34" w16cid:durableId="578445213">
    <w:abstractNumId w:val="5"/>
  </w:num>
  <w:num w:numId="35" w16cid:durableId="1094324165">
    <w:abstractNumId w:val="4"/>
  </w:num>
  <w:num w:numId="36" w16cid:durableId="495456974">
    <w:abstractNumId w:val="8"/>
  </w:num>
  <w:num w:numId="37" w16cid:durableId="987974964">
    <w:abstractNumId w:val="3"/>
  </w:num>
  <w:num w:numId="38" w16cid:durableId="712772806">
    <w:abstractNumId w:val="2"/>
  </w:num>
  <w:num w:numId="39" w16cid:durableId="296227472">
    <w:abstractNumId w:val="1"/>
  </w:num>
  <w:num w:numId="40" w16cid:durableId="2028871978">
    <w:abstractNumId w:val="0"/>
  </w:num>
  <w:num w:numId="41" w16cid:durableId="913510784">
    <w:abstractNumId w:val="10"/>
  </w:num>
  <w:num w:numId="42" w16cid:durableId="1414426584">
    <w:abstractNumId w:val="10"/>
  </w:num>
  <w:num w:numId="43" w16cid:durableId="669255741">
    <w:abstractNumId w:val="10"/>
  </w:num>
  <w:num w:numId="44" w16cid:durableId="1107889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, 0161, 0164, 0168, 0171 e 0174/2026"/>
    <w:docVar w:name="dvlangue" w:val="PT"/>
    <w:docVar w:name="dvnumam" w:val="0"/>
    <w:docVar w:name="dvpe" w:val="782.989"/>
    <w:docVar w:name="dvtitre" w:val="Resolução do Parlamento Europeu, de ... de ... de 2026,_x000d__x000a_ sobre o caso de Elene Khoshtaria e dos presos políticos sob o regime do Sonho Georgiano(2026/2643(RSP))"/>
  </w:docVars>
  <w:rsids>
    <w:rsidRoot w:val="003013E2"/>
    <w:rsid w:val="00002272"/>
    <w:rsid w:val="00064002"/>
    <w:rsid w:val="000677B9"/>
    <w:rsid w:val="000831BA"/>
    <w:rsid w:val="000A42CC"/>
    <w:rsid w:val="000E7DD9"/>
    <w:rsid w:val="0010095E"/>
    <w:rsid w:val="00125B37"/>
    <w:rsid w:val="001625D3"/>
    <w:rsid w:val="00187494"/>
    <w:rsid w:val="001F32AE"/>
    <w:rsid w:val="002767FF"/>
    <w:rsid w:val="002B18FE"/>
    <w:rsid w:val="002B5493"/>
    <w:rsid w:val="003013E2"/>
    <w:rsid w:val="00343214"/>
    <w:rsid w:val="003614C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AB2"/>
    <w:rsid w:val="0050519A"/>
    <w:rsid w:val="005072A1"/>
    <w:rsid w:val="00514517"/>
    <w:rsid w:val="00545827"/>
    <w:rsid w:val="00560270"/>
    <w:rsid w:val="005C2568"/>
    <w:rsid w:val="005F067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70B"/>
    <w:rsid w:val="00945482"/>
    <w:rsid w:val="009509D8"/>
    <w:rsid w:val="00950B64"/>
    <w:rsid w:val="0095184F"/>
    <w:rsid w:val="0096671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CE5"/>
    <w:rsid w:val="00C61C0C"/>
    <w:rsid w:val="00C704E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D60"/>
    <w:rsid w:val="00F149E9"/>
    <w:rsid w:val="00F5134D"/>
    <w:rsid w:val="00F709B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0D2A4"/>
  <w15:chartTrackingRefBased/>
  <w15:docId w15:val="{42EEFFCF-B030-423E-B2B8-F225A6B7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04E0"/>
    <w:pPr>
      <w:spacing w:after="240"/>
      <w:ind w:left="567" w:hanging="567"/>
    </w:pPr>
  </w:style>
  <w:style w:type="paragraph" w:customStyle="1" w:styleId="EPComma">
    <w:name w:val="EPComma"/>
    <w:basedOn w:val="Normal"/>
    <w:rsid w:val="00C704E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704E0"/>
    <w:rPr>
      <w:sz w:val="24"/>
      <w:lang w:val="pt-PT"/>
    </w:rPr>
  </w:style>
  <w:style w:type="paragraph" w:styleId="Revision">
    <w:name w:val="Revision"/>
    <w:hidden/>
    <w:uiPriority w:val="99"/>
    <w:semiHidden/>
    <w:rsid w:val="001625D3"/>
    <w:rPr>
      <w:sz w:val="24"/>
      <w:lang w:val="pt-PT"/>
    </w:rPr>
  </w:style>
  <w:style w:type="character" w:styleId="CommentReference">
    <w:name w:val="annotation reference"/>
    <w:basedOn w:val="DefaultParagraphFont"/>
    <w:rsid w:val="009518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18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5184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51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184F"/>
    <w:rPr>
      <w:b/>
      <w:bCs/>
      <w:lang w:val="pt-PT"/>
    </w:rPr>
  </w:style>
  <w:style w:type="character" w:styleId="Hyperlink">
    <w:name w:val="Hyperlink"/>
    <w:basedOn w:val="DefaultParagraphFont"/>
    <w:rsid w:val="009518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2026-03-12T11:41:00Z</dcterms:created>
  <dcterms:modified xsi:type="dcterms:W3CDTF">2026-03-12T11:41:00Z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B10-0158, 0161, 0164, 0168, 0171 e 0174/2026</vt:lpwstr>
  </property>
  <property fmtid="{D5CDD505-2E9C-101B-9397-08002B2CF9AE}" pid="4" name="&lt;Type&gt;">
    <vt:lpwstr>RR</vt:lpwstr>
  </property>
</Properties>
</file>