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019EE" w14:paraId="6DCA6A9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99A0DF5" w14:textId="77777777" w:rsidR="00751A4A" w:rsidRPr="00E019EE" w:rsidRDefault="006A7E81" w:rsidP="0010095E">
            <w:pPr>
              <w:pStyle w:val="EPName"/>
            </w:pPr>
            <w:r w:rsidRPr="00E019EE">
              <w:t>Evropský parlament</w:t>
            </w:r>
          </w:p>
          <w:p w14:paraId="66163742" w14:textId="77777777" w:rsidR="00751A4A" w:rsidRPr="00E019E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019EE">
              <w:t>2024</w:t>
            </w:r>
            <w:r w:rsidR="00817416" w:rsidRPr="00E019EE">
              <w:t>-202</w:t>
            </w:r>
            <w:r w:rsidRPr="00E019EE">
              <w:t>9</w:t>
            </w:r>
          </w:p>
        </w:tc>
        <w:tc>
          <w:tcPr>
            <w:tcW w:w="2268" w:type="dxa"/>
            <w:shd w:val="clear" w:color="auto" w:fill="auto"/>
          </w:tcPr>
          <w:p w14:paraId="7D52D536" w14:textId="77777777" w:rsidR="00751A4A" w:rsidRPr="00E019EE" w:rsidRDefault="00187494" w:rsidP="0010095E">
            <w:pPr>
              <w:pStyle w:val="EPLogo"/>
            </w:pPr>
            <w:r w:rsidRPr="00E019EE">
              <w:rPr>
                <w:noProof/>
                <w:lang w:eastAsia="ja-JP"/>
              </w:rPr>
              <w:drawing>
                <wp:inline distT="0" distB="0" distL="0" distR="0" wp14:anchorId="7859FEFE" wp14:editId="2F98603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67BA9D" w14:textId="77777777" w:rsidR="00D058B8" w:rsidRPr="00E019EE" w:rsidRDefault="00D058B8" w:rsidP="004C5D52">
      <w:pPr>
        <w:pStyle w:val="LineTop"/>
      </w:pPr>
    </w:p>
    <w:p w14:paraId="6B6EBC79" w14:textId="77777777" w:rsidR="00680577" w:rsidRPr="00E019EE" w:rsidRDefault="006A7E81" w:rsidP="00680577">
      <w:pPr>
        <w:pStyle w:val="EPBodyTA1"/>
      </w:pPr>
      <w:r w:rsidRPr="00E019EE">
        <w:t>PŘIJATÉ TEXTY</w:t>
      </w:r>
    </w:p>
    <w:p w14:paraId="12416AF1" w14:textId="77777777" w:rsidR="00D058B8" w:rsidRPr="00E019EE" w:rsidRDefault="00D058B8" w:rsidP="00D058B8">
      <w:pPr>
        <w:pStyle w:val="LineBottom"/>
      </w:pPr>
    </w:p>
    <w:p w14:paraId="72B05220" w14:textId="5CC58FBD" w:rsidR="006A7E81" w:rsidRPr="00E019EE" w:rsidRDefault="006A7E81" w:rsidP="006A7E81">
      <w:pPr>
        <w:pStyle w:val="ATHeading1"/>
      </w:pPr>
      <w:bookmarkStart w:id="0" w:name="TANumber"/>
      <w:r w:rsidRPr="00E019EE">
        <w:t>P10_</w:t>
      </w:r>
      <w:proofErr w:type="gramStart"/>
      <w:r w:rsidRPr="00E019EE">
        <w:t>TA(</w:t>
      </w:r>
      <w:proofErr w:type="gramEnd"/>
      <w:r w:rsidRPr="00E019EE">
        <w:t>2026)00</w:t>
      </w:r>
      <w:bookmarkEnd w:id="0"/>
      <w:r w:rsidR="007356BF">
        <w:t>86</w:t>
      </w:r>
    </w:p>
    <w:p w14:paraId="714B86C4" w14:textId="77777777" w:rsidR="006A7E81" w:rsidRPr="00E019EE" w:rsidRDefault="006A7E81" w:rsidP="006A7E81">
      <w:pPr>
        <w:pStyle w:val="ATHeading2"/>
      </w:pPr>
      <w:bookmarkStart w:id="1" w:name="title"/>
      <w:r w:rsidRPr="00E019EE">
        <w:t>Mnohostranná jednání s ohledem na 14. ministerskou konferenci WTO v Yaoundé ve dnech 26. až 29. března 2026</w:t>
      </w:r>
      <w:bookmarkEnd w:id="1"/>
    </w:p>
    <w:p w14:paraId="797DF1D4" w14:textId="77777777" w:rsidR="006A7E81" w:rsidRPr="00E019EE" w:rsidRDefault="006A7E81" w:rsidP="006A7E81">
      <w:pPr>
        <w:rPr>
          <w:i/>
          <w:vanish/>
        </w:rPr>
      </w:pPr>
      <w:r w:rsidRPr="00E019EE">
        <w:rPr>
          <w:i/>
        </w:rPr>
        <w:fldChar w:fldCharType="begin"/>
      </w:r>
      <w:r w:rsidRPr="00E019EE">
        <w:rPr>
          <w:i/>
        </w:rPr>
        <w:instrText xml:space="preserve"> TC"(</w:instrText>
      </w:r>
      <w:bookmarkStart w:id="2" w:name="DocNumber"/>
      <w:r w:rsidRPr="00E019EE">
        <w:rPr>
          <w:i/>
        </w:rPr>
        <w:instrText>B10-0155/2026</w:instrText>
      </w:r>
      <w:bookmarkEnd w:id="2"/>
      <w:r w:rsidRPr="00E019EE">
        <w:rPr>
          <w:i/>
        </w:rPr>
        <w:instrText xml:space="preserve">)"\l3 \n&gt; \* MERGEFORMAT </w:instrText>
      </w:r>
      <w:r w:rsidRPr="00E019EE">
        <w:rPr>
          <w:i/>
        </w:rPr>
        <w:fldChar w:fldCharType="end"/>
      </w:r>
    </w:p>
    <w:p w14:paraId="6FB3501E" w14:textId="77777777" w:rsidR="006A7E81" w:rsidRPr="00E019EE" w:rsidRDefault="006A7E81" w:rsidP="006A7E81">
      <w:pPr>
        <w:rPr>
          <w:vanish/>
        </w:rPr>
      </w:pPr>
      <w:bookmarkStart w:id="3" w:name="PE"/>
      <w:r w:rsidRPr="00E019EE">
        <w:rPr>
          <w:vanish/>
        </w:rPr>
        <w:t>PE781.228</w:t>
      </w:r>
      <w:bookmarkEnd w:id="3"/>
    </w:p>
    <w:p w14:paraId="4D1583B6" w14:textId="1DA27CE7" w:rsidR="006A7E81" w:rsidRPr="00E019EE" w:rsidRDefault="006A7E81" w:rsidP="006A7E81">
      <w:pPr>
        <w:pStyle w:val="ATHeading3"/>
      </w:pPr>
      <w:bookmarkStart w:id="4" w:name="Sujet"/>
      <w:r w:rsidRPr="00E019EE">
        <w:t>Usnesení Evropského parlamentu ze dne</w:t>
      </w:r>
      <w:r w:rsidR="00C158E4">
        <w:t xml:space="preserve"> </w:t>
      </w:r>
      <w:r w:rsidR="007356BF">
        <w:t>12</w:t>
      </w:r>
      <w:r w:rsidR="00C158E4">
        <w:t>. března</w:t>
      </w:r>
      <w:r w:rsidRPr="00E019EE">
        <w:t xml:space="preserve"> 2026 o mnohostranných jednáních s ohledem na 14. ministerskou konferenci WTO v Yaoundé ve dnech 26. až 29. března 2026</w:t>
      </w:r>
      <w:bookmarkEnd w:id="4"/>
      <w:r w:rsidRPr="00E019EE">
        <w:t xml:space="preserve"> </w:t>
      </w:r>
      <w:bookmarkStart w:id="5" w:name="References"/>
      <w:r w:rsidRPr="00E019EE">
        <w:t>(2025/2875(RSP))</w:t>
      </w:r>
      <w:bookmarkEnd w:id="5"/>
    </w:p>
    <w:p w14:paraId="4D6ABDD9" w14:textId="77777777" w:rsidR="006A7E81" w:rsidRPr="00E019EE" w:rsidRDefault="006A7E81" w:rsidP="006A7E81"/>
    <w:p w14:paraId="2C1E45C8" w14:textId="77777777" w:rsidR="0077440C" w:rsidRPr="00E019EE" w:rsidRDefault="0077440C" w:rsidP="0077440C">
      <w:pPr>
        <w:pStyle w:val="Corps"/>
        <w:rPr>
          <w:rFonts w:eastAsia="Times New Roman"/>
          <w:i/>
          <w:iCs/>
          <w:bdr w:val="none" w:sz="0" w:space="0" w:color="auto"/>
        </w:rPr>
      </w:pPr>
      <w:bookmarkStart w:id="6" w:name="TextBodyBegin"/>
      <w:bookmarkEnd w:id="6"/>
      <w:r w:rsidRPr="00E019EE">
        <w:rPr>
          <w:i/>
          <w:bdr w:val="none" w:sz="0" w:space="0" w:color="auto"/>
        </w:rPr>
        <w:t>Evropský parlament,</w:t>
      </w:r>
    </w:p>
    <w:p w14:paraId="4839C2BA" w14:textId="77777777" w:rsidR="0077440C" w:rsidRPr="00E019EE" w:rsidRDefault="0077440C" w:rsidP="00C158E4">
      <w:pPr>
        <w:pStyle w:val="NormalHanging12a"/>
        <w:spacing w:before="360"/>
      </w:pPr>
      <w:r w:rsidRPr="00E019EE">
        <w:t>–</w:t>
      </w:r>
      <w:r w:rsidRPr="00E019EE">
        <w:tab/>
        <w:t>s ohledem na Marrákešskou dohodu ze dne 15. dubna 1994 o zřízení Světové obchodní organizace (WTO),</w:t>
      </w:r>
    </w:p>
    <w:p w14:paraId="6AF044CA" w14:textId="77777777" w:rsidR="0077440C" w:rsidRPr="00E019EE" w:rsidRDefault="0077440C" w:rsidP="0077440C">
      <w:pPr>
        <w:pStyle w:val="NormalHanging12a"/>
      </w:pPr>
      <w:r w:rsidRPr="00E019EE">
        <w:t>–</w:t>
      </w:r>
      <w:r w:rsidRPr="00E019EE">
        <w:tab/>
        <w:t>s ohledem na prohlášení ministrů přijaté dne 14. listopadu 2001 na ministerské konferenci WTO v Dohá,</w:t>
      </w:r>
    </w:p>
    <w:p w14:paraId="1E8BF6D1" w14:textId="77777777" w:rsidR="0077440C" w:rsidRPr="00E019EE" w:rsidRDefault="0077440C" w:rsidP="0077440C">
      <w:pPr>
        <w:pStyle w:val="NormalHanging12a"/>
      </w:pPr>
      <w:r w:rsidRPr="00E019EE">
        <w:t>–</w:t>
      </w:r>
      <w:r w:rsidRPr="00E019EE">
        <w:tab/>
        <w:t>s ohledem na svá předchozí usnesení o WTO, zejména na svá usnesení ze dne 8. února 2024 o vícestranných jednáních s ohledem na 13. Konferenci ministrů WTO v Abú Dhabí</w:t>
      </w:r>
      <w:r w:rsidRPr="00E019EE">
        <w:rPr>
          <w:vertAlign w:val="superscript"/>
        </w:rPr>
        <w:footnoteReference w:id="1"/>
      </w:r>
      <w:r w:rsidRPr="00E019EE">
        <w:t>, ze dne 25. listopadu 2021 o mnohostranných jednáních s ohledem na 12. zasedání Konference ministrů Světové obchodní organizace (WTO) v Ženevě</w:t>
      </w:r>
      <w:r w:rsidRPr="00E019EE">
        <w:rPr>
          <w:vertAlign w:val="superscript"/>
        </w:rPr>
        <w:footnoteReference w:id="2"/>
      </w:r>
      <w:r w:rsidRPr="00E019EE">
        <w:t>, ze dne 29. listopadu 2018 s názvem „Světová obchodní organizace: další postup“</w:t>
      </w:r>
      <w:r w:rsidRPr="00E019EE">
        <w:rPr>
          <w:vertAlign w:val="superscript"/>
        </w:rPr>
        <w:footnoteReference w:id="3"/>
      </w:r>
      <w:r w:rsidRPr="00E019EE">
        <w:t xml:space="preserve"> a ze dne 28. listopadu 2019 o krizi Odvolacího orgánu WTO</w:t>
      </w:r>
      <w:r w:rsidRPr="00E019EE">
        <w:rPr>
          <w:vertAlign w:val="superscript"/>
        </w:rPr>
        <w:footnoteReference w:id="4"/>
      </w:r>
      <w:r w:rsidRPr="00E019EE">
        <w:t>,</w:t>
      </w:r>
    </w:p>
    <w:p w14:paraId="7A886618" w14:textId="77777777" w:rsidR="0077440C" w:rsidRPr="00E019EE" w:rsidRDefault="0077440C" w:rsidP="0077440C">
      <w:pPr>
        <w:pStyle w:val="NormalHanging12a"/>
      </w:pPr>
      <w:r w:rsidRPr="00E019EE">
        <w:t>–</w:t>
      </w:r>
      <w:r w:rsidRPr="00E019EE">
        <w:tab/>
        <w:t>s ohledem na výsledné dokumenty o WTO přijaté na základě konsenzu na výročních zasedáních Parlamentní konference dne 25. února 2024 v Abú Dhabí, 7. prosince 2018 v Ženevě a 10. prosince 2017 v Buenos Aires,</w:t>
      </w:r>
    </w:p>
    <w:p w14:paraId="5DC1B36F" w14:textId="77777777" w:rsidR="0077440C" w:rsidRPr="00E019EE" w:rsidRDefault="0077440C" w:rsidP="0077440C">
      <w:pPr>
        <w:pStyle w:val="NormalHanging12a"/>
      </w:pPr>
      <w:r w:rsidRPr="00E019EE">
        <w:t>–</w:t>
      </w:r>
      <w:r w:rsidRPr="00E019EE">
        <w:tab/>
        <w:t>s ohledem na výsledky 13. zasedání Konference ministrů WTO, které se konalo v únoru 2024 Abú Dhabí a které zahrnovalo přijetí ministerského prohlášení z Abú Dhabí, které spojuje obchod s Agendou OSN pro udržitelný rozvoj 2030, a přistoupení Komor a Východního Timoru k WTO, ale nezahrnovalo dohody o klíčových oblastech, jako jsou subvence na rybolov, zemědělství a reforma řešení sporů,</w:t>
      </w:r>
    </w:p>
    <w:p w14:paraId="6B0D87F5" w14:textId="77777777" w:rsidR="0077440C" w:rsidRPr="00E019EE" w:rsidRDefault="0077440C" w:rsidP="0077440C">
      <w:pPr>
        <w:pStyle w:val="NormalHanging12a"/>
      </w:pPr>
      <w:r w:rsidRPr="00E019EE">
        <w:lastRenderedPageBreak/>
        <w:t>–</w:t>
      </w:r>
      <w:r w:rsidRPr="00E019EE">
        <w:tab/>
        <w:t>s ohledem na to, že dne 15. září 2025 vstoupila v platnost Dohoda WTO o subvencích na rybolov, která zavazuje členy, aby snížili miliardy ročních výdajů na nejškodlivější subvence přispívající k vyčerpání populací mořských ryb,</w:t>
      </w:r>
    </w:p>
    <w:p w14:paraId="0125ABA8" w14:textId="77777777" w:rsidR="0077440C" w:rsidRPr="00E019EE" w:rsidRDefault="0077440C" w:rsidP="0077440C">
      <w:pPr>
        <w:pStyle w:val="NormalHanging12a"/>
      </w:pPr>
      <w:r w:rsidRPr="00E019EE">
        <w:t>–</w:t>
      </w:r>
      <w:r w:rsidRPr="00E019EE">
        <w:tab/>
        <w:t>s ohledem na cíle udržitelného rozvoje OSN,</w:t>
      </w:r>
    </w:p>
    <w:p w14:paraId="1D370401" w14:textId="77777777" w:rsidR="0077440C" w:rsidRPr="00E019EE" w:rsidRDefault="0077440C" w:rsidP="0077440C">
      <w:pPr>
        <w:pStyle w:val="NormalHanging12a"/>
      </w:pPr>
      <w:r w:rsidRPr="00E019EE">
        <w:t>–</w:t>
      </w:r>
      <w:r w:rsidRPr="00E019EE">
        <w:tab/>
        <w:t>s ohledem na Pařížskou dohodu, která je součástí Rámcové úmluvy Organizace spojených národů o změně klimatu a jež nabyla účinnosti v listopadu 2016,</w:t>
      </w:r>
    </w:p>
    <w:p w14:paraId="62A16823" w14:textId="77777777" w:rsidR="0077440C" w:rsidRPr="00E019EE" w:rsidRDefault="0077440C" w:rsidP="0077440C">
      <w:pPr>
        <w:pStyle w:val="NormalHanging12a"/>
      </w:pPr>
      <w:r w:rsidRPr="00E019EE">
        <w:t>–</w:t>
      </w:r>
      <w:r w:rsidRPr="00E019EE">
        <w:tab/>
        <w:t>s ohledem na sdělení Komise ze dne 18. února 2021 nazvané „Přezkum obchodní politiky – Otevřená, udržitelná a sebevědomá obchodní politika“ a na jeho přílohu s názvem „Reforma WTO: Na cestě k udržitelnému a účinnému mnohostrannému obchodnímu systému“ (</w:t>
      </w:r>
      <w:proofErr w:type="gramStart"/>
      <w:r w:rsidRPr="00E019EE">
        <w:t>COM(</w:t>
      </w:r>
      <w:proofErr w:type="gramEnd"/>
      <w:r w:rsidRPr="00E019EE">
        <w:t>2021)0066),</w:t>
      </w:r>
    </w:p>
    <w:p w14:paraId="652500E2" w14:textId="77777777" w:rsidR="0077440C" w:rsidRPr="00E019EE" w:rsidRDefault="0077440C" w:rsidP="0077440C">
      <w:pPr>
        <w:pStyle w:val="NormalHanging12a"/>
      </w:pPr>
      <w:r w:rsidRPr="00E019EE">
        <w:t>–</w:t>
      </w:r>
      <w:r w:rsidRPr="00E019EE">
        <w:tab/>
        <w:t>s ohledem na čl. 136 odst. 2 jednacího řádu,</w:t>
      </w:r>
    </w:p>
    <w:p w14:paraId="579FD17D" w14:textId="77777777" w:rsidR="0077440C" w:rsidRPr="00E019EE" w:rsidRDefault="0077440C" w:rsidP="0077440C">
      <w:pPr>
        <w:pStyle w:val="NormalHanging12a"/>
      </w:pPr>
      <w:r w:rsidRPr="00E019EE">
        <w:t>–</w:t>
      </w:r>
      <w:r w:rsidRPr="00E019EE">
        <w:tab/>
        <w:t>s ohledem na návrh usnesení Výboru pro mezinárodní obchod,</w:t>
      </w:r>
    </w:p>
    <w:p w14:paraId="29349E20" w14:textId="77777777" w:rsidR="0077440C" w:rsidRPr="00E019EE" w:rsidRDefault="0077440C" w:rsidP="0077440C">
      <w:pPr>
        <w:pStyle w:val="NormalHanging12a"/>
      </w:pPr>
      <w:r w:rsidRPr="00E019EE">
        <w:t>A.</w:t>
      </w:r>
      <w:r w:rsidRPr="00E019EE">
        <w:tab/>
        <w:t>vzhledem k tomu, že WTO byla vytvořena za účelem další liberalizace obchodu se zbožím a službami, posílení multilateralismu a podpory spravedlivého, otevřeného, inkluzivního a nediskriminačního mnohostranného obchodního systému založeného na pravidlech s cílem usnadnit výměnu zboží a služeb, poskytnout příležitosti k zaměstnanosti, růstu a prosperitě a zlepšit životní podmínky lidí na celém světě; vzhledem k tomu, že hlavním cílem obchodní politiky EU je přispívat k harmonickému rozvoji světového obchodu, postupnému odstraňování omezení v mezinárodním obchodu a v oblasti přímých zahraničních investic a ke snižování celních a jiných překážek; vzhledem k tomu, že prvořadým mandátem WTO je zajistit přístup na trh, předvídatelnost a právní jistotu v oblasti mezinárodního obchodu a že by se z této organizace nemělo stát obecné politické fórum, které by šlo nad rámec svých hlavních obchodních funkcí; vzhledem k tomu, že obchod má zásadní význam a je klíčovým nástrojem pro podporu a doplnění úsilí o dosažení udržitelného růstu a zlepšení životní úrovně, zajištění plné a kvalitnější zaměstnanosti a velkého a trvale rostoucího objemu reálných příjmů v souladu s cílem udržitelného rozvoje;</w:t>
      </w:r>
    </w:p>
    <w:p w14:paraId="62A2F2D0" w14:textId="77777777" w:rsidR="0077440C" w:rsidRPr="00E019EE" w:rsidRDefault="0077440C" w:rsidP="0077440C">
      <w:pPr>
        <w:pStyle w:val="NormalHanging12a"/>
      </w:pPr>
      <w:r w:rsidRPr="00E019EE">
        <w:t>B.</w:t>
      </w:r>
      <w:r w:rsidRPr="00E019EE">
        <w:tab/>
        <w:t>vzhledem k tomu, že mnohostranný obchodní systém čelí vážným politickým a institucionálním výzvám; vzhledem k tomu, že tyto problémy nejsou způsobovány pouze institucionálními nedostatky, ale stále častějším zaváděním jednostranných a protekcionistických opatření, mj. vývozních omezení, diskriminačních subvencí a nespravedlivých obchodních praktik, které podkopávají důvěru, rozbíjejí globální hodnotové řetězce, poškozují světové hospodářství a prosperitu; vzhledem k tomu, že současné otřesy ve světovém obchodu vytvářejí obrovskou nejistotu a hospodářské náklady na celém světě, což jasně ukazuje, že zásadní význam pro prosperitu obchodu mají předvídatelná, stabilní a spravedlivá pravidla;</w:t>
      </w:r>
    </w:p>
    <w:p w14:paraId="2049F074" w14:textId="77777777" w:rsidR="0077440C" w:rsidRPr="00E019EE" w:rsidRDefault="0077440C" w:rsidP="0077440C">
      <w:pPr>
        <w:pStyle w:val="NormalHanging12a"/>
        <w:rPr>
          <w:bCs/>
          <w:iCs/>
        </w:rPr>
      </w:pPr>
      <w:r w:rsidRPr="00E019EE">
        <w:t>C.</w:t>
      </w:r>
      <w:r w:rsidRPr="00E019EE">
        <w:tab/>
        <w:t>vzhledem k tomu, že mnohostranný obchodní systém je i nadále velmi živý a aktivní, přičemž 72 % světového obchodu se dnes stále uskutečňuje podle pravidel týkajících se doložky nejvyšších výhod; vzhledem k tomu, že to ukazuje, že WTO i nadále nabízí životně důležitý rámec předvídatelnosti a stability v oblasti světového obchodu a že zachování jejích základních zásad a pravidel zůstává klíčové;</w:t>
      </w:r>
    </w:p>
    <w:p w14:paraId="4F9A5247" w14:textId="77777777" w:rsidR="0077440C" w:rsidRPr="00E019EE" w:rsidRDefault="0077440C" w:rsidP="0077440C">
      <w:pPr>
        <w:pStyle w:val="NormalHanging12a"/>
      </w:pPr>
      <w:r w:rsidRPr="00E019EE">
        <w:t>D.</w:t>
      </w:r>
      <w:r w:rsidRPr="00E019EE">
        <w:tab/>
        <w:t xml:space="preserve">vzhledem k tomu, že spolupráce s rozvojovými zeměmi a vzájemná angažovanost má </w:t>
      </w:r>
      <w:r w:rsidRPr="00E019EE">
        <w:lastRenderedPageBreak/>
        <w:t>zásadní význam pro zachování mnohostranného řádu založeného na pravidlech; vzhledem k tomu, že tato spolupráce by měla být založena na vzájemném respektu a skutečném odhodlání podporovat mezinárodní spolupráci;</w:t>
      </w:r>
    </w:p>
    <w:p w14:paraId="6E535A36" w14:textId="77777777" w:rsidR="0077440C" w:rsidRPr="00E019EE" w:rsidRDefault="0077440C" w:rsidP="0077440C">
      <w:pPr>
        <w:pStyle w:val="NormalHanging12a"/>
      </w:pPr>
      <w:r w:rsidRPr="00E019EE">
        <w:t>E.</w:t>
      </w:r>
      <w:r w:rsidRPr="00E019EE">
        <w:tab/>
        <w:t>vzhledem k tomu, že prostředí globálního obchodu se za posledních 30 let změnilo, mimo jiné díky hospodářskému pokroku klíčových zemí skupiny G20 i změnám jejich relativní váhy v celosvětovém obchodu a prostřednictvím většího počtu a rozmanitosti členů WTO; vzhledem k tomu, že WTO má potíže přizpůsobit se nové hospodářské a obchodní realitě, a není proto schopna splnit svůj ambiciózní program kvůli svému širokému členství a rozmanitosti zájmů; vzhledem k tomu, že globální obchodní systém je vystavený silnému tlaku, který vyplývá z rostoucího protekcionismu obchodní politiky USA, ale také z netržních politik a postupů Číny, které vytvářejí nadměrnou kapacitu a narušení trhu v rámci systému;</w:t>
      </w:r>
    </w:p>
    <w:p w14:paraId="0EB8C374" w14:textId="77777777" w:rsidR="0077440C" w:rsidRPr="00E019EE" w:rsidRDefault="0077440C" w:rsidP="0077440C">
      <w:pPr>
        <w:pStyle w:val="NormalHanging12a"/>
        <w:rPr>
          <w:bCs/>
          <w:iCs/>
        </w:rPr>
      </w:pPr>
      <w:r w:rsidRPr="00E019EE">
        <w:t>F.</w:t>
      </w:r>
      <w:r w:rsidRPr="00E019EE">
        <w:tab/>
        <w:t xml:space="preserve">vzhledem k tomu, že WTO je jedinečnou mnohostrannou organizací v tom smyslu, že má každá země stejné podmínky členství, že </w:t>
      </w:r>
      <w:proofErr w:type="gramStart"/>
      <w:r w:rsidRPr="00E019EE">
        <w:t>vytváří</w:t>
      </w:r>
      <w:proofErr w:type="gramEnd"/>
      <w:r w:rsidRPr="00E019EE">
        <w:t xml:space="preserve"> a řídí závazná pravidla obchodu mezi svými členy a že se opírá o právně závazný systém řešení sporů; vzhledem k tomu, že dobře fungující mnohostranný obchodní systém založený na pravidlech má zásadní význam pro zajištění konkurenceschopnosti evropského hospodářství, posílení odolnosti dodavatelských řetězců a podporu strategické odolnosti EU obecně;</w:t>
      </w:r>
    </w:p>
    <w:p w14:paraId="612EFA1A" w14:textId="77777777" w:rsidR="0077440C" w:rsidRPr="00E019EE" w:rsidRDefault="0077440C" w:rsidP="0077440C">
      <w:pPr>
        <w:pStyle w:val="NormalHanging12a"/>
      </w:pPr>
      <w:r w:rsidRPr="00E019EE">
        <w:t>G.</w:t>
      </w:r>
      <w:r w:rsidRPr="00E019EE">
        <w:tab/>
        <w:t>vzhledem k tomu, že stávající pravidla WTO týkající se subvencí nebyla přizpůsobena měnícím se podmínkám v globálním obchodu; vzhledem k tomu, že zastaralá pravidla nedokázala omezit zásahy státu narušující hospodářskou soutěž; vzhledem k tomu, že spravedlivá hospodářská soutěž a omezení vedlejších účinků průmyslových politik jsou základními předpoklady pro dosažení cílů industrializace rozvojových zemí;</w:t>
      </w:r>
    </w:p>
    <w:p w14:paraId="623DA3CA" w14:textId="77777777" w:rsidR="0077440C" w:rsidRPr="00E019EE" w:rsidRDefault="0077440C" w:rsidP="0077440C">
      <w:pPr>
        <w:pStyle w:val="NormalHanging12a"/>
      </w:pPr>
      <w:r w:rsidRPr="00E019EE">
        <w:t>H.</w:t>
      </w:r>
      <w:r w:rsidRPr="00E019EE">
        <w:tab/>
        <w:t>vzhledem k tomu, že WTO se musí těmto novým skutečnostem přizpůsobit a modernizovat se, aby odpovídala požadavkům 21. století a byla schopná řešit nové výzvy související s ekologickou a digitální transformací;</w:t>
      </w:r>
    </w:p>
    <w:p w14:paraId="71C16F3F" w14:textId="77777777" w:rsidR="0077440C" w:rsidRPr="00E019EE" w:rsidRDefault="0077440C" w:rsidP="0077440C">
      <w:pPr>
        <w:pStyle w:val="NormalHanging12a"/>
        <w:rPr>
          <w:bCs/>
          <w:iCs/>
        </w:rPr>
      </w:pPr>
      <w:r w:rsidRPr="00E019EE">
        <w:t>I.</w:t>
      </w:r>
      <w:r w:rsidRPr="00E019EE">
        <w:tab/>
        <w:t xml:space="preserve">vzhledem k tomu, že zpráva OSN o obchodu a rozvoji z roku 2025 </w:t>
      </w:r>
      <w:r w:rsidRPr="00E019EE">
        <w:rPr>
          <w:bCs/>
          <w:iCs/>
          <w:vertAlign w:val="superscript"/>
        </w:rPr>
        <w:footnoteReference w:id="5"/>
      </w:r>
      <w:r w:rsidRPr="00E019EE">
        <w:t xml:space="preserve"> prokázala, že na rozdíl od argumentů odpůrců moratoria na elektronický obchod by příjmy z digitálního zdanění byly omezené a mohly by ohrozit konkurenceschopnost a obchod;</w:t>
      </w:r>
    </w:p>
    <w:p w14:paraId="24D5AF30" w14:textId="77777777" w:rsidR="0077440C" w:rsidRPr="00E019EE" w:rsidRDefault="0077440C" w:rsidP="0077440C">
      <w:pPr>
        <w:pStyle w:val="NormalHanging12a"/>
      </w:pPr>
      <w:r w:rsidRPr="00E019EE">
        <w:t>J.</w:t>
      </w:r>
      <w:r w:rsidRPr="00E019EE">
        <w:tab/>
        <w:t>vzhledem k tomu, že Dohoda WTO o subvencích na rybolov, která byla schválena na 12. Konferenci ministrů a vstoupila v platnost v září 2025, je vůbec první mnohostrannou obchodní dohodou, jejímž jádrem je environmentální udržitelnost, a stanoví závazný soubor globálních pravidel, která mají pomoci omezit škodlivé subvence ve výši přibližně 22 miliard USD ročně, jež vlády poskytují odvětví rybolovu, jak je stanoveno v cíli udržitelného rozvoje č. 14.6;</w:t>
      </w:r>
    </w:p>
    <w:p w14:paraId="34AE7C1C" w14:textId="77777777" w:rsidR="0077440C" w:rsidRPr="00E019EE" w:rsidRDefault="0077440C" w:rsidP="0077440C">
      <w:pPr>
        <w:pStyle w:val="NormalHanging12a"/>
      </w:pPr>
      <w:r w:rsidRPr="00E019EE">
        <w:t>K.</w:t>
      </w:r>
      <w:r w:rsidRPr="00E019EE">
        <w:tab/>
        <w:t xml:space="preserve">vzhledem k tomu, že potravinové zabezpečení zůstává výzvou, neboť v roce 2022 bylo 258 milionů lidí klasifikováno jako osoby v krizi nebo v závažnějších fázích akutního nedostatku potravin, což představuje nárůst oproti 193 milionům v roce 2021; vzhledem k tomu, že dohoda o zemědělství z uruguayského kola jednání WTO výslovně uznává, že je důležité, aby se v probíhajících jednáních věnoval prostor otázce potravinového zabezpečení; vzhledem k tomu, že obchod může zvýšit dostupnost potravin v regionech </w:t>
      </w:r>
      <w:r w:rsidRPr="00E019EE">
        <w:lastRenderedPageBreak/>
        <w:t>s omezenými zdroji a může přispět ke zlepšení ekonomického přístupu k potravinám, neboť vytváří pracovní příležitosti a zvyšuje příjmy;</w:t>
      </w:r>
    </w:p>
    <w:p w14:paraId="24DC1670" w14:textId="77777777" w:rsidR="0077440C" w:rsidRPr="00E019EE" w:rsidRDefault="0077440C" w:rsidP="0077440C">
      <w:pPr>
        <w:pStyle w:val="NormalHanging12a"/>
      </w:pPr>
      <w:r w:rsidRPr="00E019EE">
        <w:t>L.</w:t>
      </w:r>
      <w:r w:rsidRPr="00E019EE">
        <w:tab/>
        <w:t>vzhledem k tomu, že dne 11. prosince 2019 přestal fungovat Odvolací orgán WTO, jenž byl funkčním, nezávislým a nestranným orgánem odvolací instance v případech řešení sporů; vzhledem k tomu, že diskuse o reformě řešení sporů, která je od 13. zasedání Konference ministrů vedená zprostředkovatelem, dosud nepřinesla uspokojivé výsledky;</w:t>
      </w:r>
    </w:p>
    <w:p w14:paraId="2A559F7B" w14:textId="77777777" w:rsidR="0077440C" w:rsidRPr="00E019EE" w:rsidRDefault="0077440C" w:rsidP="0077440C">
      <w:pPr>
        <w:pStyle w:val="NormalHanging12a"/>
      </w:pPr>
      <w:r w:rsidRPr="00E019EE">
        <w:t>M.</w:t>
      </w:r>
      <w:r w:rsidRPr="00E019EE">
        <w:tab/>
        <w:t>vzhledem k tomu, že Evropský parlament spolu s Meziparlamentní unií hraje již více než 20 let klíčovou úlohu při vytváření parlamentního rozměru WTO prostřednictvím Parlamentní konference o WTO;</w:t>
      </w:r>
    </w:p>
    <w:p w14:paraId="31D3EE87" w14:textId="77777777" w:rsidR="0077440C" w:rsidRPr="00E019EE" w:rsidRDefault="0077440C" w:rsidP="0077440C">
      <w:pPr>
        <w:pStyle w:val="NormalHanging12a"/>
      </w:pPr>
      <w:r w:rsidRPr="00E019EE">
        <w:t>N.</w:t>
      </w:r>
      <w:r w:rsidRPr="00E019EE">
        <w:tab/>
        <w:t>vzhledem k tomu, že na veřejném fóru WTO, které se konalo ve dnech 17. a 18. září 2025, organizátoři aktivně vybízeli k posílenému a strukturovanému zapojení soukromého sektoru a uznali jeho zásadní úlohu v oblasti podpory otevřeného, předvídatelného a inkluzivního mnohostranného obchodního systému;</w:t>
      </w:r>
    </w:p>
    <w:p w14:paraId="2A727767" w14:textId="77777777" w:rsidR="0077440C" w:rsidRPr="00E019EE" w:rsidRDefault="0077440C" w:rsidP="0077440C">
      <w:pPr>
        <w:pStyle w:val="NormalHanging12a"/>
      </w:pPr>
      <w:r w:rsidRPr="00E019EE">
        <w:t>O.</w:t>
      </w:r>
      <w:r w:rsidRPr="00E019EE">
        <w:tab/>
        <w:t>vzhledem k tomu, že 14. zasedání Konference ministrů WTO (MC14) se uskuteční v kamerunském Yaoundé ve dnech 26. až 29. března 2026;</w:t>
      </w:r>
    </w:p>
    <w:p w14:paraId="045B7367" w14:textId="77777777" w:rsidR="0077440C" w:rsidRPr="00E019EE" w:rsidRDefault="0077440C" w:rsidP="0077440C">
      <w:pPr>
        <w:pStyle w:val="NormalHanging12a"/>
      </w:pPr>
      <w:r w:rsidRPr="00E019EE">
        <w:t>1.</w:t>
      </w:r>
      <w:r w:rsidRPr="00E019EE">
        <w:tab/>
        <w:t>znovu opakuje, že je plně odhodlán prosazovat trvalou hodnotu multilateralismu, a zdůrazňuje, že pro řízení obchodu je nepostradatelný modernizovaný mnohostranný systém; vyzývá k přijetí obchodní agendy založené na otevřeném a spravedlivém obchodu podle pravidel ve prospěch všech, která přispěje k udržitelnému hospodářskému rozvoji, a posílí tak mír a bezpečnost; poukazuje na to, že WTO by měla podporovat realizaci sociálních a environmentálních práv, včetně cílů udržitelného rozvoje a měla by zajistit, aby mnohostranně dohodnutá a harmonizovaná pravidla byla uplatňována všemi stranami;</w:t>
      </w:r>
    </w:p>
    <w:p w14:paraId="4366E6BF" w14:textId="77777777" w:rsidR="0077440C" w:rsidRPr="00E019EE" w:rsidRDefault="0077440C" w:rsidP="0077440C">
      <w:pPr>
        <w:pStyle w:val="NormalHanging12a"/>
      </w:pPr>
      <w:r w:rsidRPr="00E019EE">
        <w:t>2.</w:t>
      </w:r>
      <w:r w:rsidRPr="00E019EE">
        <w:tab/>
        <w:t>naléhavě vyzývá všechny členy WTO, aby se vzhledem k existenciální hrozbě, které mnohostranný obchodní systém čelí, zavázali k tomu, že 14. Konference ministrů povede k úspěšnému výsledku; domnívá se, že 14. Konference ministrů by měla být výchozím bodem pro pokrok a modernizaci WTO, aby byla schopna čelit výzvám 21. století; vyzývá WTO, aby namísto současného dvouletého cyklu začala pořádat ministerské konference jednou ročně, čímž by se posílilo politické řízení, odpovědnost a schopnost WTO včas reagovat na výzvy globálního obchodu;</w:t>
      </w:r>
    </w:p>
    <w:p w14:paraId="5DAF0D4B" w14:textId="77777777" w:rsidR="0077440C" w:rsidRPr="00E019EE" w:rsidRDefault="0077440C" w:rsidP="0077440C">
      <w:pPr>
        <w:pStyle w:val="NormalHanging12a"/>
        <w:rPr>
          <w:bCs/>
          <w:i/>
          <w:iCs/>
        </w:rPr>
      </w:pPr>
      <w:r w:rsidRPr="00E019EE">
        <w:rPr>
          <w:b/>
          <w:i/>
        </w:rPr>
        <w:t>Modernizace WTO</w:t>
      </w:r>
    </w:p>
    <w:p w14:paraId="1F9DE345" w14:textId="77777777" w:rsidR="0077440C" w:rsidRPr="00E019EE" w:rsidRDefault="0077440C" w:rsidP="0077440C">
      <w:pPr>
        <w:pStyle w:val="NormalHanging12a"/>
      </w:pPr>
      <w:r w:rsidRPr="00E019EE">
        <w:t>3.</w:t>
      </w:r>
      <w:r w:rsidRPr="00E019EE">
        <w:tab/>
        <w:t>vyzývá členy WTO, aby přijali komplexní balíček, který přezkoumá monitorovací, vyjednávací a rozhodovací funkce WTO a funkce řešení sporů; plně podporuje proces modernizace WTO pod vedením zprostředkovatele a program 14. zasedání Konference ministrů týkající se komplexní modernizace WTO a souhlasí se třemi okruhy, jež zprostředkovatel navrhl, jimiž jsou konkrétně řízení, spravedlnost (rovné podmínky a vyvážený obchod) a „problémy naší doby“; vyzývá ke schválení jasného plánu reforem na 14. zasedání Konference ministrů s cílem zajistit, že na 15. zasedání Konference ministrů bude možné schválit modernizaci;</w:t>
      </w:r>
    </w:p>
    <w:p w14:paraId="07248C8F" w14:textId="77777777" w:rsidR="0077440C" w:rsidRPr="00E019EE" w:rsidRDefault="0077440C" w:rsidP="0077440C">
      <w:pPr>
        <w:pStyle w:val="NormalHanging12a"/>
      </w:pPr>
      <w:r w:rsidRPr="00E019EE">
        <w:t>4.</w:t>
      </w:r>
      <w:r w:rsidRPr="00E019EE">
        <w:tab/>
        <w:t xml:space="preserve">zdůrazňuje, že základním kamenem mnohostranného obchodního systému zůstává předvídatelnost a že základní pravidla WTO, včetně pravidel týkajících se určování </w:t>
      </w:r>
      <w:r w:rsidRPr="00E019EE">
        <w:lastRenderedPageBreak/>
        <w:t>celní hodnoty, sanitárních a fytosanitárních opatření, technických překážek obchodu, usnadnění obchodu a duševního vlastnictví, nadále poskytují vládám a podnikům na celém světě základní právní jistotu;</w:t>
      </w:r>
    </w:p>
    <w:p w14:paraId="20311029" w14:textId="77777777" w:rsidR="0077440C" w:rsidRPr="00E019EE" w:rsidRDefault="0077440C" w:rsidP="0077440C">
      <w:pPr>
        <w:pStyle w:val="NormalHanging12a"/>
      </w:pPr>
      <w:r w:rsidRPr="00E019EE">
        <w:t>5.</w:t>
      </w:r>
      <w:r w:rsidRPr="00E019EE">
        <w:tab/>
        <w:t>domnívá se, že praxe, kdy je konsenzus při rozhodování mezi 166 členy WTO postaven na roveň jednomyslnosti, přispěla k paralýze této organizace; trvá na tom, že WTO se musí poučit od jiných mezinárodních organizací a rozlišovat mezi různými typy rozhodnutí a rovněž vést konstruktivní diskusi o praxi konsensu a odlišovat ho od jednomyslnosti; zdůrazňuje, že WTO by měla prozkoumat možnost účinnějšího a pružnějšího rozhodování, včetně uplatňování koncepce „odpovědného konsensu“, kdy by členové byli vybízeni k tomu, aby uplatňovali své právo veta pouze v nezbytných případech a poskytovali jasné odůvodnění, čímž by se podpořila odpovědnost a konstruktivní účast; dále zdůrazňuje, že WTO by měla přezkoumat i možnost zřízení řídícího nebo výkonného orgánu, který by měl zvláštní úlohou při stanovování agendy nebo by plnil dozorčí funkce, obdobně jako u výkonné rady Mezinárodního měnového fondu a Světové banky;</w:t>
      </w:r>
    </w:p>
    <w:p w14:paraId="1545AFF1" w14:textId="77777777" w:rsidR="0077440C" w:rsidRPr="00E019EE" w:rsidRDefault="0077440C" w:rsidP="0077440C">
      <w:pPr>
        <w:pStyle w:val="NormalHanging12a"/>
      </w:pPr>
      <w:r w:rsidRPr="00E019EE">
        <w:t>6.</w:t>
      </w:r>
      <w:r w:rsidRPr="00E019EE">
        <w:tab/>
        <w:t>podporuje pokrok v jednáních o mnohostranných dohodách a zároveň zdůrazňuje, že je třeba usnadnit začlenění vícestranných dohod do mnohostranné struktury, aby bylo možné dosáhnout pokroku v oblastech, které ještě nejsou dostatečně rozvinuté, pro všechny členy; zdůrazňuje, že otevřené vícestranné iniciativy by měly umožnit všem ochotným členům pokročit kupředu; znovu proto členy WTO vyzývá, aby se zamysleli nad tím, jak lze vytvořit nový systém, v němž by jediný člen nebo skupina nezúčastněných členů nemohli blokovat užší spolupráci v rámci vícestranné iniciativy, zejména pokud je založena na doložce nejvyšších výhod, a výhody se tedy vztahují na členy WTO jako celek, a aby na tomto základě zavedli jednoduchý mechanismus, který by umožnil začlenit výsledné dohody do struktury WTO;</w:t>
      </w:r>
    </w:p>
    <w:p w14:paraId="2D7B6920" w14:textId="77777777" w:rsidR="0077440C" w:rsidRPr="00E019EE" w:rsidRDefault="0077440C" w:rsidP="0077440C">
      <w:pPr>
        <w:pStyle w:val="NormalHanging12a"/>
        <w:rPr>
          <w:i/>
        </w:rPr>
      </w:pPr>
      <w:r w:rsidRPr="00E019EE">
        <w:t>7.</w:t>
      </w:r>
      <w:r w:rsidRPr="00E019EE">
        <w:tab/>
        <w:t>vyjadřuje politování nad nárůstem protekcionistických obchodních politik na celém světě a nad rozhodnutím USA uvalit dodatečná cla na dovozy od obchodních partnerů, včetně EU, čímž se bez jakéhokoli odůvodnění odchýlily od zásady nejvyšších výhod; vyzývá Spojené státy, aby konstruktivně spolupracovaly se členy WTO na posilování, nikoli oslabování mnohostranného obchodního systému, a prokázaly tak celosvětové vedoucí postavení, a aby na 14. zasedání Konference ministrů dosáhly konkrétních výsledků; vítá skutečnost, že Spojené státy jmenovaly velvyslance ve WTO;</w:t>
      </w:r>
    </w:p>
    <w:p w14:paraId="727CA96B" w14:textId="77777777" w:rsidR="0077440C" w:rsidRPr="00E019EE" w:rsidRDefault="0077440C" w:rsidP="0077440C">
      <w:pPr>
        <w:pStyle w:val="NormalHanging12a"/>
        <w:rPr>
          <w:bCs/>
          <w:iCs/>
        </w:rPr>
      </w:pPr>
      <w:r w:rsidRPr="00E019EE">
        <w:t>8.</w:t>
      </w:r>
      <w:r w:rsidRPr="00E019EE">
        <w:tab/>
        <w:t>znovu potvrzuje, že zásada doložky nejvyšších výhod je základním kamenem mnohostranného obchodního systému; poukazuje na její ústřední úlohu při zajišťování nediskriminace, předvídatelnosti a spravedlnosti v mezinárodním obchodu; zdůrazňuje, že jakákoli modernizace WTO by měla proběhnout změnou systému, spíše než jeho nerespektováním;</w:t>
      </w:r>
    </w:p>
    <w:p w14:paraId="337C61F0" w14:textId="77777777" w:rsidR="0077440C" w:rsidRPr="00E019EE" w:rsidRDefault="0077440C" w:rsidP="0077440C">
      <w:pPr>
        <w:pStyle w:val="NormalHanging12a"/>
        <w:rPr>
          <w:bCs/>
          <w:iCs/>
        </w:rPr>
      </w:pPr>
      <w:r w:rsidRPr="00E019EE">
        <w:t>9.</w:t>
      </w:r>
      <w:r w:rsidRPr="00E019EE">
        <w:tab/>
        <w:t>uznává ambice Indie řešit dlouhodobou otázku držení veřejných zásob pro účely potravinového zabezpečení, ale vyjadřuje politování nad jejím nedostatečným sladěním s EU ohledně moratoria na elektronický obchod, jednání o subvencích na ryby a všeobecného pokroku v mnohostranných jednáních; vyzývá Indii, aby umožnila ostatním členům WTO dosáhnout pokroku ve všech těchto otázkách; dále vyjadřuje politování nad tím, že Indie se rovněž postavila proti rozšíření mandátu WTO o nové otázky týkající se klimatu, práce a rovnosti žen a mužů; vyzývá Komisi, aby řešila také tyto otázky v nedávno uzavřené obchodní dohodě mezi EU a Indií;</w:t>
      </w:r>
    </w:p>
    <w:p w14:paraId="45C5F59A" w14:textId="77777777" w:rsidR="0077440C" w:rsidRPr="00E019EE" w:rsidRDefault="0077440C" w:rsidP="0077440C">
      <w:pPr>
        <w:pStyle w:val="NormalHanging12a"/>
      </w:pPr>
      <w:r w:rsidRPr="00E019EE">
        <w:lastRenderedPageBreak/>
        <w:t>10.</w:t>
      </w:r>
      <w:r w:rsidRPr="00E019EE">
        <w:tab/>
        <w:t>bere na vědomí rozhodnutí Číny vzdát se výhod zvláštního a diferencovaného zacházení poskytovaného členstvím ve WTO v budoucích dohodách WTO, jak již učinily jiné velké rozvojové členské státy; vyzývá Čínu, aby zajistila, že tento závazek se zpětně promítne i do provádění stávajících dohod WTO;</w:t>
      </w:r>
    </w:p>
    <w:p w14:paraId="566BDE60" w14:textId="77777777" w:rsidR="0077440C" w:rsidRPr="00E019EE" w:rsidRDefault="0077440C" w:rsidP="0077440C">
      <w:pPr>
        <w:pStyle w:val="NormalHanging12a"/>
      </w:pPr>
      <w:r w:rsidRPr="00E019EE">
        <w:t>11.</w:t>
      </w:r>
      <w:r w:rsidRPr="00E019EE">
        <w:tab/>
        <w:t>připomíná, že rozsáhlé využívání státních podniků, netransparentních dotací a státem řízených průmyslových politik ze strany Číny nadále způsobuje značné nadměrné kapacity a narušení světového obchodu; vyjadřuje politování nad tím, že Čína zneužívá obchodu a závislostí jako zbraně a nad jejím systémem kontroly vývozu, v němž chybí odůvodnění zboží dvojího užití; vyzývá Čínu, aby své závazky v rámci WTO sladila se svým hospodářským postavením a aby přijala opatření k zajištění rovných podmínek, řešení těchto otázek a k podpoře modernizace WTO;</w:t>
      </w:r>
    </w:p>
    <w:p w14:paraId="033EE305" w14:textId="77777777" w:rsidR="0077440C" w:rsidRPr="00E019EE" w:rsidRDefault="0077440C" w:rsidP="0077440C">
      <w:pPr>
        <w:pStyle w:val="NormalHanging12a"/>
      </w:pPr>
      <w:r w:rsidRPr="00E019EE">
        <w:t>12.</w:t>
      </w:r>
      <w:r w:rsidRPr="00E019EE">
        <w:tab/>
        <w:t>zdůrazňuje, že je třeba, aby podobně smýšlející partneři, kteří jsou odhodláni prosazovat a posilovat mnohostranný obchodní řád založený na pravidlech, jehož jádrem je WTO, spolupracovali ještě úžeji; trvá na tom, že v této náročné situaci musí být EU i nadále odhodlána být spolehlivým partnerem a podporovat obchod založený na pravidlech;</w:t>
      </w:r>
    </w:p>
    <w:p w14:paraId="1E97D7A3" w14:textId="77777777" w:rsidR="0077440C" w:rsidRPr="00E019EE" w:rsidRDefault="0077440C" w:rsidP="0077440C">
      <w:pPr>
        <w:pStyle w:val="NormalHanging12a"/>
      </w:pPr>
      <w:r w:rsidRPr="00E019EE">
        <w:t>13.</w:t>
      </w:r>
      <w:r w:rsidRPr="00E019EE">
        <w:tab/>
        <w:t>vyzývá členy WTO, aby obnovili plně funkční, nezávislý, závazný a dvoustupňový systém řešení sporů jako nepostradatelný pilíř pro předvídatelnost, který zajistí, že pravidla budou prosazována prostřednictvím práva, a nikoli jednostrannými opatřeními, bez ohledu na ekonomickou velikost nebo moc členů;</w:t>
      </w:r>
    </w:p>
    <w:p w14:paraId="4238511F" w14:textId="77777777" w:rsidR="0077440C" w:rsidRPr="00E019EE" w:rsidRDefault="0077440C" w:rsidP="0077440C">
      <w:pPr>
        <w:pStyle w:val="NormalHanging12a"/>
      </w:pPr>
      <w:r w:rsidRPr="00E019EE">
        <w:t>14.</w:t>
      </w:r>
      <w:r w:rsidRPr="00E019EE">
        <w:tab/>
        <w:t>vítá skutečnost, že 58 členů WTO (pokrývajících téměř 60 % světového obchodu) se připojilo k Mnohostrannému prozatímnímu ujednání o odvolání při rozhodčím řízení (MPIA) jako dočasnému opatření do doby, než bude znovu zaveden plně funkční systém WTO pro řešení sporů; vyzývá ostatní členy, aby se připojili k MPIA a prokázali tak svůj závazek ke spravedlivému a funkčnímu systému řešení sporů; zdůrazňuje, že MPIA je dočasným a dobrovolným řešením a nesmí se stát trvalou náhradou za multilaterální odvolací mechanismus platný pro všechny členy WTO;</w:t>
      </w:r>
    </w:p>
    <w:p w14:paraId="058CF8FE" w14:textId="77777777" w:rsidR="0077440C" w:rsidRPr="00E019EE" w:rsidRDefault="0077440C" w:rsidP="0077440C">
      <w:pPr>
        <w:pStyle w:val="NormalHanging12a"/>
        <w:rPr>
          <w:bCs/>
          <w:i/>
          <w:iCs/>
        </w:rPr>
      </w:pPr>
      <w:r w:rsidRPr="00E019EE">
        <w:rPr>
          <w:b/>
          <w:i/>
        </w:rPr>
        <w:t>Rovné podmínky</w:t>
      </w:r>
    </w:p>
    <w:p w14:paraId="0C38DCE0" w14:textId="77777777" w:rsidR="0077440C" w:rsidRPr="00E019EE" w:rsidRDefault="0077440C" w:rsidP="0077440C">
      <w:pPr>
        <w:pStyle w:val="NormalHanging12a"/>
      </w:pPr>
      <w:r w:rsidRPr="00E019EE">
        <w:t>15.</w:t>
      </w:r>
      <w:r w:rsidRPr="00E019EE">
        <w:tab/>
        <w:t>trvá na tom, že spravedlnost je základem trvalého a důvěryhodného systému; konstatuje, že současné státní zásahy narušující hospodářskou soutěž, včetně rozsáhlých odvětvových subvencí a mimotržních praktik, které vedly k napětí mezi členy a k nákladnému soupeření v poskytování subvencí, ukázaly, že stávající pravidla pro poskytování subvencí nebyla přizpůsobena měnícím se podmínkám ve světovém obchodu; trvá na tom, že reforma pravidel WTO týkajících se průmyslových subvencí a státních zásahů musí být založena na třech vzájemně se doplňujících pilířích: větší transparentnosti a oznamovací povinnosti, posílených a jasnějších pravidlech a účinnějších nápravných opatřeních k řešení negativních vedlejších účinků a nadbytečné kapacity; žádá, aby se tato otázka řešila jako ústřední část modernizace WTO, stejně jako ostatní otázky týkající se modernizace; vyjadřuje podporu procesu neformálních jednání jako prostředku ke zvýšení společného porozumění mezi členy WTO a k vytvoření podmínek pro tvorbu pravidel;</w:t>
      </w:r>
    </w:p>
    <w:p w14:paraId="7C7E447B" w14:textId="77777777" w:rsidR="0077440C" w:rsidRPr="00E019EE" w:rsidRDefault="0077440C" w:rsidP="0077440C">
      <w:pPr>
        <w:pStyle w:val="NormalHanging12a"/>
        <w:rPr>
          <w:bCs/>
          <w:iCs/>
        </w:rPr>
      </w:pPr>
      <w:r w:rsidRPr="00E019EE">
        <w:t>16.</w:t>
      </w:r>
      <w:r w:rsidRPr="00E019EE">
        <w:tab/>
        <w:t xml:space="preserve">Zdůrazňuje, že pravidla WTO a budoucí pravidla musí být slučitelná s cíli Pařížské dohody a dalších příslušných mnohostranných dohod v oblasti životního prostředí a podporovat přechod ke klimaticky neutrálním ekonomikám a rovněž účinně řešit negativní vedlejší účinky, jako je nadměrná kapacita a dodavatelské řetězce s vysokými </w:t>
      </w:r>
      <w:r w:rsidRPr="00E019EE">
        <w:lastRenderedPageBreak/>
        <w:t>emisemi uhlíku, a zároveň se vyhnout neodůvodněným obchodním omezením;</w:t>
      </w:r>
    </w:p>
    <w:p w14:paraId="13160AFD" w14:textId="77777777" w:rsidR="0077440C" w:rsidRPr="00E019EE" w:rsidRDefault="0077440C" w:rsidP="0077440C">
      <w:pPr>
        <w:pStyle w:val="NormalHanging12a"/>
        <w:rPr>
          <w:bCs/>
          <w:i/>
          <w:iCs/>
        </w:rPr>
      </w:pPr>
      <w:r w:rsidRPr="00E019EE">
        <w:rPr>
          <w:b/>
          <w:i/>
        </w:rPr>
        <w:t>Rozvojový rozměr</w:t>
      </w:r>
    </w:p>
    <w:p w14:paraId="4FB03964" w14:textId="77777777" w:rsidR="0077440C" w:rsidRPr="00E019EE" w:rsidRDefault="0077440C" w:rsidP="0077440C">
      <w:pPr>
        <w:pStyle w:val="NormalHanging12a"/>
      </w:pPr>
      <w:r w:rsidRPr="00E019EE">
        <w:t>17.</w:t>
      </w:r>
      <w:r w:rsidRPr="00E019EE">
        <w:tab/>
        <w:t>vítá skutečnost, že v září 2025 vstoupila v platnost první Dohoda o subvencích na rybolov; zdůrazňuje, že je mimořádně důležité urychleně dosáhnout dohody o pravidlech pro subvence na rybolov, které přispívají k nadměrné kapacitě a nadměrnému rybolovu a jež představují více než polovinu všech subvencí do odvětví rybolovu, aby se zabránilo vyčerpání biologických mořských zdrojů a umožnilo se jejich udržitelné řízení, přičemž je třeba respektovat potřebu zvláštního a diferencovaného zacházení v souladu s cílem udržitelného rozvoje č. 14.6;</w:t>
      </w:r>
    </w:p>
    <w:p w14:paraId="369694FC" w14:textId="77777777" w:rsidR="0077440C" w:rsidRPr="00E019EE" w:rsidRDefault="0077440C" w:rsidP="0077440C">
      <w:pPr>
        <w:pStyle w:val="NormalHanging12a"/>
        <w:rPr>
          <w:bCs/>
          <w:iCs/>
        </w:rPr>
      </w:pPr>
      <w:r w:rsidRPr="00E019EE">
        <w:t>18.</w:t>
      </w:r>
      <w:r w:rsidRPr="00E019EE">
        <w:tab/>
        <w:t xml:space="preserve">zdůrazňuje, že je třeba posílit a začlenit rozvojový rozměr WTO, mimo jiné prostřednictvím procesu modernizace WTO, a to uznáním rozmanitosti hospodářské situace rozvojových zemí a zamezením jednotnému uplatňování zvláštního a diferencovaného zacházení a zpřesněním ustanovení o zvláštním a diferencovaném zacházení a jejich větším založením na důkazech a potřebách, s pravidelným přezkumem, včetně jasných mechanismů postupného ukončování, aby lépe vyhovovaly potřebám rozvojových zemí, včetně nejméně rozvinutých zemí; zdůrazňuje dále, že samotné </w:t>
      </w:r>
      <w:proofErr w:type="spellStart"/>
      <w:r w:rsidRPr="00E019EE">
        <w:t>sebeoznačení</w:t>
      </w:r>
      <w:proofErr w:type="spellEnd"/>
      <w:r w:rsidRPr="00E019EE">
        <w:t xml:space="preserve"> rozvojového statutu členy nemůže zůstat jediným kritériem pro zvláštní a diferencované zacházení, a požaduje objektivní, transparentní a pravidelně revidovaná kritéria, přičemž je třeba zajistit dostatečnou flexibilitu pro nejchudší a nejzranitelnější země;</w:t>
      </w:r>
    </w:p>
    <w:p w14:paraId="49DE515A" w14:textId="77777777" w:rsidR="0077440C" w:rsidRPr="00E019EE" w:rsidRDefault="0077440C" w:rsidP="0077440C">
      <w:pPr>
        <w:pStyle w:val="NormalHanging12a"/>
      </w:pPr>
      <w:r w:rsidRPr="00E019EE">
        <w:t>19.</w:t>
      </w:r>
      <w:r w:rsidRPr="00E019EE">
        <w:tab/>
        <w:t>vítá uzavření jednání o dohodě o usnadnění investic pro rozvoj s cílem vytvořit spravedlivější, transparentnější, účinnější a předvídatelnější prostředí pro usnadnění přeshraničních investic a účasti rozvojových zemí na globálních investičních tocích; vítá podporu 128 členů (ze 166), včetně 91 rozvojových ekonomik (z nichž 27 jsou nejméně rozvinuté země), a naléhavě vyzývá zbývající členy, aby stáhli svůj nesouhlas a začlenili tuto dohodu do souboru pravidel WTO podle přílohy 4: Vícestranné obchodní dohody;</w:t>
      </w:r>
    </w:p>
    <w:p w14:paraId="70E3C04F" w14:textId="77777777" w:rsidR="0077440C" w:rsidRPr="00E019EE" w:rsidRDefault="0077440C" w:rsidP="0077440C">
      <w:pPr>
        <w:pStyle w:val="NormalHanging12a"/>
      </w:pPr>
      <w:r w:rsidRPr="00E019EE">
        <w:t>20.</w:t>
      </w:r>
      <w:r w:rsidRPr="00E019EE">
        <w:tab/>
        <w:t>zdůrazňuje, že je třeba dosáhnout pokroku v jednáních o zemědělství s cílem dosáhnout věrohodných výsledků v otázkách, jako je udržování veřejných zásob pro účely potravinového zabezpečení, domácí podpora, přístup na trh, bavlna, omezení vývozu, hospodářská soutěž při vývozu a posílení zemědělského odvětví, a tak reagovat na současné výzvy, včetně možností obživy na venkově a udržitelnosti životního prostředí; zdůrazňuje, že diskuse by se neměly zaměřovat pouze na snížení domácí podpory narušující obchod, ale také na začlenění příslušných globálních výzev, včetně potravinového zabezpečení a udržitelnosti, do diskusí o zemědělství;</w:t>
      </w:r>
    </w:p>
    <w:p w14:paraId="6C559600" w14:textId="77777777" w:rsidR="0077440C" w:rsidRPr="00E019EE" w:rsidRDefault="0077440C" w:rsidP="0077440C">
      <w:pPr>
        <w:pStyle w:val="NormalHanging12a"/>
        <w:rPr>
          <w:bCs/>
          <w:i/>
          <w:iCs/>
        </w:rPr>
      </w:pPr>
      <w:r w:rsidRPr="00E019EE">
        <w:rPr>
          <w:b/>
          <w:i/>
        </w:rPr>
        <w:t>Digitální rozměr</w:t>
      </w:r>
    </w:p>
    <w:p w14:paraId="2A686F38" w14:textId="77777777" w:rsidR="0077440C" w:rsidRPr="00E019EE" w:rsidRDefault="0077440C" w:rsidP="0077440C">
      <w:pPr>
        <w:pStyle w:val="NormalHanging12a"/>
      </w:pPr>
      <w:r w:rsidRPr="00E019EE">
        <w:t>21.</w:t>
      </w:r>
      <w:r w:rsidRPr="00E019EE">
        <w:tab/>
        <w:t>vyzývá členy WTO, aby na 14. zasedání Konference ministrů obnovili pracovní program o elektronickém obchodě a moratorium na cla z elektronických přenosů; domnívá se, že nalezení trvalého řešení pro neuložení cel na elektronické přenosy je klíčové pro podniky na celém světě, včetně podniků v rozvojových zemích;</w:t>
      </w:r>
    </w:p>
    <w:p w14:paraId="037F7C82" w14:textId="77777777" w:rsidR="0077440C" w:rsidRPr="00E019EE" w:rsidRDefault="0077440C" w:rsidP="0077440C">
      <w:pPr>
        <w:pStyle w:val="NormalHanging12a"/>
      </w:pPr>
      <w:r w:rsidRPr="00E019EE">
        <w:t>22.</w:t>
      </w:r>
      <w:r w:rsidRPr="00E019EE">
        <w:tab/>
        <w:t xml:space="preserve">vyzývá členy WTO, aby přednostně podporovali a začlenili dohodu o elektronickém obchodu do rámce WTO; poukazuje na to, že dohoda stanoví první globální pravidla pro digitální obchod a vytváří spravedlivý, předvídatelný a transparentní rámec, který je </w:t>
      </w:r>
      <w:r w:rsidRPr="00E019EE">
        <w:lastRenderedPageBreak/>
        <w:t>přínosný pro spotřebitele a podniky tím, že usnadňuje přeshraniční transakce, snižuje překážky a podporuje inovace a důvěru; zdůrazňuje, že dohoda je navržena tak, aby byla přínosem jak pro rozvojové země a nejméně rozvinuté země, tak pro vyspělé ekonomiky; vítá iniciativy a programy v oblasti budování kapacit obsažené v dohodě, které jsou určeny na podporu úsilí rozvojových a nejméně rozvinutých zemí využít příležitosti, které nabízí digitální obchod; připomíná význam dohody pro podporu mikropodniků a malých a středních podniků; podporuje úsilí spolupředkladatelů o dosažení rychlé implementace dohody;</w:t>
      </w:r>
    </w:p>
    <w:p w14:paraId="4CD82D71" w14:textId="77777777" w:rsidR="0077440C" w:rsidRPr="00E019EE" w:rsidRDefault="0077440C" w:rsidP="0077440C">
      <w:pPr>
        <w:pStyle w:val="NormalHanging12a"/>
        <w:rPr>
          <w:bCs/>
          <w:iCs/>
        </w:rPr>
      </w:pPr>
      <w:r w:rsidRPr="00E019EE">
        <w:t>23.</w:t>
      </w:r>
      <w:r w:rsidRPr="00E019EE">
        <w:tab/>
        <w:t>zdůrazňuje rostoucí význam systémů umělé inteligence (AI) v mezinárodním obchodě; vyzývá v této souvislosti k posílení mezinárodní spolupráce v oblasti předpisů a politik týkajících se umělé inteligence při současném respektování práva členů WTO na regulaci; zdůrazňuje, že WTO by měla významně přispět k vytvoření robustního, bezpečného, inkluzivního a důvěryhodného rámce pro správu umělé inteligence v oblasti obchodu, mimo jiné zřízením specializované pracovní skupiny WTO pro umělou inteligenci, která by usnadňovala dialog, sdílení znalostí a spolupráci mezi členy ohledně nařízení a politik v oblasti umělé inteligence;</w:t>
      </w:r>
    </w:p>
    <w:p w14:paraId="1C5413F5" w14:textId="77777777" w:rsidR="0077440C" w:rsidRPr="00E019EE" w:rsidRDefault="0077440C" w:rsidP="0077440C">
      <w:pPr>
        <w:pStyle w:val="NormalHanging12a"/>
        <w:rPr>
          <w:bCs/>
          <w:i/>
          <w:iCs/>
        </w:rPr>
      </w:pPr>
      <w:r w:rsidRPr="00E019EE">
        <w:rPr>
          <w:b/>
          <w:i/>
        </w:rPr>
        <w:t>Zapojení Parlamentu</w:t>
      </w:r>
    </w:p>
    <w:p w14:paraId="608E518E" w14:textId="77777777" w:rsidR="0077440C" w:rsidRPr="00E019EE" w:rsidRDefault="0077440C" w:rsidP="0077440C">
      <w:pPr>
        <w:pStyle w:val="NormalHanging12a"/>
      </w:pPr>
      <w:r w:rsidRPr="00E019EE">
        <w:t>24.</w:t>
      </w:r>
      <w:r w:rsidRPr="00E019EE">
        <w:tab/>
        <w:t>žádá Komisi a Radu, aby zajistily pokračující úzké zapojení Parlamentu do příprav 14. zasedání Konference ministrů, aby jej vždy okamžitě informovaly o nejnovějším vývoji a aby s ním během 14. zasedání Konference ministrů vedly konzultace;</w:t>
      </w:r>
    </w:p>
    <w:p w14:paraId="4EDB8D3A" w14:textId="77777777" w:rsidR="0077440C" w:rsidRPr="00E019EE" w:rsidRDefault="0077440C" w:rsidP="0077440C">
      <w:pPr>
        <w:pStyle w:val="NormalHanging12a"/>
      </w:pPr>
      <w:r w:rsidRPr="00E019EE">
        <w:t>25.</w:t>
      </w:r>
      <w:r w:rsidRPr="00E019EE">
        <w:tab/>
        <w:t>vyzývá členy WTO, aby zajistili demokratickou legitimitu a transparentnost posílením parlamentního rozměru WTO a parlamentní konference o WTO; oceňuje důležitou práci Parlamentní konference o WTO pořádané společně Evropským parlamentem a Meziparlamentní unií; zdůrazňuje, že je třeba zajistit, aby měli poslanci lepší přístup na všechna obchodní jednání a aby byli zapojeni do vytváření a provádění rozhodnutí WTO; vybízí vedoucí představitele, aby podpořili nové pojetí obchodu, v němž je obchod vnímán jako faktor, který podporuje dosažení udržitelnosti, bezpečnosti a </w:t>
      </w:r>
      <w:proofErr w:type="spellStart"/>
      <w:r w:rsidRPr="00E019EE">
        <w:t>inkluzivity</w:t>
      </w:r>
      <w:proofErr w:type="spellEnd"/>
      <w:r w:rsidRPr="00E019EE">
        <w:t>, a nikoli jako jejich překážka;</w:t>
      </w:r>
    </w:p>
    <w:p w14:paraId="57C5BF56" w14:textId="77777777" w:rsidR="0077440C" w:rsidRPr="00E019EE" w:rsidRDefault="0077440C" w:rsidP="0077440C">
      <w:pPr>
        <w:pStyle w:val="NormalHanging12a"/>
      </w:pPr>
      <w:r w:rsidRPr="00E019EE">
        <w:t>26.</w:t>
      </w:r>
      <w:r w:rsidRPr="00E019EE">
        <w:tab/>
        <w:t>vyzývá členy WTO, aby posílili diskuse se všemi zúčastněnými stranami, včetně občanské společnosti, podniků a odborů, a aby zintenzivnili spolupráci s dalšími mezinárodními organizacemi, jako je Mezinárodní obchodní komora, Mezinárodní organizace práce a systém OSN v širším slova smyslu; očekává, že vedoucí představitelé budou na všech úrovních více komunikovat o výhodách obchodu založeného na pravidlech;</w:t>
      </w:r>
    </w:p>
    <w:p w14:paraId="584A3B34" w14:textId="77777777" w:rsidR="0077440C" w:rsidRPr="00E019EE" w:rsidRDefault="0077440C" w:rsidP="0077440C">
      <w:pPr>
        <w:pStyle w:val="NormalHanging12a"/>
        <w:jc w:val="center"/>
      </w:pPr>
      <w:r w:rsidRPr="00E019EE">
        <w:t>°</w:t>
      </w:r>
    </w:p>
    <w:p w14:paraId="32CE287C" w14:textId="77777777" w:rsidR="0077440C" w:rsidRPr="00E019EE" w:rsidRDefault="0077440C" w:rsidP="0077440C">
      <w:pPr>
        <w:pStyle w:val="NormalHanging12a"/>
        <w:jc w:val="center"/>
      </w:pPr>
      <w:r w:rsidRPr="00E019EE">
        <w:t>°</w:t>
      </w:r>
      <w:r w:rsidRPr="00E019EE">
        <w:tab/>
        <w:t>°</w:t>
      </w:r>
    </w:p>
    <w:p w14:paraId="29F3FAC9" w14:textId="35E31109" w:rsidR="00E019EE" w:rsidRPr="00E019EE" w:rsidRDefault="0077440C" w:rsidP="00E019EE">
      <w:pPr>
        <w:pStyle w:val="NormalHanging12a"/>
      </w:pPr>
      <w:r w:rsidRPr="00E019EE">
        <w:t>27.</w:t>
      </w:r>
      <w:r w:rsidRPr="00E019EE">
        <w:tab/>
        <w:t>pověřuje svou předsedkyni, aby předala toto usnesení Radě, Komisi, vládám a parlamentům členských států, generální ředitelce Světové obchodní organizace a generálnímu tajemníkovi Meziparlamentní unie.</w:t>
      </w:r>
    </w:p>
    <w:p w14:paraId="52CA222D" w14:textId="58A2BA10" w:rsidR="00E365E1" w:rsidRPr="00E019EE" w:rsidRDefault="00E365E1" w:rsidP="006A7E81"/>
    <w:sectPr w:rsidR="00E365E1" w:rsidRPr="00E019EE" w:rsidSect="00E019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87126" w14:textId="77777777" w:rsidR="006A7E81" w:rsidRPr="00E019EE" w:rsidRDefault="006A7E81">
      <w:r w:rsidRPr="00E019EE">
        <w:separator/>
      </w:r>
    </w:p>
  </w:endnote>
  <w:endnote w:type="continuationSeparator" w:id="0">
    <w:p w14:paraId="667675CA" w14:textId="77777777" w:rsidR="006A7E81" w:rsidRPr="00E019EE" w:rsidRDefault="006A7E81">
      <w:r w:rsidRPr="00E019E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287C7" w14:textId="77777777" w:rsidR="00064002" w:rsidRPr="00E019E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4ECC8" w14:textId="77777777" w:rsidR="00064002" w:rsidRPr="00E019E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032FD" w14:textId="77777777" w:rsidR="00064002" w:rsidRPr="00E019E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132A53" w14:textId="77777777" w:rsidR="006A7E81" w:rsidRPr="00E019EE" w:rsidRDefault="006A7E81">
      <w:r w:rsidRPr="00E019EE">
        <w:separator/>
      </w:r>
    </w:p>
  </w:footnote>
  <w:footnote w:type="continuationSeparator" w:id="0">
    <w:p w14:paraId="23B7AC79" w14:textId="77777777" w:rsidR="006A7E81" w:rsidRPr="00E019EE" w:rsidRDefault="006A7E81">
      <w:r w:rsidRPr="00E019EE">
        <w:continuationSeparator/>
      </w:r>
    </w:p>
  </w:footnote>
  <w:footnote w:id="1">
    <w:p w14:paraId="7761F235" w14:textId="1414138B" w:rsidR="0077440C" w:rsidRPr="00E019EE" w:rsidRDefault="0077440C" w:rsidP="00E019EE">
      <w:pPr>
        <w:pStyle w:val="FootnoteText"/>
        <w:ind w:left="567" w:hanging="567"/>
        <w:rPr>
          <w:sz w:val="24"/>
          <w:szCs w:val="16"/>
          <w:lang w:val="cs-CZ"/>
        </w:rPr>
      </w:pPr>
      <w:r w:rsidRPr="00E019EE">
        <w:rPr>
          <w:rStyle w:val="FootnoteReference"/>
          <w:sz w:val="24"/>
          <w:szCs w:val="16"/>
          <w:lang w:val="cs-CZ"/>
        </w:rPr>
        <w:footnoteRef/>
      </w:r>
      <w:r w:rsidR="00E019EE" w:rsidRPr="00E019EE">
        <w:rPr>
          <w:sz w:val="24"/>
          <w:lang w:val="cs-CZ"/>
        </w:rPr>
        <w:t xml:space="preserve"> </w:t>
      </w:r>
      <w:r w:rsidR="00E019EE" w:rsidRPr="00E019EE">
        <w:rPr>
          <w:sz w:val="24"/>
          <w:lang w:val="cs-CZ"/>
        </w:rPr>
        <w:tab/>
      </w:r>
      <w:proofErr w:type="spellStart"/>
      <w:r w:rsidRPr="00E019EE">
        <w:rPr>
          <w:sz w:val="24"/>
          <w:lang w:val="cs-CZ"/>
        </w:rPr>
        <w:t>Úř</w:t>
      </w:r>
      <w:proofErr w:type="spellEnd"/>
      <w:r w:rsidRPr="00E019EE">
        <w:rPr>
          <w:sz w:val="24"/>
          <w:lang w:val="cs-CZ"/>
        </w:rPr>
        <w:t xml:space="preserve">. </w:t>
      </w:r>
      <w:proofErr w:type="spellStart"/>
      <w:r w:rsidRPr="00E019EE">
        <w:rPr>
          <w:sz w:val="24"/>
          <w:lang w:val="cs-CZ"/>
        </w:rPr>
        <w:t>věst</w:t>
      </w:r>
      <w:proofErr w:type="spellEnd"/>
      <w:r w:rsidRPr="00E019EE">
        <w:rPr>
          <w:sz w:val="24"/>
          <w:lang w:val="cs-CZ"/>
        </w:rPr>
        <w:t xml:space="preserve">. C, C/2024/6342, 7.11.2024, ELI: </w:t>
      </w:r>
      <w:r w:rsidR="007356BF">
        <w:fldChar w:fldCharType="begin"/>
      </w:r>
      <w:r w:rsidR="007356BF" w:rsidRPr="007356BF">
        <w:rPr>
          <w:lang w:val="fi-FI"/>
        </w:rPr>
        <w:instrText>HYPERLINK "http://data.europa.eu/eli/C/2024/6342/oj"</w:instrText>
      </w:r>
      <w:r w:rsidR="007356BF">
        <w:fldChar w:fldCharType="separate"/>
      </w:r>
      <w:r w:rsidRPr="00E019EE">
        <w:rPr>
          <w:rStyle w:val="Hyperlink"/>
          <w:sz w:val="24"/>
          <w:lang w:val="cs-CZ"/>
        </w:rPr>
        <w:t>http://data.europa.eu/eli/C/2024/6342/oj</w:t>
      </w:r>
      <w:r w:rsidR="007356BF">
        <w:rPr>
          <w:rStyle w:val="Hyperlink"/>
          <w:sz w:val="24"/>
          <w:lang w:val="cs-CZ"/>
        </w:rPr>
        <w:fldChar w:fldCharType="end"/>
      </w:r>
      <w:r w:rsidRPr="00E019EE">
        <w:rPr>
          <w:sz w:val="24"/>
          <w:lang w:val="cs-CZ"/>
        </w:rPr>
        <w:t>.</w:t>
      </w:r>
    </w:p>
  </w:footnote>
  <w:footnote w:id="2">
    <w:p w14:paraId="0395D04C" w14:textId="33621610" w:rsidR="0077440C" w:rsidRPr="00E019EE" w:rsidRDefault="0077440C" w:rsidP="00E019EE">
      <w:pPr>
        <w:pStyle w:val="FootnoteText"/>
        <w:ind w:left="567" w:hanging="567"/>
        <w:rPr>
          <w:sz w:val="24"/>
          <w:szCs w:val="16"/>
          <w:lang w:val="cs-CZ"/>
        </w:rPr>
      </w:pPr>
      <w:r w:rsidRPr="00E019EE">
        <w:rPr>
          <w:rStyle w:val="FootnoteReference"/>
          <w:sz w:val="24"/>
          <w:szCs w:val="16"/>
          <w:lang w:val="cs-CZ"/>
        </w:rPr>
        <w:footnoteRef/>
      </w:r>
      <w:r w:rsidR="00E019EE" w:rsidRPr="00E019EE">
        <w:rPr>
          <w:sz w:val="24"/>
          <w:lang w:val="cs-CZ"/>
        </w:rPr>
        <w:t xml:space="preserve"> </w:t>
      </w:r>
      <w:r w:rsidR="00E019EE" w:rsidRPr="00E019EE">
        <w:rPr>
          <w:sz w:val="24"/>
          <w:lang w:val="cs-CZ"/>
        </w:rPr>
        <w:tab/>
      </w:r>
      <w:proofErr w:type="spellStart"/>
      <w:r w:rsidRPr="00E019EE">
        <w:rPr>
          <w:sz w:val="24"/>
          <w:lang w:val="cs-CZ"/>
        </w:rPr>
        <w:t>Úř</w:t>
      </w:r>
      <w:proofErr w:type="spellEnd"/>
      <w:r w:rsidRPr="00E019EE">
        <w:rPr>
          <w:sz w:val="24"/>
          <w:lang w:val="cs-CZ"/>
        </w:rPr>
        <w:t xml:space="preserve">. </w:t>
      </w:r>
      <w:proofErr w:type="spellStart"/>
      <w:r w:rsidRPr="00E019EE">
        <w:rPr>
          <w:sz w:val="24"/>
          <w:lang w:val="cs-CZ"/>
        </w:rPr>
        <w:t>věst</w:t>
      </w:r>
      <w:proofErr w:type="spellEnd"/>
      <w:r w:rsidRPr="00E019EE">
        <w:rPr>
          <w:sz w:val="24"/>
          <w:lang w:val="cs-CZ"/>
        </w:rPr>
        <w:t>. C 224, 8.6.2022, s. 89.</w:t>
      </w:r>
    </w:p>
  </w:footnote>
  <w:footnote w:id="3">
    <w:p w14:paraId="25649C99" w14:textId="5B17F1B5" w:rsidR="0077440C" w:rsidRPr="00E019EE" w:rsidRDefault="0077440C" w:rsidP="00E019EE">
      <w:pPr>
        <w:pStyle w:val="FootnoteText"/>
        <w:ind w:left="567" w:hanging="567"/>
        <w:rPr>
          <w:sz w:val="24"/>
          <w:szCs w:val="16"/>
          <w:lang w:val="cs-CZ"/>
        </w:rPr>
      </w:pPr>
      <w:r w:rsidRPr="00E019EE">
        <w:rPr>
          <w:rStyle w:val="FootnoteReference"/>
          <w:sz w:val="24"/>
          <w:szCs w:val="16"/>
          <w:lang w:val="cs-CZ"/>
        </w:rPr>
        <w:footnoteRef/>
      </w:r>
      <w:r w:rsidR="00E019EE" w:rsidRPr="00E019EE">
        <w:rPr>
          <w:sz w:val="24"/>
          <w:lang w:val="cs-CZ"/>
        </w:rPr>
        <w:t xml:space="preserve"> </w:t>
      </w:r>
      <w:r w:rsidR="00E019EE" w:rsidRPr="00E019EE">
        <w:rPr>
          <w:sz w:val="24"/>
          <w:lang w:val="cs-CZ"/>
        </w:rPr>
        <w:tab/>
      </w:r>
      <w:proofErr w:type="spellStart"/>
      <w:r w:rsidRPr="00E019EE">
        <w:rPr>
          <w:sz w:val="24"/>
          <w:lang w:val="cs-CZ"/>
        </w:rPr>
        <w:t>Úř</w:t>
      </w:r>
      <w:proofErr w:type="spellEnd"/>
      <w:r w:rsidRPr="00E019EE">
        <w:rPr>
          <w:sz w:val="24"/>
          <w:lang w:val="cs-CZ"/>
        </w:rPr>
        <w:t xml:space="preserve">. </w:t>
      </w:r>
      <w:proofErr w:type="spellStart"/>
      <w:r w:rsidRPr="00E019EE">
        <w:rPr>
          <w:sz w:val="24"/>
          <w:lang w:val="cs-CZ"/>
        </w:rPr>
        <w:t>věst</w:t>
      </w:r>
      <w:proofErr w:type="spellEnd"/>
      <w:r w:rsidRPr="00E019EE">
        <w:rPr>
          <w:sz w:val="24"/>
          <w:lang w:val="cs-CZ"/>
        </w:rPr>
        <w:t>. C 363, 28.10.2020, s. 113.</w:t>
      </w:r>
    </w:p>
  </w:footnote>
  <w:footnote w:id="4">
    <w:p w14:paraId="1FD85AC6" w14:textId="6A49BC06" w:rsidR="0077440C" w:rsidRPr="00E019EE" w:rsidRDefault="0077440C" w:rsidP="00E019EE">
      <w:pPr>
        <w:pStyle w:val="FootnoteText"/>
        <w:ind w:left="567" w:hanging="567"/>
        <w:rPr>
          <w:sz w:val="24"/>
          <w:lang w:val="cs-CZ"/>
        </w:rPr>
      </w:pPr>
      <w:r w:rsidRPr="00E019EE">
        <w:rPr>
          <w:rStyle w:val="FootnoteReference"/>
          <w:sz w:val="24"/>
          <w:szCs w:val="16"/>
          <w:lang w:val="cs-CZ"/>
        </w:rPr>
        <w:footnoteRef/>
      </w:r>
      <w:r w:rsidR="00E019EE" w:rsidRPr="00E019EE">
        <w:rPr>
          <w:sz w:val="24"/>
          <w:lang w:val="cs-CZ"/>
        </w:rPr>
        <w:t xml:space="preserve"> </w:t>
      </w:r>
      <w:r w:rsidR="00E019EE" w:rsidRPr="00E019EE">
        <w:rPr>
          <w:sz w:val="24"/>
          <w:lang w:val="cs-CZ"/>
        </w:rPr>
        <w:tab/>
      </w:r>
      <w:proofErr w:type="spellStart"/>
      <w:r w:rsidRPr="00E019EE">
        <w:rPr>
          <w:sz w:val="24"/>
          <w:lang w:val="cs-CZ"/>
        </w:rPr>
        <w:t>Úř</w:t>
      </w:r>
      <w:proofErr w:type="spellEnd"/>
      <w:r w:rsidRPr="00E019EE">
        <w:rPr>
          <w:sz w:val="24"/>
          <w:lang w:val="cs-CZ"/>
        </w:rPr>
        <w:t xml:space="preserve">. </w:t>
      </w:r>
      <w:proofErr w:type="spellStart"/>
      <w:r w:rsidRPr="00E019EE">
        <w:rPr>
          <w:sz w:val="24"/>
          <w:lang w:val="cs-CZ"/>
        </w:rPr>
        <w:t>věst</w:t>
      </w:r>
      <w:proofErr w:type="spellEnd"/>
      <w:r w:rsidRPr="00E019EE">
        <w:rPr>
          <w:sz w:val="24"/>
          <w:lang w:val="cs-CZ"/>
        </w:rPr>
        <w:t>. C 232, 16.6.2021, s. 62.</w:t>
      </w:r>
    </w:p>
  </w:footnote>
  <w:footnote w:id="5">
    <w:p w14:paraId="4A1F1274" w14:textId="26C8ED9A" w:rsidR="0077440C" w:rsidRPr="00E019EE" w:rsidRDefault="0077440C" w:rsidP="00E019EE">
      <w:pPr>
        <w:pStyle w:val="FootnoteText"/>
        <w:ind w:left="567" w:hanging="567"/>
        <w:rPr>
          <w:sz w:val="24"/>
          <w:szCs w:val="16"/>
          <w:lang w:val="cs-CZ"/>
        </w:rPr>
      </w:pPr>
      <w:r w:rsidRPr="00E019EE">
        <w:rPr>
          <w:rStyle w:val="FootnoteReference"/>
          <w:sz w:val="24"/>
          <w:szCs w:val="16"/>
          <w:lang w:val="cs-CZ"/>
        </w:rPr>
        <w:footnoteRef/>
      </w:r>
      <w:r w:rsidR="00E019EE" w:rsidRPr="00E019EE">
        <w:rPr>
          <w:sz w:val="24"/>
          <w:lang w:val="cs-CZ"/>
        </w:rPr>
        <w:t xml:space="preserve"> </w:t>
      </w:r>
      <w:r w:rsidR="00E019EE" w:rsidRPr="00E019EE">
        <w:rPr>
          <w:sz w:val="24"/>
          <w:lang w:val="cs-CZ"/>
        </w:rPr>
        <w:tab/>
      </w:r>
      <w:r w:rsidRPr="00E019EE">
        <w:rPr>
          <w:sz w:val="24"/>
          <w:lang w:val="cs-CZ"/>
        </w:rPr>
        <w:t xml:space="preserve">Konference OSN o obchodu a rozvoji, „Nepřímé zdanění elektronického obchodu a digitálního obchodu – důsledky pro rozvojové země“, 2025.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39027" w14:textId="77777777" w:rsidR="00064002" w:rsidRPr="00E019E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00A0F" w14:textId="77777777" w:rsidR="00064002" w:rsidRPr="00E019E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1932C" w14:textId="77777777" w:rsidR="00064002" w:rsidRPr="00E019E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64854414">
    <w:abstractNumId w:val="9"/>
  </w:num>
  <w:num w:numId="2" w16cid:durableId="36322679">
    <w:abstractNumId w:val="9"/>
  </w:num>
  <w:num w:numId="3" w16cid:durableId="142166372">
    <w:abstractNumId w:val="7"/>
  </w:num>
  <w:num w:numId="4" w16cid:durableId="1904632614">
    <w:abstractNumId w:val="7"/>
  </w:num>
  <w:num w:numId="5" w16cid:durableId="1245412745">
    <w:abstractNumId w:val="6"/>
  </w:num>
  <w:num w:numId="6" w16cid:durableId="1160655848">
    <w:abstractNumId w:val="6"/>
  </w:num>
  <w:num w:numId="7" w16cid:durableId="1044138918">
    <w:abstractNumId w:val="5"/>
  </w:num>
  <w:num w:numId="8" w16cid:durableId="59325387">
    <w:abstractNumId w:val="5"/>
  </w:num>
  <w:num w:numId="9" w16cid:durableId="439422389">
    <w:abstractNumId w:val="4"/>
  </w:num>
  <w:num w:numId="10" w16cid:durableId="1322586689">
    <w:abstractNumId w:val="4"/>
  </w:num>
  <w:num w:numId="11" w16cid:durableId="1713339280">
    <w:abstractNumId w:val="8"/>
  </w:num>
  <w:num w:numId="12" w16cid:durableId="1701933431">
    <w:abstractNumId w:val="8"/>
  </w:num>
  <w:num w:numId="13" w16cid:durableId="417142667">
    <w:abstractNumId w:val="3"/>
  </w:num>
  <w:num w:numId="14" w16cid:durableId="1858928969">
    <w:abstractNumId w:val="3"/>
  </w:num>
  <w:num w:numId="15" w16cid:durableId="1571689949">
    <w:abstractNumId w:val="2"/>
  </w:num>
  <w:num w:numId="16" w16cid:durableId="1249970026">
    <w:abstractNumId w:val="2"/>
  </w:num>
  <w:num w:numId="17" w16cid:durableId="511795683">
    <w:abstractNumId w:val="1"/>
  </w:num>
  <w:num w:numId="18" w16cid:durableId="858738112">
    <w:abstractNumId w:val="1"/>
  </w:num>
  <w:num w:numId="19" w16cid:durableId="620958431">
    <w:abstractNumId w:val="0"/>
  </w:num>
  <w:num w:numId="20" w16cid:durableId="531960411">
    <w:abstractNumId w:val="0"/>
  </w:num>
  <w:num w:numId="21" w16cid:durableId="272245777">
    <w:abstractNumId w:val="9"/>
  </w:num>
  <w:num w:numId="22" w16cid:durableId="988902488">
    <w:abstractNumId w:val="7"/>
  </w:num>
  <w:num w:numId="23" w16cid:durableId="567156629">
    <w:abstractNumId w:val="6"/>
  </w:num>
  <w:num w:numId="24" w16cid:durableId="403570960">
    <w:abstractNumId w:val="5"/>
  </w:num>
  <w:num w:numId="25" w16cid:durableId="1894346716">
    <w:abstractNumId w:val="4"/>
  </w:num>
  <w:num w:numId="26" w16cid:durableId="962224763">
    <w:abstractNumId w:val="8"/>
  </w:num>
  <w:num w:numId="27" w16cid:durableId="485518325">
    <w:abstractNumId w:val="3"/>
  </w:num>
  <w:num w:numId="28" w16cid:durableId="1835680710">
    <w:abstractNumId w:val="2"/>
  </w:num>
  <w:num w:numId="29" w16cid:durableId="231428684">
    <w:abstractNumId w:val="1"/>
  </w:num>
  <w:num w:numId="30" w16cid:durableId="1175457082">
    <w:abstractNumId w:val="0"/>
  </w:num>
  <w:num w:numId="31" w16cid:durableId="578683476">
    <w:abstractNumId w:val="9"/>
  </w:num>
  <w:num w:numId="32" w16cid:durableId="1944338913">
    <w:abstractNumId w:val="7"/>
  </w:num>
  <w:num w:numId="33" w16cid:durableId="496582770">
    <w:abstractNumId w:val="6"/>
  </w:num>
  <w:num w:numId="34" w16cid:durableId="616255074">
    <w:abstractNumId w:val="5"/>
  </w:num>
  <w:num w:numId="35" w16cid:durableId="1141310779">
    <w:abstractNumId w:val="4"/>
  </w:num>
  <w:num w:numId="36" w16cid:durableId="1522552408">
    <w:abstractNumId w:val="8"/>
  </w:num>
  <w:num w:numId="37" w16cid:durableId="1602256074">
    <w:abstractNumId w:val="3"/>
  </w:num>
  <w:num w:numId="38" w16cid:durableId="800464413">
    <w:abstractNumId w:val="2"/>
  </w:num>
  <w:num w:numId="39" w16cid:durableId="1606184495">
    <w:abstractNumId w:val="1"/>
  </w:num>
  <w:num w:numId="40" w16cid:durableId="1056393608">
    <w:abstractNumId w:val="0"/>
  </w:num>
  <w:num w:numId="41" w16cid:durableId="1573004104">
    <w:abstractNumId w:val="10"/>
  </w:num>
  <w:num w:numId="42" w16cid:durableId="1019281635">
    <w:abstractNumId w:val="10"/>
  </w:num>
  <w:num w:numId="43" w16cid:durableId="598874126">
    <w:abstractNumId w:val="10"/>
  </w:num>
  <w:num w:numId="44" w16cid:durableId="6821302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55/2026"/>
    <w:docVar w:name="dvlangue" w:val="CS"/>
    <w:docVar w:name="dvnumam" w:val="0"/>
    <w:docVar w:name="dvpe" w:val="781.228"/>
    <w:docVar w:name="dvtitre" w:val="Usnesení Evropského parlamentu ze dne.... 2026 o mnohostranných jednáních s ohledem na 14. ministerskou konferenci WTO v Yaoundé ve dnech 26. až 29. března 2026(2025/2875(RSP))"/>
  </w:docVars>
  <w:rsids>
    <w:rsidRoot w:val="006A7E8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260A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7E81"/>
    <w:rsid w:val="006F74FA"/>
    <w:rsid w:val="00731ADD"/>
    <w:rsid w:val="00734777"/>
    <w:rsid w:val="007356BF"/>
    <w:rsid w:val="00747932"/>
    <w:rsid w:val="00751A4A"/>
    <w:rsid w:val="00756632"/>
    <w:rsid w:val="00762C74"/>
    <w:rsid w:val="0077440C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58E4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19E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3620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A17E57"/>
  <w15:chartTrackingRefBased/>
  <w15:docId w15:val="{99404E55-F589-46FA-A9E3-7849EEC93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4_G,Footnote,text,Footnotes refss,Footnote number,Fago Fußnotenzeichen,Footnote Ref,16 Point,Superscript 6 Point,Fago Fu?notenzeichen,Fago Fuﬂnotenzeichen,ftref,a Footnote Reference,FZ,Appel note de bas de page,Ref FNs Char,[0],[,Ref"/>
    <w:link w:val="ENFootnoteReference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7440C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77440C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77440C"/>
    <w:rPr>
      <w:sz w:val="24"/>
      <w:lang w:val="cs-CZ"/>
    </w:rPr>
  </w:style>
  <w:style w:type="paragraph" w:customStyle="1" w:styleId="ENFootnoteReference">
    <w:name w:val="EN Footnote Reference"/>
    <w:aliases w:val="-E Fußnotenzeichen,number,SUPERS,BVI fnr תו Char Char Char,BVI fnr Car Car תו Char Char Char,BVI fnr Car תו Char Char Char,BVI fn"/>
    <w:basedOn w:val="Normal"/>
    <w:link w:val="FootnoteReference"/>
    <w:rsid w:val="0077440C"/>
    <w:pPr>
      <w:widowControl/>
      <w:spacing w:after="160" w:line="240" w:lineRule="exact"/>
    </w:pPr>
    <w:rPr>
      <w:sz w:val="20"/>
      <w:vertAlign w:val="superscript"/>
      <w:lang w:val="en-GB"/>
    </w:rPr>
  </w:style>
  <w:style w:type="paragraph" w:customStyle="1" w:styleId="Corps">
    <w:name w:val="Corps"/>
    <w:link w:val="CorpsChar"/>
    <w:rsid w:val="0077440C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cs-CZ"/>
      <w14:textOutline w14:w="0" w14:cap="flat" w14:cmpd="sng" w14:algn="ctr">
        <w14:noFill/>
        <w14:prstDash w14:val="solid"/>
        <w14:bevel/>
      </w14:textOutline>
    </w:rPr>
  </w:style>
  <w:style w:type="character" w:customStyle="1" w:styleId="CorpsChar">
    <w:name w:val="Corps Char"/>
    <w:basedOn w:val="DefaultParagraphFont"/>
    <w:link w:val="Corps"/>
    <w:rsid w:val="0077440C"/>
    <w:rPr>
      <w:rFonts w:eastAsia="Arial Unicode MS" w:cs="Arial Unicode MS"/>
      <w:color w:val="000000"/>
      <w:sz w:val="24"/>
      <w:szCs w:val="24"/>
      <w:u w:color="000000"/>
      <w:bdr w:val="nil"/>
      <w:lang w:val="cs-CZ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3412</Words>
  <Characters>20589</Characters>
  <Application>Microsoft Office Word</Application>
  <DocSecurity>0</DocSecurity>
  <Lines>171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2026-03-12T11:33:00Z</dcterms:created>
  <dcterms:modified xsi:type="dcterms:W3CDTF">2026-03-12T11:33:00Z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B10-0155/2026</vt:lpwstr>
  </property>
  <property fmtid="{D5CDD505-2E9C-101B-9397-08002B2CF9AE}" pid="4" name="&lt;Type&gt;">
    <vt:lpwstr>RR</vt:lpwstr>
  </property>
</Properties>
</file>