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F96" w14:paraId="0BA6B6CE" w14:textId="77777777" w:rsidTr="0010095E">
        <w:trPr>
          <w:trHeight w:hRule="exact" w:val="1418"/>
        </w:trPr>
        <w:tc>
          <w:tcPr>
            <w:tcW w:w="6804" w:type="dxa"/>
            <w:shd w:val="clear" w:color="auto" w:fill="auto"/>
            <w:vAlign w:val="center"/>
          </w:tcPr>
          <w:p w14:paraId="06C3DFE2" w14:textId="77777777" w:rsidR="00751A4A" w:rsidRPr="00CF3F96" w:rsidRDefault="005D5572" w:rsidP="0010095E">
            <w:pPr>
              <w:pStyle w:val="EPName"/>
            </w:pPr>
            <w:r w:rsidRPr="00CF3F96">
              <w:t>Ευρωπαϊκό Κοινοβούλιο</w:t>
            </w:r>
          </w:p>
          <w:p w14:paraId="23708452" w14:textId="77777777" w:rsidR="00751A4A" w:rsidRPr="00CF3F96" w:rsidRDefault="005F1B17" w:rsidP="005F1B17">
            <w:pPr>
              <w:pStyle w:val="EPTerm"/>
              <w:rPr>
                <w:rStyle w:val="HideTWBExt"/>
                <w:noProof w:val="0"/>
                <w:vanish w:val="0"/>
                <w:color w:val="auto"/>
              </w:rPr>
            </w:pPr>
            <w:r w:rsidRPr="00CF3F96">
              <w:t>2024</w:t>
            </w:r>
            <w:r w:rsidR="00817416" w:rsidRPr="00CF3F96">
              <w:t>-202</w:t>
            </w:r>
            <w:r w:rsidRPr="00CF3F96">
              <w:t>9</w:t>
            </w:r>
          </w:p>
        </w:tc>
        <w:tc>
          <w:tcPr>
            <w:tcW w:w="2268" w:type="dxa"/>
            <w:shd w:val="clear" w:color="auto" w:fill="auto"/>
          </w:tcPr>
          <w:p w14:paraId="2E90FF81" w14:textId="77777777" w:rsidR="00751A4A" w:rsidRPr="00CF3F96" w:rsidRDefault="00187494" w:rsidP="0010095E">
            <w:pPr>
              <w:pStyle w:val="EPLogo"/>
            </w:pPr>
            <w:r w:rsidRPr="00CF3F96">
              <w:rPr>
                <w:noProof/>
                <w:lang w:eastAsia="ja-JP"/>
              </w:rPr>
              <w:drawing>
                <wp:inline distT="0" distB="0" distL="0" distR="0" wp14:anchorId="075AE3F3" wp14:editId="44E791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BFC67E" w14:textId="77777777" w:rsidR="00D058B8" w:rsidRPr="00CF3F96" w:rsidRDefault="00D058B8" w:rsidP="004C5D52">
      <w:pPr>
        <w:pStyle w:val="LineTop"/>
      </w:pPr>
    </w:p>
    <w:p w14:paraId="792E9873" w14:textId="77777777" w:rsidR="00680577" w:rsidRPr="00CF3F96" w:rsidRDefault="005D5572" w:rsidP="00680577">
      <w:pPr>
        <w:pStyle w:val="EPBodyTA1"/>
      </w:pPr>
      <w:r w:rsidRPr="00CF3F96">
        <w:t>ΚΕΙΜΕΝΑ ΠΟΥ ΕΓΚΡΙΘΗΚΑΝ</w:t>
      </w:r>
    </w:p>
    <w:p w14:paraId="0B9B7B53" w14:textId="77777777" w:rsidR="00D058B8" w:rsidRPr="00CF3F96" w:rsidRDefault="00D058B8" w:rsidP="00D058B8">
      <w:pPr>
        <w:pStyle w:val="LineBottom"/>
      </w:pPr>
    </w:p>
    <w:p w14:paraId="66D6E941" w14:textId="61760C8E" w:rsidR="005D5572" w:rsidRPr="00CF3F96" w:rsidRDefault="005D5572" w:rsidP="005D5572">
      <w:pPr>
        <w:pStyle w:val="ATHeading1"/>
      </w:pPr>
      <w:bookmarkStart w:id="0" w:name="TANumber"/>
      <w:r w:rsidRPr="00CF3F96">
        <w:t>P10_TA(2026)00</w:t>
      </w:r>
      <w:r w:rsidR="00CD5BF5">
        <w:t>86</w:t>
      </w:r>
      <w:bookmarkEnd w:id="0"/>
    </w:p>
    <w:p w14:paraId="5DBF551A" w14:textId="77777777" w:rsidR="005D5572" w:rsidRPr="00CF3F96" w:rsidRDefault="005D5572" w:rsidP="005D5572">
      <w:pPr>
        <w:pStyle w:val="ATHeading2"/>
      </w:pPr>
      <w:bookmarkStart w:id="1" w:name="title"/>
      <w:r w:rsidRPr="00CF3F96">
        <w:t xml:space="preserve">Πολυμερείς διαπραγματεύσεις ενόψει της 14ης Υπουργικής Συνδιάσκεψης του ΠΟΕ στη </w:t>
      </w:r>
      <w:proofErr w:type="spellStart"/>
      <w:r w:rsidRPr="00CF3F96">
        <w:t>Γιαουντέ</w:t>
      </w:r>
      <w:proofErr w:type="spellEnd"/>
      <w:r w:rsidRPr="00CF3F96">
        <w:t>, 26 έως 29 Μαρτίου 2026</w:t>
      </w:r>
      <w:bookmarkEnd w:id="1"/>
    </w:p>
    <w:p w14:paraId="1030B544" w14:textId="77777777" w:rsidR="005D5572" w:rsidRPr="00CF3F96" w:rsidRDefault="005D5572" w:rsidP="005D5572">
      <w:pPr>
        <w:rPr>
          <w:i/>
          <w:vanish/>
        </w:rPr>
      </w:pPr>
      <w:r w:rsidRPr="00CF3F96">
        <w:rPr>
          <w:i/>
        </w:rPr>
        <w:fldChar w:fldCharType="begin"/>
      </w:r>
      <w:r w:rsidRPr="00CF3F96">
        <w:rPr>
          <w:i/>
        </w:rPr>
        <w:instrText xml:space="preserve"> TC"(</w:instrText>
      </w:r>
      <w:bookmarkStart w:id="2" w:name="DocNumber"/>
      <w:r w:rsidRPr="00CF3F96">
        <w:rPr>
          <w:i/>
        </w:rPr>
        <w:instrText>B10-0155/2026</w:instrText>
      </w:r>
      <w:bookmarkEnd w:id="2"/>
      <w:r w:rsidRPr="00CF3F96">
        <w:rPr>
          <w:i/>
        </w:rPr>
        <w:instrText xml:space="preserve">)"\l3 \n&gt; \* MERGEFORMAT </w:instrText>
      </w:r>
      <w:r w:rsidRPr="00CF3F96">
        <w:rPr>
          <w:i/>
        </w:rPr>
        <w:fldChar w:fldCharType="end"/>
      </w:r>
    </w:p>
    <w:p w14:paraId="37A6BDFB" w14:textId="77777777" w:rsidR="005D5572" w:rsidRPr="00CF3F96" w:rsidRDefault="005D5572" w:rsidP="005D5572">
      <w:pPr>
        <w:rPr>
          <w:vanish/>
        </w:rPr>
      </w:pPr>
      <w:bookmarkStart w:id="3" w:name="PE"/>
      <w:r w:rsidRPr="00CF3F96">
        <w:rPr>
          <w:vanish/>
        </w:rPr>
        <w:t>PE781.228</w:t>
      </w:r>
      <w:bookmarkEnd w:id="3"/>
    </w:p>
    <w:p w14:paraId="12D31C94" w14:textId="73471303" w:rsidR="005D5572" w:rsidRPr="00CF3F96" w:rsidRDefault="005D5572" w:rsidP="005D5572">
      <w:pPr>
        <w:pStyle w:val="ATHeading3"/>
      </w:pPr>
      <w:bookmarkStart w:id="4" w:name="Sujet"/>
      <w:r w:rsidRPr="00CF3F96">
        <w:t xml:space="preserve">Ψήφισμα του Ευρωπαϊκού Κοινοβουλίου της </w:t>
      </w:r>
      <w:r w:rsidR="009F4B1B">
        <w:t>12ης Μαρτίου</w:t>
      </w:r>
      <w:r w:rsidR="009F4B1B" w:rsidRPr="00CF3F96">
        <w:t xml:space="preserve"> </w:t>
      </w:r>
      <w:r w:rsidRPr="00CF3F96">
        <w:t xml:space="preserve">2026 σχετικά με τις πολυμερείς διαπραγματεύσεις ενόψει της 14ης Υπουργικής Συνδιάσκεψης του ΠΟΕ στη </w:t>
      </w:r>
      <w:proofErr w:type="spellStart"/>
      <w:r w:rsidRPr="00CF3F96">
        <w:t>Γιαουντέ</w:t>
      </w:r>
      <w:proofErr w:type="spellEnd"/>
      <w:r w:rsidRPr="00CF3F96">
        <w:t xml:space="preserve">, 26 έως 29 Μαρτίου 2026 </w:t>
      </w:r>
      <w:bookmarkStart w:id="5" w:name="References"/>
      <w:bookmarkEnd w:id="4"/>
      <w:r w:rsidRPr="00CF3F96">
        <w:t>(2025/2875(RSP))</w:t>
      </w:r>
      <w:bookmarkEnd w:id="5"/>
    </w:p>
    <w:p w14:paraId="47FC1DCD" w14:textId="77777777" w:rsidR="005D5572" w:rsidRPr="00CF3F96" w:rsidRDefault="005D5572" w:rsidP="005D5572"/>
    <w:p w14:paraId="0FF2B0C4" w14:textId="77777777" w:rsidR="00B46D25" w:rsidRPr="00CF3F96" w:rsidRDefault="00B46D25" w:rsidP="00B46D25">
      <w:pPr>
        <w:pStyle w:val="Corps"/>
        <w:rPr>
          <w:rFonts w:eastAsia="Times New Roman"/>
          <w:i/>
          <w:iCs/>
          <w:bdr w:val="none" w:sz="0" w:space="0" w:color="auto"/>
        </w:rPr>
      </w:pPr>
      <w:bookmarkStart w:id="6" w:name="TextBodyBegin"/>
      <w:bookmarkEnd w:id="6"/>
      <w:r w:rsidRPr="00CF3F96">
        <w:rPr>
          <w:i/>
          <w:bdr w:val="none" w:sz="0" w:space="0" w:color="auto"/>
        </w:rPr>
        <w:t>Το Ευρωπαϊκό Κοινοβούλιο,</w:t>
      </w:r>
    </w:p>
    <w:p w14:paraId="6C73F9C3" w14:textId="77777777" w:rsidR="00B46D25" w:rsidRPr="00CF3F96" w:rsidRDefault="00B46D25" w:rsidP="00B46D25">
      <w:pPr>
        <w:pStyle w:val="NormalHanging12a"/>
        <w:ind w:left="0" w:firstLine="0"/>
        <w:rPr>
          <w:rFonts w:eastAsia="Aptos"/>
          <w:lang w:eastAsia="en-US"/>
        </w:rPr>
      </w:pPr>
    </w:p>
    <w:p w14:paraId="38418E46" w14:textId="77777777" w:rsidR="00B46D25" w:rsidRPr="00CF3F96" w:rsidRDefault="00B46D25" w:rsidP="00B46D25">
      <w:pPr>
        <w:pStyle w:val="NormalHanging12a"/>
      </w:pPr>
      <w:r w:rsidRPr="00CF3F96">
        <w:t>–</w:t>
      </w:r>
      <w:r w:rsidRPr="00CF3F96">
        <w:tab/>
        <w:t xml:space="preserve">έχοντας υπόψη τη Συμφωνία του </w:t>
      </w:r>
      <w:proofErr w:type="spellStart"/>
      <w:r w:rsidRPr="00CF3F96">
        <w:t>Μαρακές</w:t>
      </w:r>
      <w:proofErr w:type="spellEnd"/>
      <w:r w:rsidRPr="00CF3F96">
        <w:t>, της 15ης Απριλίου 1994, για την ίδρυση του Παγκόσμιου Οργανισμού Εμπορίου (ΠΟΕ),</w:t>
      </w:r>
    </w:p>
    <w:p w14:paraId="45FBE494" w14:textId="77777777" w:rsidR="00B46D25" w:rsidRPr="00CF3F96" w:rsidRDefault="00B46D25" w:rsidP="00B46D25">
      <w:pPr>
        <w:pStyle w:val="NormalHanging12a"/>
      </w:pPr>
      <w:r w:rsidRPr="00CF3F96">
        <w:t>–</w:t>
      </w:r>
      <w:r w:rsidRPr="00CF3F96">
        <w:tab/>
        <w:t>έχοντας υπόψη την υπουργική δήλωση που εγκρίθηκε στις 14 Νοεμβρίου 2001 κατά την Υπουργική Συνδιάσκεψη του ΠΟΕ στην Ντόχα,</w:t>
      </w:r>
    </w:p>
    <w:p w14:paraId="6B7CD0BD" w14:textId="77777777" w:rsidR="00B46D25" w:rsidRPr="00CF3F96" w:rsidRDefault="00B46D25" w:rsidP="00B46D25">
      <w:pPr>
        <w:pStyle w:val="NormalHanging12a"/>
      </w:pPr>
      <w:r w:rsidRPr="00CF3F96">
        <w:t>–</w:t>
      </w:r>
      <w:r w:rsidRPr="00CF3F96">
        <w:tab/>
        <w:t xml:space="preserve">έχοντας υπόψη τα προηγούμενα ψηφίσματά του σχετικά με τον ΠΟΕ, και ιδίως τα ψηφίσματά του της 8ης Φεβρουαρίου 2024 σχετικά με τις πολυμερείς διαπραγματεύσεις ενόψει της 13ης Υπουργικής Συνδιάσκεψης του ΠΟΕ στο Αμπού </w:t>
      </w:r>
      <w:proofErr w:type="spellStart"/>
      <w:r w:rsidRPr="00CF3F96">
        <w:t>Ντάμπι</w:t>
      </w:r>
      <w:proofErr w:type="spellEnd"/>
      <w:r w:rsidRPr="00CF3F96">
        <w:rPr>
          <w:vertAlign w:val="superscript"/>
        </w:rPr>
        <w:footnoteReference w:id="1"/>
      </w:r>
      <w:r w:rsidRPr="00CF3F96">
        <w:t>, της 25ης Νοεμβρίου 2021 σχετικά με τις πολυμερείς διαπραγματεύσεις ενόψει της 12ης Υπουργικής Συνδιάσκεψης του ΠΟΕ στη Γενεύη</w:t>
      </w:r>
      <w:r w:rsidRPr="00CF3F96">
        <w:rPr>
          <w:vertAlign w:val="superscript"/>
        </w:rPr>
        <w:footnoteReference w:id="2"/>
      </w:r>
      <w:r w:rsidRPr="00CF3F96">
        <w:t>, της 29ης Νοεμβρίου 2018 με τίτλο «ΠΟΕ: πορεία προς το μέλλον»</w:t>
      </w:r>
      <w:r w:rsidRPr="00CF3F96">
        <w:rPr>
          <w:vertAlign w:val="superscript"/>
        </w:rPr>
        <w:footnoteReference w:id="3"/>
      </w:r>
      <w:r w:rsidRPr="00CF3F96">
        <w:t xml:space="preserve"> και της 28ης Νοεμβρίου 2019 σχετικά με την κρίση στο δευτεροβάθμιο δικαιοδοτικό όργανο του ΠΟΕ</w:t>
      </w:r>
      <w:r w:rsidRPr="00CF3F96">
        <w:rPr>
          <w:vertAlign w:val="superscript"/>
        </w:rPr>
        <w:footnoteReference w:id="4"/>
      </w:r>
      <w:r w:rsidRPr="00CF3F96">
        <w:t>,</w:t>
      </w:r>
    </w:p>
    <w:p w14:paraId="2E60CDBC" w14:textId="77777777" w:rsidR="00B46D25" w:rsidRPr="00CF3F96" w:rsidRDefault="00B46D25" w:rsidP="00B46D25">
      <w:pPr>
        <w:pStyle w:val="NormalHanging12a"/>
      </w:pPr>
      <w:r w:rsidRPr="00CF3F96">
        <w:t>–</w:t>
      </w:r>
      <w:r w:rsidRPr="00CF3F96">
        <w:tab/>
        <w:t xml:space="preserve">έχοντας υπόψη τα έγγραφα αποτελεσμάτων που εγκρίθηκαν με συναίνεση κατά τις ετήσιες συνόδους της Κοινοβουλευτικής Διάσκεψης για τον ΠΟΕ στις 25 Φεβρουαρίου 2024 στο Αμπού </w:t>
      </w:r>
      <w:proofErr w:type="spellStart"/>
      <w:r w:rsidRPr="00CF3F96">
        <w:t>Ντάμπι</w:t>
      </w:r>
      <w:proofErr w:type="spellEnd"/>
      <w:r w:rsidRPr="00CF3F96">
        <w:t>, στις 7 Δεκεμβρίου 2018 στη Γενεύη και στις 10 Δεκεμβρίου 2017 στο Μπουένος Άιρες,</w:t>
      </w:r>
    </w:p>
    <w:p w14:paraId="52C16E80" w14:textId="77777777" w:rsidR="00B46D25" w:rsidRPr="00CF3F96" w:rsidRDefault="00B46D25" w:rsidP="00B46D25">
      <w:pPr>
        <w:pStyle w:val="NormalHanging12a"/>
      </w:pPr>
      <w:r w:rsidRPr="00CF3F96">
        <w:t>–</w:t>
      </w:r>
      <w:r w:rsidRPr="00CF3F96">
        <w:tab/>
        <w:t xml:space="preserve">έχοντας υπόψη τα αποτελέσματα της 13ης Υπουργικής Συνδιάσκεψης του ΠΟΕ (MC13) που πραγματοποιήθηκε στο Αμπού </w:t>
      </w:r>
      <w:proofErr w:type="spellStart"/>
      <w:r w:rsidRPr="00CF3F96">
        <w:t>Ντάμπι</w:t>
      </w:r>
      <w:proofErr w:type="spellEnd"/>
      <w:r w:rsidRPr="00CF3F96">
        <w:t xml:space="preserve"> τον Φεβρουάριο του 2024, τα οποία περιλάμβαναν την έγκριση της υπουργικής δήλωσης του Αμπού </w:t>
      </w:r>
      <w:proofErr w:type="spellStart"/>
      <w:r w:rsidRPr="00CF3F96">
        <w:t>Ντάμπι</w:t>
      </w:r>
      <w:proofErr w:type="spellEnd"/>
      <w:r w:rsidRPr="00CF3F96">
        <w:t xml:space="preserve">, η οποία συνδέει το εμπόριο με το θεματολόγιο των Ηνωμένων Εθνών για το 2030, και την </w:t>
      </w:r>
      <w:r w:rsidRPr="00CF3F96">
        <w:lastRenderedPageBreak/>
        <w:t xml:space="preserve">προσχώρηση των </w:t>
      </w:r>
      <w:proofErr w:type="spellStart"/>
      <w:r w:rsidRPr="00CF3F96">
        <w:t>Κομορών</w:t>
      </w:r>
      <w:proofErr w:type="spellEnd"/>
      <w:r w:rsidRPr="00CF3F96">
        <w:t xml:space="preserve"> και του Ανατολικού Τιμόρ στον ΠΟΕ, αλλά δεν περιλάμβαναν συμφωνίες σχετικά με βασικούς τομείς όπως οι επιδοτήσεις στον τομέα της αλιείας, η γεωργία και η μεταρρύθμιση της επίλυσης διαφορών,</w:t>
      </w:r>
    </w:p>
    <w:p w14:paraId="61B91018" w14:textId="77777777" w:rsidR="00B46D25" w:rsidRPr="00CF3F96" w:rsidRDefault="00B46D25" w:rsidP="00B46D25">
      <w:pPr>
        <w:pStyle w:val="NormalHanging12a"/>
      </w:pPr>
      <w:r w:rsidRPr="00CF3F96">
        <w:t>–</w:t>
      </w:r>
      <w:r w:rsidRPr="00CF3F96">
        <w:tab/>
        <w:t>έχοντας υπόψη την έναρξη ισχύος, στις 15 Σεπτεμβρίου 2025, της συμφωνίας του ΠΟΕ για τις επιδοτήσεις στον τομέα της αλιείας, η οποία δεσμεύει τα μέλη να μειώσουν τις ετήσιες δαπάνες δισεκατομμυρίων δολαρίων για τις πλέον επιζήμιες επιδοτήσεις που συμβάλλουν στην εξάντληση των θαλάσσιων ιχθυαποθεμάτων,</w:t>
      </w:r>
    </w:p>
    <w:p w14:paraId="13AB62A1" w14:textId="77777777" w:rsidR="00B46D25" w:rsidRPr="00CF3F96" w:rsidRDefault="00B46D25" w:rsidP="00B46D25">
      <w:pPr>
        <w:pStyle w:val="NormalHanging12a"/>
      </w:pPr>
      <w:r w:rsidRPr="00CF3F96">
        <w:t>–</w:t>
      </w:r>
      <w:r w:rsidRPr="00CF3F96">
        <w:tab/>
        <w:t>έχοντας υπόψη τους Στόχους Βιώσιμης Ανάπτυξης (ΣΒΑ) των Ηνωμένων Εθνών,</w:t>
      </w:r>
    </w:p>
    <w:p w14:paraId="30F38245" w14:textId="77777777" w:rsidR="00B46D25" w:rsidRPr="00CF3F96" w:rsidRDefault="00B46D25" w:rsidP="00B46D25">
      <w:pPr>
        <w:pStyle w:val="NormalHanging12a"/>
      </w:pPr>
      <w:r w:rsidRPr="00CF3F96">
        <w:t>–</w:t>
      </w:r>
      <w:r w:rsidRPr="00CF3F96">
        <w:tab/>
        <w:t>έχοντας υπόψη τη Συμφωνία του Παρισιού σύμφωνα με τη σύμβαση-πλαίσιο των Ηνωμένων Εθνών για την αλλαγή του κλίματος, η οποία είναι σε ισχύ από τον Νοέμβριο του 2016,</w:t>
      </w:r>
    </w:p>
    <w:p w14:paraId="08D96B5C" w14:textId="77777777" w:rsidR="00B46D25" w:rsidRPr="00CF3F96" w:rsidRDefault="00B46D25" w:rsidP="00B46D25">
      <w:pPr>
        <w:pStyle w:val="NormalHanging12a"/>
      </w:pPr>
      <w:r w:rsidRPr="00CF3F96">
        <w:t>–</w:t>
      </w:r>
      <w:r w:rsidRPr="00CF3F96">
        <w:tab/>
        <w:t>έχοντας υπόψη την ανακοίνωση της Επιτροπής, της 18ης Φεβρουαρίου 2021, με τίτλο «Επανεξέταση της εμπορικής πολιτικής – Μια ανοικτή, βιώσιμη και δυναμική εμπορική πολιτική» και του παραρτήματός της με τίτλο «Μεταρρύθμιση του ΠΟΕ: Προς ένα βιώσιμο και αποτελεσματικό πολυμερές εμπορικό σύστημα» (COM(2021)0066),</w:t>
      </w:r>
    </w:p>
    <w:p w14:paraId="17F8572E" w14:textId="77777777" w:rsidR="00B46D25" w:rsidRPr="00CF3F96" w:rsidRDefault="00B46D25" w:rsidP="00B46D25">
      <w:pPr>
        <w:pStyle w:val="NormalHanging12a"/>
      </w:pPr>
      <w:r w:rsidRPr="00CF3F96">
        <w:t>–</w:t>
      </w:r>
      <w:r w:rsidRPr="00CF3F96">
        <w:tab/>
        <w:t>έχοντας υπόψη το άρθρο 136 παράγραφος 2 του Κανονισμού του,</w:t>
      </w:r>
    </w:p>
    <w:p w14:paraId="2D354060" w14:textId="77777777" w:rsidR="00B46D25" w:rsidRPr="00CF3F96" w:rsidRDefault="00B46D25" w:rsidP="00B46D25">
      <w:pPr>
        <w:pStyle w:val="NormalHanging12a"/>
      </w:pPr>
      <w:r w:rsidRPr="00CF3F96">
        <w:t>–</w:t>
      </w:r>
      <w:r w:rsidRPr="00CF3F96">
        <w:tab/>
        <w:t>έχοντας υπόψη την πρόταση ψηφίσματος της Επιτροπής Διεθνούς Εμπορίου,</w:t>
      </w:r>
    </w:p>
    <w:p w14:paraId="6EF37358" w14:textId="77777777" w:rsidR="00B46D25" w:rsidRPr="00CF3F96" w:rsidRDefault="00B46D25" w:rsidP="00B46D25">
      <w:pPr>
        <w:pStyle w:val="NormalHanging12a"/>
      </w:pPr>
      <w:r w:rsidRPr="00CF3F96">
        <w:t>Α.</w:t>
      </w:r>
      <w:r w:rsidRPr="00CF3F96">
        <w:tab/>
        <w:t>λαμβάνοντας υπόψη ότι ο ΠΟΕ δημιουργήθηκε για την προώθηση της ελευθέρωσης του εμπορίου αγαθών και υπηρεσιών, την ενίσχυση της πολυμερούς προσέγγισης και την προώθηση ενός δίκαιου, ανοικτού, συμπεριληπτικού, βασισμένου σε κανόνες και χωρίς διακρίσεις πολυμερούς εμπορικού συστήματος, προκειμένου να διευκολυνθεί η ανταλλαγή αγαθών και υπηρεσιών, να παρασχεθούν ευκαιρίες για απασχόληση, ανάπτυξη και ευημερία και να βελτιωθεί η ευημερία των ανθρώπων σε ολόκληρο τον κόσμο· λαμβάνοντας υπόψη ότι ο συνολικός στόχος της εμπορικής πολιτικής της ΕΕ είναι να συμβάλει στην αρμονική ανάπτυξη του παγκόσμιου εμπορίου, την προοδευτική κατάργηση των περιορισμών στο διεθνές εμπόριο και στις άμεσες ξένες επενδύσεις, καθώς και στη μείωση των δασμών και άλλων φραγμών· λαμβάνοντας υπόψη ότι η πρωταρχική εντολή του ΠΟΕ είναι να εξασφαλίζει την πρόσβαση στην αγορά, την προβλεψιμότητα και νομική ασφάλεια στο διεθνές εμπόριο και ότι δεν θα πρέπει να εξελιχθεί σε ένα φόρουμ γενικής πολιτικής που υπερβαίνει τις κεντρικές εμπορικές λειτουργίες του· λαμβάνοντας υπόψη ότι το εμπόριο είναι ζωτικής σημασίας και αποτελεί βασικό μέσο που στηρίζει και συμπληρώνει τις προσπάθειες για την προαγωγή της βιώσιμης ανάπτυξης και τη βελτίωση του βιοτικού επιπέδου, καθώς διασφαλίζει την πλήρη και ποιοτικότερη απασχόληση και έναν μεγάλο και σταθερά αυξανόμενο όγκο πραγματικού εισοδήματος σύμφωνα με τον στόχο της βιώσιμης ανάπτυξης·</w:t>
      </w:r>
    </w:p>
    <w:p w14:paraId="0C9CFA52" w14:textId="77777777" w:rsidR="00B46D25" w:rsidRPr="00CF3F96" w:rsidRDefault="00B46D25" w:rsidP="00B46D25">
      <w:pPr>
        <w:pStyle w:val="NormalHanging12a"/>
      </w:pPr>
      <w:r w:rsidRPr="00CF3F96">
        <w:t>Β.</w:t>
      </w:r>
      <w:r w:rsidRPr="00CF3F96">
        <w:tab/>
        <w:t xml:space="preserve">λαμβάνοντας υπόψη ότι το πολυμερές εμπορικό σύστημα αντιμετωπίζει σοβαρές πολιτικές και θεσμικές προκλήσεις· λαμβάνοντας υπόψη ότι οι προκλήσεις αυτές απορρέουν όχι μόνο από θεσμικές ελλείψεις, αλλά και από τη διάδοση μονομερών και προστατευτικών μέτρων, συμπεριλαμβανομένων εξαγωγικών περιορισμών, επιδοτήσεων που εισάγουν διακρίσεις και αθέμιτων εμπορικών πρακτικών, τα οποία υπονομεύουν την εμπιστοσύνη, κατακερματίζουν τις παγκόσμιες αξιακές αλυσίδες και βλάπτουν την παγκόσμια οικονομία και ευημερία· λαμβάνοντας υπόψη ότι η τρέχουσα </w:t>
      </w:r>
      <w:r w:rsidRPr="00CF3F96">
        <w:lastRenderedPageBreak/>
        <w:t>αναταραχή στο παγκόσμιο εμπόριο δημιουργεί τεράστια αβεβαιότητα και οικονομικό κόστος σε ολόκληρο τον κόσμο, γεγονός που καταδεικνύει σαφώς ότι οι προβλέψιμοι, σταθεροί και δίκαιοι κανόνες είναι ζωτικής σημασίας για την άνθηση του εμπορίου·</w:t>
      </w:r>
    </w:p>
    <w:p w14:paraId="7D3BDF4C" w14:textId="77777777" w:rsidR="00B46D25" w:rsidRPr="00CF3F96" w:rsidRDefault="00B46D25" w:rsidP="00B46D25">
      <w:pPr>
        <w:pStyle w:val="NormalHanging12a"/>
        <w:rPr>
          <w:bCs/>
          <w:iCs/>
        </w:rPr>
      </w:pPr>
      <w:r w:rsidRPr="00CF3F96">
        <w:t>Γ.</w:t>
      </w:r>
      <w:r w:rsidRPr="00CF3F96">
        <w:tab/>
        <w:t>λαμβάνοντας υπόψη ότι το πολυμερές εμπορικό σύστημα παραμένει σε μεγάλο βαθμό ζωντανό και ενεργό, με το 72 % του παγκόσμιου εμπορίου να εξακολουθεί να διεξάγεται σήμερα σύμφωνα με τους κανόνες που αφορούν το καθεστώς του μάλλον ευνοούμενου κράτους (MEK)· λαμβάνοντας υπόψη ότι αυτό καταδεικνύει ότι ο ΠΟΕ εξακολουθεί να παρέχει ένα ζωτικής σημασίας πλαίσιο προβλεψιμότητας και σταθερότητας για το παγκόσμιο εμπόριο, και ότι η διασφάλιση των βασικών αρχών και κανόνων του παραμένει καίριας σημασίας·</w:t>
      </w:r>
    </w:p>
    <w:p w14:paraId="7CF259B2" w14:textId="77777777" w:rsidR="00B46D25" w:rsidRPr="00CF3F96" w:rsidRDefault="00B46D25" w:rsidP="00B46D25">
      <w:pPr>
        <w:pStyle w:val="NormalHanging12a"/>
      </w:pPr>
      <w:r w:rsidRPr="00CF3F96">
        <w:t>Δ.</w:t>
      </w:r>
      <w:r w:rsidRPr="00CF3F96">
        <w:tab/>
        <w:t>λαμβάνοντας υπόψη ότι η συνεργασία και η δέσμευση με τις αναπτυσσόμενες χώρες είναι ζωτικής σημασίας για τη διατήρηση της πολυμερούς τάξης που βασίζεται σε κανόνες· λαμβάνοντας υπόψη ότι η συνεργασία αυτή θα πρέπει να βασίζεται στον αμοιβαίο σεβασμό και σε μια πραγματική δέσμευση για την προώθηση της διεθνούς συνεργασίας·</w:t>
      </w:r>
    </w:p>
    <w:p w14:paraId="786801DD" w14:textId="77777777" w:rsidR="00B46D25" w:rsidRPr="00CF3F96" w:rsidRDefault="00B46D25" w:rsidP="00B46D25">
      <w:pPr>
        <w:pStyle w:val="NormalHanging12a"/>
      </w:pPr>
      <w:r w:rsidRPr="00CF3F96">
        <w:t>Ε.</w:t>
      </w:r>
      <w:r w:rsidRPr="00CF3F96">
        <w:tab/>
        <w:t>λαμβάνοντας υπόψη ότι το παγκόσμιο εμπορικό τοπίο έχει μετασχηματιστεί τα τελευταία 30 χρόνια, μεταξύ άλλων μέσω της οικονομικής προόδου βασικών χωρών της G20 και αλλαγών στο σχετικό βάρος τους στο παγκόσμιο εμπόριο, καθώς και μέσω της αυξημένης και ποικιλόμορφης συμμετοχής στον ΠΟΕ· λαμβάνοντας υπόψη ότι ο ΠΟΕ δυσκολεύτηκε να αποτυπώσει τη νέα οικονομική και εμπορική πραγματικότητα, με αποτέλεσμα να μην καταφέρει να προσφέρει ένα φιλόδοξο θεματολόγιο, λόγω του μεγάλου αριθμού των μελών του και της ποικιλίας των συμφερόντων του· λαμβάνοντας υπόψη ότι ασκείται σοβαρή πίεση στο παγκόσμιο εμπορικό σύστημα, η οποία απορρέει από τον αυξανόμενο προστατευτισμό των εμπορικών πολιτικών των ΗΠΑ, αλλά και από τις μη εμπορικές πολιτικές και πρακτικές της Κίνας, οι οποίες δημιουργούν πλεονάζουσα παραγωγική ικανότητα και στρεβλώσεις της αγοράς στο σύστημα·</w:t>
      </w:r>
    </w:p>
    <w:p w14:paraId="491C7365" w14:textId="77777777" w:rsidR="00B46D25" w:rsidRPr="00CF3F96" w:rsidRDefault="00B46D25" w:rsidP="00B46D25">
      <w:pPr>
        <w:pStyle w:val="NormalHanging12a"/>
        <w:rPr>
          <w:bCs/>
          <w:iCs/>
        </w:rPr>
      </w:pPr>
      <w:r w:rsidRPr="00CF3F96">
        <w:t>ΣΤ.</w:t>
      </w:r>
      <w:r w:rsidRPr="00CF3F96">
        <w:tab/>
        <w:t xml:space="preserve">λαμβάνοντας υπόψη ότι ο ΠΟΕ είναι ένας μοναδικός πολυμερής οργανισμός υπό την έννοια ότι κάθε μέλος συμμετέχει επί </w:t>
      </w:r>
      <w:proofErr w:type="spellStart"/>
      <w:r w:rsidRPr="00CF3F96">
        <w:t>ίσοις</w:t>
      </w:r>
      <w:proofErr w:type="spellEnd"/>
      <w:r w:rsidRPr="00CF3F96">
        <w:t xml:space="preserve"> </w:t>
      </w:r>
      <w:proofErr w:type="spellStart"/>
      <w:r w:rsidRPr="00CF3F96">
        <w:t>όροις</w:t>
      </w:r>
      <w:proofErr w:type="spellEnd"/>
      <w:r w:rsidRPr="00CF3F96">
        <w:t>, δημιουργεί και διέπει δεσμευτικούς εμπορικούς κανόνες μεταξύ των μελών του και υποστηρίζεται από ένα νομικά δεσμευτικό σύστημα επίλυσης διαφορών· λαμβάνοντας υπόψη ότι ένα εύρυθμο και βασιζόμενο σε κανόνες πολυμερές εμπορικό σύστημα είναι απαραίτητο για τη διασφάλιση της ανταγωνιστικότητας της ευρωπαϊκής οικονομίας, την ενίσχυση της ανθεκτικότητας της εφοδιαστικής αλυσίδας και τη στήριξη της στρατηγικής ανθεκτικότητας της ΕΕ εν γένει·</w:t>
      </w:r>
    </w:p>
    <w:p w14:paraId="6383CA1F" w14:textId="77777777" w:rsidR="00B46D25" w:rsidRPr="00CF3F96" w:rsidRDefault="00B46D25" w:rsidP="00B46D25">
      <w:pPr>
        <w:pStyle w:val="NormalHanging12a"/>
      </w:pPr>
      <w:r w:rsidRPr="00CF3F96">
        <w:t>Ζ.</w:t>
      </w:r>
      <w:r w:rsidRPr="00CF3F96">
        <w:tab/>
        <w:t>λαμβάνοντας υπόψη ότι οι ισχύοντες κανόνες του ΠΟΕ για τις επιδοτήσεις δεν έχουν προσαρμοστεί στις μεταβαλλόμενες συνθήκες που επικρατούν στο παγκόσμιο εμπόριο· λαμβάνοντας υπόψη ότι οι παρωχημένοι κανόνες δεν μπόρεσαν να περιορίσουν τις στρεβλωτικές κρατικές παρεμβάσεις· λαμβάνοντας υπόψη ότι ο θεμιτός ανταγωνισμός και ο περιορισμός των δευτερογενών επιπτώσεων των βιομηχανικών πολιτικών αποτελούν βασικές προϋποθέσεις για την επίτευξη των στόχων εκβιομηχάνισης των αναπτυσσόμενων χωρών·</w:t>
      </w:r>
    </w:p>
    <w:p w14:paraId="51EDFEB2" w14:textId="77777777" w:rsidR="00B46D25" w:rsidRPr="00CF3F96" w:rsidRDefault="00B46D25" w:rsidP="00B46D25">
      <w:pPr>
        <w:pStyle w:val="NormalHanging12a"/>
      </w:pPr>
      <w:r w:rsidRPr="00CF3F96">
        <w:t>Η.</w:t>
      </w:r>
      <w:r w:rsidRPr="00CF3F96">
        <w:tab/>
        <w:t>λαμβάνοντας υπόψη ότι ο ΠΟΕ πρέπει να προσαρμοστεί σε αυτές τις νέες πραγματικότητες και να εκσυγχρονιστεί ώστε να είναι έτοιμος για τον 21ο αιώνα και να αντιμετωπίσει τις νέες προκλήσεις που σχετίζονται με την πράσινη και την ψηφιακή μετάβαση·</w:t>
      </w:r>
    </w:p>
    <w:p w14:paraId="3250E109" w14:textId="77777777" w:rsidR="00B46D25" w:rsidRPr="00CF3F96" w:rsidRDefault="00B46D25" w:rsidP="00B46D25">
      <w:pPr>
        <w:pStyle w:val="NormalHanging12a"/>
        <w:rPr>
          <w:bCs/>
          <w:iCs/>
        </w:rPr>
      </w:pPr>
      <w:r w:rsidRPr="00CF3F96">
        <w:lastRenderedPageBreak/>
        <w:t>Θ.</w:t>
      </w:r>
      <w:r w:rsidRPr="00CF3F96">
        <w:tab/>
        <w:t>λαμβάνοντας υπόψη ότι έκθεση των Ηνωμένων Εθνών για το εμπόριο και την ανάπτυξη του 2025</w:t>
      </w:r>
      <w:r w:rsidRPr="00CF3F96">
        <w:rPr>
          <w:bCs/>
          <w:iCs/>
          <w:vertAlign w:val="superscript"/>
        </w:rPr>
        <w:footnoteReference w:id="5"/>
      </w:r>
      <w:r w:rsidRPr="00CF3F96">
        <w:t xml:space="preserve"> κατέδειξε ότι, σε αντίθεση με τα επιχειρήματα των αντιπάλων του μορατόριουμ για το ηλεκτρονικό εμπόριο, τα έσοδα από τη φορολόγηση της ψηφιακής οικονομίας θα ήταν περιορισμένα και ενέχουν τον κίνδυνο υπονόμευσης της ανταγωνιστικότητας και του εμπορίου·</w:t>
      </w:r>
    </w:p>
    <w:p w14:paraId="63D5DF19" w14:textId="77777777" w:rsidR="00B46D25" w:rsidRPr="00CF3F96" w:rsidRDefault="00B46D25" w:rsidP="00B46D25">
      <w:pPr>
        <w:pStyle w:val="NormalHanging12a"/>
      </w:pPr>
      <w:r w:rsidRPr="00CF3F96">
        <w:t>Ι.</w:t>
      </w:r>
      <w:r w:rsidRPr="00CF3F96">
        <w:tab/>
        <w:t>λαμβάνοντας υπόψη ότι η συμφωνία του ΠΟΕ για τις επιδοτήσεις στον τομέα της αλιείας, η οποία συνάφθηκε κατά τη 12η Υπουργική Συνδιάσκεψη και τέθηκε σε ισχύ τον Σεπτέμβριο του 2025, είναι η πρώτη στην ιστορία πολυμερής εμπορική συμφωνία με επίκεντρο την περιβαλλοντική βιωσιμότητα και θεσπίζει ένα δεσμευτικό σύνολο παγκόσμιων κανόνων που θα συμβάλουν στον περιορισμό των επιζήμιων επιδοτήσεων ύψους περίπου 22 δισεκατομμυρίων δολαρίων ΗΠΑ ετησίως που παρέχονται από τις κυβερνήσεις στον τομέα της αλιείας, όπως απαιτείται στο πλαίσιο του ΣΒΑ 14.6·</w:t>
      </w:r>
    </w:p>
    <w:p w14:paraId="1EDCB134" w14:textId="77777777" w:rsidR="00B46D25" w:rsidRPr="00CF3F96" w:rsidRDefault="00B46D25" w:rsidP="00B46D25">
      <w:pPr>
        <w:pStyle w:val="NormalHanging12a"/>
      </w:pPr>
      <w:r w:rsidRPr="00CF3F96">
        <w:t>ΙΑ.</w:t>
      </w:r>
      <w:r w:rsidRPr="00CF3F96">
        <w:tab/>
        <w:t>λαμβάνοντας υπόψη ότι η επισιτιστική ασφάλεια εξακολουθεί να αποτελεί πρόκληση, καθώς 258 εκατομμύρια άνθρωποι χαρακτηρίστηκαν ως ευρισκόμενοι σε κρίση ή σε σοβαρότερες φάσεις οξείας επισιτιστικής ανασφάλειας το 2022, έναντι 193 εκατομμυρίων το 2021· λαμβάνοντας υπόψη ότι η συμφωνία του ΠΟΕ για τη γεωργία στο πλαίσιο του Γύρου της Ουρουγουάης αναγνωρίζει ρητά τη σημασία της εξέτασης της επισιτιστικής ασφάλειας στις εν εξελίξει διαπραγματεύσεις· λαμβάνοντας υπόψη ότι το εμπόριο έχει τη δυνατότητα να ενισχύσει τη διαθεσιμότητα τροφίμων σε περιοχές όπου είναι περιορισμένη και μπορεί επίσης να συμβάλει στη βελτίωση της οικονομικής πρόσβασης σε τρόφιμα μέσω της δημιουργίας ευκαιριών απασχόλησης και της ενίσχυσης των εισοδημάτων·</w:t>
      </w:r>
    </w:p>
    <w:p w14:paraId="1386D9AE" w14:textId="77777777" w:rsidR="00B46D25" w:rsidRPr="00CF3F96" w:rsidRDefault="00B46D25" w:rsidP="00B46D25">
      <w:pPr>
        <w:pStyle w:val="NormalHanging12a"/>
      </w:pPr>
      <w:r w:rsidRPr="00CF3F96">
        <w:t>ΙΒ.</w:t>
      </w:r>
      <w:r w:rsidRPr="00CF3F96">
        <w:tab/>
        <w:t>λαμβάνοντας υπόψη ότι από τις 11 Δεκεμβρίου 2019 το δευτεροβάθμιο δικαιοδοτικό όργανο του ΠΟΕ έχει πάψει να λειτουργεί, με αποτέλεσμα να διακοπούν οι εργασίες στο επίπεδο μιας λειτουργικής, ανεξάρτητης και αμερόληπτης δευτεροβάθμιας δικαιοδοσίας στο πλαίσιο της επίλυσης διαφορών· λαμβάνοντας υπόψη ότι η συζήτηση υπό την καθοδήγηση διαμεσολαβητών σχετικά με τη μεταρρύθμιση της επίλυσης διαφορών μετά την MC13 δεν έχει ακόμη οδηγήσει σε ικανοποιητικό αποτέλεσμα·</w:t>
      </w:r>
    </w:p>
    <w:p w14:paraId="3759AE1F" w14:textId="77777777" w:rsidR="00B46D25" w:rsidRPr="00CF3F96" w:rsidRDefault="00B46D25" w:rsidP="00B46D25">
      <w:pPr>
        <w:pStyle w:val="NormalHanging12a"/>
      </w:pPr>
      <w:r w:rsidRPr="00CF3F96">
        <w:t>ΙΓ.</w:t>
      </w:r>
      <w:r w:rsidRPr="00CF3F96">
        <w:tab/>
        <w:t>λαμβάνοντας υπόψη ότι, για περισσότερα από 20 χρόνια, το Ευρωπαϊκό Κοινοβούλιο, από κοινού με τη Διακοινοβουλευτική Ένωση, έχει διαδραματίσει καίριο ρόλο στην καθιέρωση μιας κοινοβουλευτικής διάστασης στον ΠΟΕ μέσω της Κοινοβουλευτικής Διάσκεψης για τον ΠΟΕ·</w:t>
      </w:r>
    </w:p>
    <w:p w14:paraId="0679A0CD" w14:textId="77777777" w:rsidR="00B46D25" w:rsidRPr="00CF3F96" w:rsidRDefault="00B46D25" w:rsidP="00B46D25">
      <w:pPr>
        <w:pStyle w:val="NormalHanging12a"/>
      </w:pPr>
      <w:r w:rsidRPr="00CF3F96">
        <w:t>ΙΔ.</w:t>
      </w:r>
      <w:r w:rsidRPr="00CF3F96">
        <w:tab/>
        <w:t>λαμβάνοντας υπόψη ότι, κατά τη διάρκεια του δημόσιου φόρουμ του ΠΟΕ που πραγματοποιήθηκε στις 17 και 18 Σεπτεμβρίου 2025, οι διοργανωτές ενθάρρυναν ενεργά την ενισχυμένη και διαρθρωμένη συμμετοχή του ιδιωτικού τομέα, αναγνωρίζοντας τον ουσιαστικό ρόλο του στη στήριξη ενός ανοικτού, προβλέψιμου και συμπεριληπτικού πολυμερούς εμπορικού συστήματος·</w:t>
      </w:r>
    </w:p>
    <w:p w14:paraId="031A7B2B" w14:textId="77777777" w:rsidR="00B46D25" w:rsidRPr="00CF3F96" w:rsidRDefault="00B46D25" w:rsidP="00B46D25">
      <w:pPr>
        <w:pStyle w:val="NormalHanging12a"/>
      </w:pPr>
      <w:r w:rsidRPr="00CF3F96">
        <w:t>ΙΕ.</w:t>
      </w:r>
      <w:r w:rsidRPr="00CF3F96">
        <w:tab/>
        <w:t xml:space="preserve">λαμβάνοντας υπόψη ότι η 14η Υπουργική Συνδιάσκεψη του ΠΟΕ (MC14) θα πραγματοποιηθεί στη </w:t>
      </w:r>
      <w:proofErr w:type="spellStart"/>
      <w:r w:rsidRPr="00CF3F96">
        <w:t>Γιαουντέ</w:t>
      </w:r>
      <w:proofErr w:type="spellEnd"/>
      <w:r w:rsidRPr="00CF3F96">
        <w:t>, από τις 26 έως τις 29 Μαρτίου 2026·</w:t>
      </w:r>
    </w:p>
    <w:p w14:paraId="29F3D7EB" w14:textId="62F9ACD5" w:rsidR="00B46D25" w:rsidRPr="00CF3F96" w:rsidRDefault="00CD5BF5" w:rsidP="00CD5BF5">
      <w:pPr>
        <w:pStyle w:val="NormalHanging12a"/>
        <w:ind w:hanging="570"/>
      </w:pPr>
      <w:r w:rsidRPr="00CF3F96">
        <w:lastRenderedPageBreak/>
        <w:t>1.</w:t>
      </w:r>
      <w:r w:rsidRPr="00CF3F96">
        <w:tab/>
      </w:r>
      <w:r w:rsidR="00B46D25" w:rsidRPr="00CF3F96">
        <w:t>επιβεβαιώνει την πλήρη προσήλωσή του στη διαχρονική αξία της πολυμερούς προσέγγισης και υπογραμμίζει ότι είναι αναγκαίο να υπάρχει ένα εκσυγχρονισμένο πολυμερές σύστημα που να διέπει το εμπόριο· ζητεί ένα εμπορικό θεματολόγιο που να εδράζεται σε ανοικτές και βασιζόμενες σε δίκαιους κανόνες εμπορικές συναλλαγές προς όφελος όλων, οι οποίες να συμβάλλουν στη βιώσιμη οικονομική ανάπτυξη, ώστε να ενισχύονται η ειρήνη και η ασφάλεια· τονίζει ότι ο ΠΟΕ θα πρέπει να προωθήσει την υλοποίηση των κοινωνικών και περιβαλλοντικών δικαιωμάτων, συμπεριλαμβανομένων των ΣΒΑ, ενώ θα πρέπει να διασφαλίζει την εφαρμογή, από όλους, των πολυμερώς συμφωνημένων και εναρμονισμένων κανόνων·</w:t>
      </w:r>
    </w:p>
    <w:p w14:paraId="0AAF2E2A" w14:textId="15907C35" w:rsidR="00B46D25" w:rsidRPr="00CF3F96" w:rsidRDefault="00CD5BF5" w:rsidP="00CD5BF5">
      <w:pPr>
        <w:pStyle w:val="NormalHanging12a"/>
        <w:ind w:hanging="570"/>
      </w:pPr>
      <w:r w:rsidRPr="00CF3F96">
        <w:t>2.</w:t>
      </w:r>
      <w:r w:rsidRPr="00CF3F96">
        <w:tab/>
      </w:r>
      <w:r w:rsidR="00B46D25" w:rsidRPr="00CF3F96">
        <w:t>παροτρύνει όλα τα μέλη του ΠΟΕ να δεσμευτούν για την επιτυχή έκβαση της MC14, δεδομένης της υπαρξιακής απειλής που αντιμετωπίζει το πολυμερές εμπορικό σύστημα· πιστεύει ότι η MC14 θα πρέπει να αποτελέσει το σημείο εκκίνησης για την προώθηση και τον εκσυγχρονισμό του ΠΟΕ, ώστε να διασφαλιστεί ότι θα είναι σε θέση να διαδραματίσει ρόλο στην αντιμετώπιση των προκλήσεων του 21ου αιώνα· καλεί τον ΠΟΕ να κινηθεί προς τη σύγκληση ετήσιων υπουργικών συνδιασκέψεων, αντί του τρέχοντος διετούς κύκλου, ώστε να ενισχυθεί η πολιτική καθοδήγηση, η λογοδοσία και η ικανότητα του ΠΟΕ να ανταποκρίνεται εγκαίρως στις παγκόσμιες εμπορικές προκλήσεις·</w:t>
      </w:r>
    </w:p>
    <w:p w14:paraId="7D8AB8ED" w14:textId="77777777" w:rsidR="00B46D25" w:rsidRPr="00CF3F96" w:rsidRDefault="00B46D25" w:rsidP="00B46D25">
      <w:pPr>
        <w:pStyle w:val="NormalHanging12a"/>
        <w:rPr>
          <w:bCs/>
          <w:i/>
          <w:iCs/>
        </w:rPr>
      </w:pPr>
      <w:r w:rsidRPr="00CF3F96">
        <w:rPr>
          <w:b/>
          <w:i/>
        </w:rPr>
        <w:t>Εκσυγχρονισμός του ΠΟΕ</w:t>
      </w:r>
    </w:p>
    <w:p w14:paraId="4DE55ABA" w14:textId="12385138" w:rsidR="00B46D25" w:rsidRPr="00CF3F96" w:rsidRDefault="00CD5BF5" w:rsidP="00CD5BF5">
      <w:pPr>
        <w:pStyle w:val="NormalHanging12a"/>
        <w:ind w:hanging="570"/>
      </w:pPr>
      <w:r w:rsidRPr="00CF3F96">
        <w:t>3.</w:t>
      </w:r>
      <w:r w:rsidRPr="00CF3F96">
        <w:tab/>
      </w:r>
      <w:r w:rsidR="00B46D25" w:rsidRPr="00CF3F96">
        <w:t>καλεί τα μέλη του ΠΟΕ να εγκρίνουν μια ολοκληρωμένη δέσμη μέτρων για την επανεξέταση των λειτουργιών παρακολούθησης, διαπραγμάτευσης, διαβούλευσης και επίλυσης διαφορών του ΠΟΕ· υποστηρίζει πλήρως τη διαδικασία εκσυγχρονισμού του ΠΟΕ υπό την καθοδήγηση διαμεσολαβητών και το θεματολόγιό της για την MC14 σχετικά με τον ολοκληρωμένο εκσυγχρονισμό και συμφωνεί με τους τρεις άξονες που προτείνει ο διαμεσολαβητής, δηλαδή τη διακυβέρνηση, τη δικαιοσύνη (ίσοι όροι ανταγωνισμού και ισορροπημένο εμπόριο) και τα «ζητήματα της εποχής μας»· ζητεί την έγκριση ενός σαφούς χάρτη πορείας για τις μεταρρυθμίσεις κατά τη διάρκεια της MC14, προκειμένου να διασφαλιστεί ότι ο εκσυγχρονισμός θα μπορέσει να συμφωνηθεί κατά τη 15η Υπουργική Συνδιάσκεψη·</w:t>
      </w:r>
    </w:p>
    <w:p w14:paraId="72D66A82" w14:textId="4B0B7946" w:rsidR="00B46D25" w:rsidRPr="00CF3F96" w:rsidRDefault="00CD5BF5" w:rsidP="00CD5BF5">
      <w:pPr>
        <w:pStyle w:val="NormalHanging12a"/>
        <w:ind w:hanging="570"/>
      </w:pPr>
      <w:r w:rsidRPr="00CF3F96">
        <w:t>4.</w:t>
      </w:r>
      <w:r w:rsidRPr="00CF3F96">
        <w:tab/>
      </w:r>
      <w:r w:rsidR="00B46D25" w:rsidRPr="00CF3F96">
        <w:t xml:space="preserve">υπογραμμίζει ότι η </w:t>
      </w:r>
      <w:proofErr w:type="spellStart"/>
      <w:r w:rsidR="00B46D25" w:rsidRPr="00CF3F96">
        <w:t>προβλεψιμότητα</w:t>
      </w:r>
      <w:proofErr w:type="spellEnd"/>
      <w:r w:rsidR="00B46D25" w:rsidRPr="00CF3F96">
        <w:t xml:space="preserve"> παραμένει ο ακρογωνιαίος λίθος του πολυμερούς εμπορικού συστήματος και ότι οι βασικοί κανόνες του ΠΟΕ, μεταξύ άλλων όσον αφορά τη δασμολογητέα αξία, τα υγειονομικά και φυτοϋγειονομικά μέτρα, τα τεχνικά εμπόδια στο εμπόριο, τη διευκόλυνση του εμπορίου και τη διανοητική ιδιοκτησία, εξακολουθούν να παρέχουν ουσιαστική ασφάλεια δικαίου για τις κυβερνήσεις και τις επιχειρήσεις παγκοσμίως·</w:t>
      </w:r>
    </w:p>
    <w:p w14:paraId="26C0EE5F" w14:textId="658C1B98" w:rsidR="00B46D25" w:rsidRPr="00CF3F96" w:rsidRDefault="00CD5BF5" w:rsidP="00CD5BF5">
      <w:pPr>
        <w:pStyle w:val="NormalHanging12a"/>
        <w:ind w:hanging="570"/>
      </w:pPr>
      <w:r w:rsidRPr="00CF3F96">
        <w:t>5.</w:t>
      </w:r>
      <w:r w:rsidRPr="00CF3F96">
        <w:tab/>
      </w:r>
      <w:r w:rsidR="00B46D25" w:rsidRPr="00CF3F96">
        <w:t xml:space="preserve">πιστεύει ότι η πρακτική της σύγχυσης της συναίνεσης με την ομοφωνία στη λήψη αποφάσεων μεταξύ των 166 μελών του ΠΟΕ έχει συμβάλει σε παράλυση· επιμένει ότι ο ΠΟΕ πρέπει να διδαχθεί από άλλους διεθνείς οργανισμούς και να κάνει διάκριση μεταξύ των τύπων αποφάσεων, καθώς και να έχει εποικοδομητική συζήτηση σχετικά με την πρακτική της συναίνεσης και να τη διακρίνει από την ομοφωνία· τονίζει ότι ο ΠΟΕ θα πρέπει να διερευνήσει πιο αποτελεσματικές και ευέλικτες διαδικασίες λήψης αποφάσεων, συμπεριλαμβανομένης της εφαρμογής της έννοιας της «υπεύθυνης συναίνεσης», σύμφωνα με την οποία τα μέλη θα ενθαρρύνονται να ασκούν εξουσία αρνησικυρίας μόνο όταν είναι αναγκαίο και να παρέχουν σαφή αιτιολόγηση, προωθώντας έτσι τη λογοδοσία και την εποικοδομητική συμμετοχή· τονίζει, επιπλέον, ότι ο ΠΟΕ θα πρέπει επίσης να διερευνήσει το ενδεχόμενο σύστασης διαχειριστικού ή </w:t>
      </w:r>
      <w:r w:rsidR="00B46D25" w:rsidRPr="00CF3F96">
        <w:lastRenderedPageBreak/>
        <w:t>εκτελεστικού οργάνου με ειδικό ρόλο στον καθορισμό της ημερήσιας διάταξης ή στις εποπτικές λειτουργίες, ανάλογων με τα εκτελεστικά συμβούλια του Διεθνούς Νομισματικού Ταμείου και της Παγκόσμιας Τράπεζας·</w:t>
      </w:r>
    </w:p>
    <w:p w14:paraId="528570C7" w14:textId="6330E348" w:rsidR="00B46D25" w:rsidRPr="00CF3F96" w:rsidRDefault="00CD5BF5" w:rsidP="00CD5BF5">
      <w:pPr>
        <w:pStyle w:val="NormalHanging12a"/>
        <w:ind w:hanging="570"/>
      </w:pPr>
      <w:r w:rsidRPr="00CF3F96">
        <w:t>6.</w:t>
      </w:r>
      <w:r w:rsidRPr="00CF3F96">
        <w:tab/>
      </w:r>
      <w:r w:rsidR="00B46D25" w:rsidRPr="00CF3F96">
        <w:t xml:space="preserve">ενθαρρύνει την προώθηση των διαπραγματεύσεων για πολυμερείς συμφωνίες, τονίζοντας παράλληλα την ανάγκη να διευκολυνθεί η ενσωμάτωση των </w:t>
      </w:r>
      <w:proofErr w:type="spellStart"/>
      <w:r w:rsidR="00B46D25" w:rsidRPr="00CF3F96">
        <w:t>πλειονομερών</w:t>
      </w:r>
      <w:proofErr w:type="spellEnd"/>
      <w:r w:rsidR="00B46D25" w:rsidRPr="00CF3F96">
        <w:t xml:space="preserve"> συμφωνιών στην πολυμερή αρχιτεκτονική, προκειμένου να εξασφαλιστεί πρόοδος σε τομείς που δεν είναι αρκετά ώριμοι για το σύνολο των μελών· υπογραμμίζει ότι οι ανοικτές </w:t>
      </w:r>
      <w:proofErr w:type="spellStart"/>
      <w:r w:rsidR="00B46D25" w:rsidRPr="00CF3F96">
        <w:t>πλειονομερείς</w:t>
      </w:r>
      <w:proofErr w:type="spellEnd"/>
      <w:r w:rsidR="00B46D25" w:rsidRPr="00CF3F96">
        <w:t xml:space="preserve"> πρωτοβουλίες θα πρέπει να επιτρέπουν σε κάθε μέλος που το επιθυμεί να προχωρήσει· επαναλαμβάνει, συνεπώς, το αίτημά του προς τα μέλη του ΠΟΕ να εξετάσουν με ποιο τρόπο μπορεί να αναπτυχθεί ένα νέο σύστημα στο πλαίσιο του οποίου ένα μόνο μέλος ή μια ομάδα μη συμμετεχόντων μελών δεν θα μπορεί να εμποδίσει τη στενότερη συνεργασία σε μια </w:t>
      </w:r>
      <w:proofErr w:type="spellStart"/>
      <w:r w:rsidR="00B46D25" w:rsidRPr="00CF3F96">
        <w:t>πλειονομερή</w:t>
      </w:r>
      <w:proofErr w:type="spellEnd"/>
      <w:r w:rsidR="00B46D25" w:rsidRPr="00CF3F96">
        <w:t xml:space="preserve"> πρωτοβουλία, ιδίως όταν αυτή βασίζεται στο ΜΕΚ και, ως εκ τούτου, τα οφέλη της ισχύουν για το σύνολο των μελών, και σε αυτή τη βάση να θεσπίσουν έναν απλό μηχανισμό που θα επιτρέπει την ενσωμάτωση των συμφωνιών που προκύπτουν στη δομή του ΠΟΕ·</w:t>
      </w:r>
    </w:p>
    <w:p w14:paraId="644459F5" w14:textId="281FB35E" w:rsidR="00B46D25" w:rsidRPr="00CF3F96" w:rsidRDefault="00CD5BF5" w:rsidP="00CD5BF5">
      <w:pPr>
        <w:pStyle w:val="NormalHanging12a"/>
        <w:ind w:hanging="570"/>
        <w:rPr>
          <w:i/>
        </w:rPr>
      </w:pPr>
      <w:r w:rsidRPr="00CF3F96">
        <w:rPr>
          <w:i/>
        </w:rPr>
        <w:t>7.</w:t>
      </w:r>
      <w:r w:rsidRPr="00CF3F96">
        <w:rPr>
          <w:i/>
        </w:rPr>
        <w:tab/>
      </w:r>
      <w:r w:rsidR="00B46D25" w:rsidRPr="00CF3F96">
        <w:t>εκφράζει τη λύπη του για την αύξηση των εμπορικών πολιτικών προστατευτισμού σε ολόκληρο τον κόσμο και για την απόφαση των ΗΠΑ να επιβάλουν πρόσθετους δασμούς στις εισαγωγές από εμπορικούς εταίρους, συμπεριλαμβανομένης της ΕΕ, αποκλίνοντας από την αρχή του ΜΕΚ χωρίς καμία αιτιολόγηση· καλεί τις Ηνωμένες Πολιτείες να συνεργαστούν εποικοδομητικά με τα μέλη του ΠΟΕ για την ενίσχυση και όχι την υπονόμευση του πολυμερούς εμπορικού συστήματος, επιδεικνύοντας έτσι παγκόσμια ηγετική θέση, και να επιτύχουν απτά αποτελέσματα κατά την MC14· εκφράζει την ικανοποίησή του για το γεγονός ότι οι Ηνωμένες Πολιτείες έχουν διορίσει πρέσβη στον ΠΟΕ·</w:t>
      </w:r>
    </w:p>
    <w:p w14:paraId="2D3BF9C6" w14:textId="163FC971" w:rsidR="00B46D25" w:rsidRPr="00CF3F96" w:rsidRDefault="00CD5BF5" w:rsidP="00CD5BF5">
      <w:pPr>
        <w:pStyle w:val="NormalHanging12a"/>
        <w:ind w:hanging="570"/>
        <w:rPr>
          <w:bCs/>
          <w:iCs/>
        </w:rPr>
      </w:pPr>
      <w:r w:rsidRPr="00CF3F96">
        <w:rPr>
          <w:bCs/>
          <w:iCs/>
        </w:rPr>
        <w:t>8.</w:t>
      </w:r>
      <w:r w:rsidRPr="00CF3F96">
        <w:rPr>
          <w:bCs/>
          <w:iCs/>
        </w:rPr>
        <w:tab/>
      </w:r>
      <w:r w:rsidR="00B46D25" w:rsidRPr="00CF3F96">
        <w:t>επαναβεβαιώνει ότι η αρχή του ΜΕΚ αποτελεί ακρογωνιαίο λίθο του πολυμερούς εμπορικού συστήματος· υπογραμμίζει τον κεντρικό ρόλο του στη διασφάλιση της απαγόρευσης των διακρίσεων, της προβλεψιμότητας και της δικαιοσύνης στο διεθνές εμπόριο· τονίζει ότι οποιοσδήποτε εκσυγχρονισμός του ΠΟΕ θα πρέπει να πραγματοποιείται με την αλλαγή του συστήματος και όχι με τη μη τήρησή του·</w:t>
      </w:r>
    </w:p>
    <w:p w14:paraId="70E9FEBD" w14:textId="3DCDABAC" w:rsidR="00B46D25" w:rsidRPr="00CF3F96" w:rsidRDefault="00CD5BF5" w:rsidP="00CD5BF5">
      <w:pPr>
        <w:pStyle w:val="NormalHanging12a"/>
        <w:ind w:hanging="570"/>
        <w:rPr>
          <w:bCs/>
          <w:iCs/>
        </w:rPr>
      </w:pPr>
      <w:r w:rsidRPr="00CF3F96">
        <w:rPr>
          <w:bCs/>
          <w:iCs/>
        </w:rPr>
        <w:t>9.</w:t>
      </w:r>
      <w:r w:rsidRPr="00CF3F96">
        <w:rPr>
          <w:bCs/>
          <w:iCs/>
        </w:rPr>
        <w:tab/>
      </w:r>
      <w:r w:rsidR="00B46D25" w:rsidRPr="00CF3F96">
        <w:t xml:space="preserve">αναγνωρίζει τις φιλοδοξίες της Ινδίας να αντιμετωπίσει το μακροχρόνιο ζήτημα της διατήρησης δημόσιων αποθεμάτων για σκοπούς επισιτιστικής ασφάλειας, αλλά εκφράζει τη λύπη του για την έλλειψη ευθυγράμμισης της Ινδίας με τις θέσεις της ΕΕ σχετικά με το μορατόριουμ για το ηλεκτρονικό εμπόριο, τις διαπραγματεύσεις για τις επιδοτήσεις στον τομέα της αλιείας και τη γενική πρόοδο στις </w:t>
      </w:r>
      <w:proofErr w:type="spellStart"/>
      <w:r w:rsidR="00B46D25" w:rsidRPr="00CF3F96">
        <w:t>πλειονομερείς</w:t>
      </w:r>
      <w:proofErr w:type="spellEnd"/>
      <w:r w:rsidR="00B46D25" w:rsidRPr="00CF3F96">
        <w:t xml:space="preserve"> διαπραγματεύσεις· καλεί την Ινδία να επιτρέψει σε άλλα μέλη του ΠΟΕ να σημειώσουν πρόοδο σε όλα αυτά τα ζητήματα· καταγγέλλει το γεγονός ότι η Ινδία έχει επίσης αντιταχθεί στην επέκταση της εντολής του ΠΟΕ σε νέα ζητήματα που σχετίζονται με το κλίμα, την εργασία και το φύλο· καλεί την Επιτροπή να αντιμετωπίσει επίσης τα ζητήματα αυτά στην πρόσφατα συναφθείσα εμπορική συμφωνία ΕΕ-Ινδίας·</w:t>
      </w:r>
    </w:p>
    <w:p w14:paraId="5BDE8262" w14:textId="36DC55A0" w:rsidR="00B46D25" w:rsidRPr="00CF3F96" w:rsidRDefault="00CD5BF5" w:rsidP="00CD5BF5">
      <w:pPr>
        <w:pStyle w:val="NormalHanging12a"/>
        <w:ind w:hanging="570"/>
      </w:pPr>
      <w:r w:rsidRPr="00CF3F96">
        <w:t>10.</w:t>
      </w:r>
      <w:r w:rsidRPr="00CF3F96">
        <w:tab/>
      </w:r>
      <w:r w:rsidR="00B46D25" w:rsidRPr="00CF3F96">
        <w:t>σημειώνει την απόφαση της Κίνας να παραιτηθεί από τα οφέλη της ειδικής και διαφοροποιημένης μεταχείρισης που προσφέρει ο ΠΟΕ στις μελλοντικές συμφωνίες του ΠΟΕ, όπως έχουν ήδη πράξει άλλα μεγάλα αναπτυσσόμενα μέλη· καλεί την Κίνα να διασφαλίσει ότι η δέσμευση αυτή θα αντικατοπτριστεί επίσης αναδρομικά στην εφαρμογή των υφιστάμενων συμφωνιών του ΠΟΕ·</w:t>
      </w:r>
    </w:p>
    <w:p w14:paraId="023CCED5" w14:textId="22A1DE5D" w:rsidR="00B46D25" w:rsidRPr="00CF3F96" w:rsidRDefault="00CD5BF5" w:rsidP="00CD5BF5">
      <w:pPr>
        <w:pStyle w:val="NormalHanging12a"/>
        <w:ind w:hanging="570"/>
      </w:pPr>
      <w:r w:rsidRPr="00CF3F96">
        <w:t>11.</w:t>
      </w:r>
      <w:r w:rsidRPr="00CF3F96">
        <w:tab/>
      </w:r>
      <w:r w:rsidR="00B46D25" w:rsidRPr="00CF3F96">
        <w:t xml:space="preserve">υπενθυμίζει ότι η εκτεταμένη χρήση κρατικών επιχειρήσεων από την Κίνα, οι </w:t>
      </w:r>
      <w:r w:rsidR="00B46D25" w:rsidRPr="00CF3F96">
        <w:lastRenderedPageBreak/>
        <w:t>αδιαφανείς επιδοτήσεις και οι κρατικές βιομηχανικές πολιτικές εξακολουθούν να δημιουργούν σημαντική πλεονάζουσα παραγωγική ικανότητα και στρεβλώσεις στο παγκόσμιο εμπόριο· εκφράζει τη λύπη του για την εργαλειοποίηση του εμπορίου και των εξαρτήσεων εκ μέρους της Κίνας, και για το σύστημα ελέγχων των εξαγωγών της που στερείται αιτιολόγησης διπλής χρήσης· καλεί την Κίνα να εξασφαλίσει τη συμβατότητα των δεσμεύσεών της στο πλαίσιο του ΠΟΕ με το οικονομικό της βάρος και να εργαστεί για την εξασφάλιση ίσων όρων ανταγωνισμού, την αντιμετώπιση αυτών των ζητημάτων και την υποστήριξη του εκσυγχρονισμού του ΠΟΕ·</w:t>
      </w:r>
    </w:p>
    <w:p w14:paraId="71D78410" w14:textId="214D0412" w:rsidR="00B46D25" w:rsidRPr="00CF3F96" w:rsidRDefault="00CD5BF5" w:rsidP="00CD5BF5">
      <w:pPr>
        <w:pStyle w:val="NormalHanging12a"/>
        <w:ind w:hanging="570"/>
      </w:pPr>
      <w:r w:rsidRPr="00CF3F96">
        <w:t>12.</w:t>
      </w:r>
      <w:r w:rsidRPr="00CF3F96">
        <w:tab/>
      </w:r>
      <w:r w:rsidR="00B46D25" w:rsidRPr="00CF3F96">
        <w:t>υπογραμμίζει ότι οι εταίροι που συμμερίζονται τις ίδιες απόψεις και είναι προσηλωμένοι στη διατήρηση και την ενίσχυση της βασισμένης σε κανόνες πολυμερούς εμπορικής τάξης, με επίκεντρο τον ΠΟΕ, πρέπει να συνεργαστούν ακόμη στενότερα· επιμένει, σε αυτό το δύσκολο πλαίσιο, ότι η ΕΕ πρέπει να συνεχίσει να προσπαθεί να είναι αξιόπιστος εταίρος και να στηρίζει το εμπόριο που βασίζεται σε κανόνες·</w:t>
      </w:r>
    </w:p>
    <w:p w14:paraId="73F24CFA" w14:textId="3B32A768" w:rsidR="00B46D25" w:rsidRPr="00CF3F96" w:rsidRDefault="00CD5BF5" w:rsidP="00CD5BF5">
      <w:pPr>
        <w:pStyle w:val="NormalHanging12a"/>
        <w:ind w:hanging="570"/>
      </w:pPr>
      <w:r w:rsidRPr="00CF3F96">
        <w:t>13.</w:t>
      </w:r>
      <w:r w:rsidRPr="00CF3F96">
        <w:tab/>
      </w:r>
      <w:r w:rsidR="00B46D25" w:rsidRPr="00CF3F96">
        <w:t>καλεί τα μέλη του ΠΟΕ να αποκαταστήσουν ένα πλήρως λειτουργικό, ανεξάρτητο, δεσμευτικό και δυαδικό σύστημα επίλυσης διαφορών ως απαραίτητο πυλώνα προβλεψιμότητας, διασφαλίζοντας ότι οι κανόνες επιβάλλονται μέσω νόμου και όχι μέσω μονομερούς δράσης, ανεξάρτητα από το οικονομικό μέγεθος ή την εξουσία των μελών·</w:t>
      </w:r>
    </w:p>
    <w:p w14:paraId="31800AA2" w14:textId="36A03589" w:rsidR="00B46D25" w:rsidRPr="00CF3F96" w:rsidRDefault="00CD5BF5" w:rsidP="00CD5BF5">
      <w:pPr>
        <w:pStyle w:val="NormalHanging12a"/>
        <w:ind w:hanging="570"/>
      </w:pPr>
      <w:r w:rsidRPr="00CF3F96">
        <w:t>14.</w:t>
      </w:r>
      <w:r w:rsidRPr="00CF3F96">
        <w:tab/>
      </w:r>
      <w:r w:rsidR="00B46D25" w:rsidRPr="00CF3F96">
        <w:t>εκφράζει την ικανοποίησή του για το γεγονός ότι 58 μέλη του ΠΟΕ (που καλύπτουν σχεδόν το 60 % του παγκόσμιου εμπορίου) έχουν προσχωρήσει στην πολυμερή προσωρινή ρύθμιση διαιτητικού δευτεροβάθμιου οργάνου (MPIA), ως προσωρινό μέτρο έως ότου τεθεί εκ νέου σε λειτουργία ένα πλήρως λειτουργικό σύστημα επίλυσης διαφορών του ΠΟΕ· καλεί τα λοιπά μέλη να προσχωρήσουν στην MPIA για να αποδείξουν τη δέσμευσή τους για ένα δίκαιο και λειτουργικό σύστημα επίλυσης διαφορών· τονίζει ότι η MPIA αποτελεί προσωρινή και προαιρετική λύση και δεν πρέπει να καταστεί μόνιμο υποκατάστατο ενός πολυμερούς δευτεροβάθμιου μηχανισμού που θα εφαρμόζεται σε όλα τα μέλη του ΠΟΕ·</w:t>
      </w:r>
    </w:p>
    <w:p w14:paraId="1824AD6A" w14:textId="77777777" w:rsidR="00B46D25" w:rsidRPr="00CF3F96" w:rsidRDefault="00B46D25" w:rsidP="00B46D25">
      <w:pPr>
        <w:pStyle w:val="NormalHanging12a"/>
        <w:rPr>
          <w:bCs/>
          <w:i/>
          <w:iCs/>
        </w:rPr>
      </w:pPr>
      <w:r w:rsidRPr="00CF3F96">
        <w:rPr>
          <w:b/>
          <w:i/>
        </w:rPr>
        <w:t>Ίσοι όροι ανταγωνισμού</w:t>
      </w:r>
    </w:p>
    <w:p w14:paraId="521D76B3" w14:textId="2AF93CDA" w:rsidR="00B46D25" w:rsidRPr="00CF3F96" w:rsidRDefault="00CD5BF5" w:rsidP="00CD5BF5">
      <w:pPr>
        <w:pStyle w:val="NormalHanging12a"/>
        <w:ind w:hanging="570"/>
      </w:pPr>
      <w:r w:rsidRPr="00CF3F96">
        <w:t>15.</w:t>
      </w:r>
      <w:r w:rsidRPr="00CF3F96">
        <w:tab/>
      </w:r>
      <w:r w:rsidR="00B46D25" w:rsidRPr="00CF3F96">
        <w:t>επιμένει ότι η δικαιοσύνη αποτελεί τη βάση ενός ανθεκτικού και αξιόπιστου συστήματος· σημειώνει ότι οι τρέχουσες στρεβλωτικές κρατικές παρεμβάσεις, συμπεριλαμβανομένων των βιομηχανικών επιδοτήσεων μεγάλης κλίμακας και των μη εμπορικών πρακτικών, οι οποίες έχουν οδηγήσει σε εντάσεις μεταξύ των μελών και σε δαπανηρούς αγώνες δρόμου για τις επιδοτήσεις, έχουν δείξει ότι οι ισχύοντες κανόνες για τις επιδοτήσεις δεν έχουν προσαρμοστεί στις μεταβαλλόμενες συνθήκες του παγκόσμιου εμπορίου· επιμένει ότι η μεταρρύθμιση των κανόνων του ΠΟΕ για τις βιομηχανικές επιδοτήσεις και τις κρατικές παρεμβάσεις πρέπει να βασίζεται σε τρεις συμπληρωματικούς πυλώνες: ενίσχυση της διαφάνειας και των απαιτήσεων κοινοποίησης, ενίσχυση και αποσαφήνιση των κανόνων και αποτελεσματικότερα διορθωτικά μέτρα για την αντιμετώπιση των αρνητικών δευτερογενών επιπτώσεων και της πλεονάζουσας παραγωγικής ικανότητας· ζητεί να αντιμετωπιστούν τα θέματα αυτά ως κεντρικά στοιχεία του εκσυγχρονισμού του ΠΟΕ, όπως και άλλα θέματα που αφορούν τον εκσυγχρονισμό· εκφράζει την υποστήριξή του για τη διαδικασία άτυπων διαβουλεύσεων ως μέσο για την αύξηση της κοινής κατανόησης μεταξύ των μελών του ΠΟΕ και την προετοιμασία του εδάφους για τη θέσπιση κανόνων·</w:t>
      </w:r>
    </w:p>
    <w:p w14:paraId="4F5F9DE6" w14:textId="5D128806" w:rsidR="00B46D25" w:rsidRPr="00CF3F96" w:rsidRDefault="00CD5BF5" w:rsidP="00CD5BF5">
      <w:pPr>
        <w:pStyle w:val="NormalHanging12a"/>
        <w:ind w:hanging="570"/>
        <w:rPr>
          <w:bCs/>
          <w:iCs/>
        </w:rPr>
      </w:pPr>
      <w:r w:rsidRPr="00CF3F96">
        <w:rPr>
          <w:bCs/>
          <w:iCs/>
        </w:rPr>
        <w:lastRenderedPageBreak/>
        <w:t>16.</w:t>
      </w:r>
      <w:r w:rsidRPr="00CF3F96">
        <w:rPr>
          <w:bCs/>
          <w:iCs/>
        </w:rPr>
        <w:tab/>
      </w:r>
      <w:r w:rsidR="00B46D25" w:rsidRPr="00CF3F96">
        <w:t>υπογραμμίζει ότι οι κανόνες του ΠΟΕ και οι μελλοντικοί κανόνες πρέπει να είναι συμβατοί με τους στόχους της συμφωνίας του Παρισιού και άλλων σχετικών πολυμερών περιβαλλοντικών συμφωνιών και να στηρίζουν τη μετάβαση σε κλιματικά ουδέτερες οικονομίες, καθώς και να αντιμετωπίζουν αποτελεσματικά τις αρνητικές δευτερογενείς επιπτώσεις, όπως η πλεονάζουσα παραγωγική ικανότητα και οι εφοδιαστικές αλυσίδες υψηλής έντασης άνθρακα, αποφεύγοντας παράλληλα τους αδικαιολόγητους εμπορικούς περιορισμούς·</w:t>
      </w:r>
    </w:p>
    <w:p w14:paraId="22395779" w14:textId="77777777" w:rsidR="00B46D25" w:rsidRPr="00CF3F96" w:rsidRDefault="00B46D25" w:rsidP="00B46D25">
      <w:pPr>
        <w:pStyle w:val="NormalHanging12a"/>
        <w:rPr>
          <w:bCs/>
          <w:i/>
          <w:iCs/>
        </w:rPr>
      </w:pPr>
      <w:r w:rsidRPr="00CF3F96">
        <w:rPr>
          <w:b/>
          <w:i/>
        </w:rPr>
        <w:t>Η διάσταση της ανάπτυξης</w:t>
      </w:r>
    </w:p>
    <w:p w14:paraId="0CDD8B69" w14:textId="705A8E50" w:rsidR="00B46D25" w:rsidRPr="00CF3F96" w:rsidRDefault="00CD5BF5" w:rsidP="00CD5BF5">
      <w:pPr>
        <w:pStyle w:val="NormalHanging12a"/>
        <w:ind w:hanging="570"/>
      </w:pPr>
      <w:r w:rsidRPr="00CF3F96">
        <w:t>17.</w:t>
      </w:r>
      <w:r w:rsidRPr="00CF3F96">
        <w:tab/>
      </w:r>
      <w:r w:rsidR="00B46D25" w:rsidRPr="00CF3F96">
        <w:t>εκφράζει την ικανοποίησή του για την έναρξη ισχύος, τον Σεπτέμβριο του 2025, της πρώτης συμφωνίας για τις επιδοτήσεις στον τομέα της αλιείας· τονίζει ότι έχει ζωτική σημασία να επιτευχθεί επίσης ταχέως συμφωνία σχετικά με τη θέσπιση κανόνων για τις επιδοτήσεις στον τομέα της αλιείας που συμβάλλουν στην πλεονάζουσα αλιευτική ικανότητα και την υπεραλίευση, οι οποίες αντιστοιχούν σε περισσότερες από τις μισές επιδοτήσεις για την αλιεία, προκειμένου να αποφευχθεί η εξάντληση των θαλάσσιων βιολογικών πόρων και να καταστεί δυνατή η βιώσιμη διαχείρισή τους, με παράλληλο σεβασμό της ανάγκης για ειδική και διαφοροποιημένη μεταχείριση σύμφωνα με τον ΣΒΑ 14.6·</w:t>
      </w:r>
    </w:p>
    <w:p w14:paraId="2A39F571" w14:textId="43AD747C" w:rsidR="00B46D25" w:rsidRPr="00CF3F96" w:rsidRDefault="00CD5BF5" w:rsidP="00CD5BF5">
      <w:pPr>
        <w:pStyle w:val="NormalHanging12a"/>
        <w:ind w:hanging="570"/>
        <w:rPr>
          <w:bCs/>
          <w:iCs/>
        </w:rPr>
      </w:pPr>
      <w:r w:rsidRPr="00CF3F96">
        <w:rPr>
          <w:bCs/>
          <w:iCs/>
        </w:rPr>
        <w:t>18.</w:t>
      </w:r>
      <w:r w:rsidRPr="00CF3F96">
        <w:rPr>
          <w:bCs/>
          <w:iCs/>
        </w:rPr>
        <w:tab/>
      </w:r>
      <w:r w:rsidR="00B46D25" w:rsidRPr="00CF3F96">
        <w:t>τονίζει την ανάγκη να ενισχυθεί και να ενσωματωθεί η αναπτυξιακή διάσταση του ΠΟΕ, μεταξύ άλλων μέσω της διαδικασίας εκσυγχρονισμού του ΠΟΕ, αναγνωρίζοντας την ποικιλομορφία της οικονομικής κατάστασης των αναπτυσσόμενων χωρών και αποφεύγοντας την ενιαία εφαρμογή ειδικής και διαφοροποιημένης μεταχείρισης, και διαμορφώνοντας διατάξεις ειδικής και διαφοροποιημένης μεταχείρισης που θα είναι πιο λεπτομερείς, θα βασίζονται περισσότερο σε στοιχεία και ανάγκες και θα υπόκεινται σε τακτική επανεξέταση, συμπεριλαμβανομένων σαφών μηχανισμών διαβάθμισης, ώστε να μπορούν να ανταποκρίνονται καλύτερα στις ανάγκες των αναπτυσσόμενων χωρών, συμπεριλαμβανομένων των λιγότερο ανεπτυγμένων χωρών· υπογραμμίζει, επιπλέον, ότι ο αυτοπροσδιορισμός του αναπτυξιακού καθεστώτος των μελών δεν μπορεί να παραμείνει το μοναδικό κριτήριο για ειδική και διαφοροποιημένη μεταχείριση και ζητεί αντικειμενικά, διαφανή και τακτικά επανεξεταζόμενα κριτήρια, διασφαλίζοντας παράλληλα επαρκή ευελιξία για τις φτωχότερες και πλέον ευάλωτες χώρες·</w:t>
      </w:r>
    </w:p>
    <w:p w14:paraId="0C89AFAB" w14:textId="09169DB9" w:rsidR="00B46D25" w:rsidRPr="00CF3F96" w:rsidRDefault="00CD5BF5" w:rsidP="00CD5BF5">
      <w:pPr>
        <w:pStyle w:val="NormalHanging12a"/>
        <w:ind w:hanging="570"/>
      </w:pPr>
      <w:r w:rsidRPr="00CF3F96">
        <w:t>19.</w:t>
      </w:r>
      <w:r w:rsidRPr="00CF3F96">
        <w:tab/>
      </w:r>
      <w:r w:rsidR="00B46D25" w:rsidRPr="00CF3F96">
        <w:t xml:space="preserve">χαιρετίζει την ολοκλήρωση των διαπραγματεύσεων σχετικά με τη συμφωνία για τη διευκόλυνση των επενδύσεων για την ανάπτυξη, προκειμένου να δημιουργηθεί ένα πιο δίκαιο, πιο διαφανές, πιο αποτελεσματικό και πιο προβλέψιμο περιβάλλον για τη διευκόλυνση των διασυνοριακών επενδύσεων και τη συμμετοχή των αναπτυσσόμενων χωρών στις παγκόσμιες επενδυτικές ροές· εκφράζει την ικανοποίησή του για τη στήριξη 128 μελών (από τα 166), συμπεριλαμβανομένων 91 αναπτυσσόμενων οικονομιών (27 εκ των οποίων είναι λιγότερο ανεπτυγμένες χώρες), και παροτρύνει τα υπόλοιπα μέλη να άρουν την αντίθεσή τους και να ενσωματώσουν τη συμφωνία αυτή στο εγχειρίδιο κανόνων του ΠΟΕ στο παράρτημα 4: </w:t>
      </w:r>
      <w:proofErr w:type="spellStart"/>
      <w:r w:rsidR="00B46D25" w:rsidRPr="00CF3F96">
        <w:t>Πλειονομερείς</w:t>
      </w:r>
      <w:proofErr w:type="spellEnd"/>
      <w:r w:rsidR="00B46D25" w:rsidRPr="00CF3F96">
        <w:t xml:space="preserve"> εμπορικές συμφωνίες·</w:t>
      </w:r>
    </w:p>
    <w:p w14:paraId="1924EEC4" w14:textId="1F6F3A27" w:rsidR="00B46D25" w:rsidRPr="00CF3F96" w:rsidRDefault="00CD5BF5" w:rsidP="00CD5BF5">
      <w:pPr>
        <w:pStyle w:val="NormalHanging12a"/>
        <w:ind w:hanging="570"/>
      </w:pPr>
      <w:r w:rsidRPr="00CF3F96">
        <w:t>20.</w:t>
      </w:r>
      <w:r w:rsidRPr="00CF3F96">
        <w:tab/>
      </w:r>
      <w:r w:rsidR="00B46D25" w:rsidRPr="00CF3F96">
        <w:t xml:space="preserve">τονίζει την ανάγκη να σημειωθεί πρόοδος στις γεωργικές διαπραγματεύσεις προκειμένου να επιτευχθούν αξιόπιστα αποτελέσματα σε θέματα όπως η διατήρηση δημόσιων αποθεμάτων για σκοπούς επισιτιστικής ασφάλειας, η εγχώρια στήριξη, η πρόσβαση στην αγορά, το βαμβάκι, οι εξαγωγικοί περιορισμοί και ο εξαγωγικός ανταγωνισμός, και η ενίσχυση του γεωργικού τομέα για την αντιμετώπιση των σύγχρονων προκλήσεων, συμπεριλαμβανομένων των αγροτικών μέσων διαβίωσης και της περιβαλλοντικής βιωσιμότητας· υπογραμμίζει ότι οι συζητήσεις δεν θα πρέπει να </w:t>
      </w:r>
      <w:r w:rsidR="00B46D25" w:rsidRPr="00CF3F96">
        <w:lastRenderedPageBreak/>
        <w:t>επικεντρωθούν μόνο στη μείωση της εγχώριας στήριξης που στρεβλώνει το εμπόριο, αλλά και στην ενσωμάτωση των σχετικών παγκόσμιων προκλήσεων, συμπεριλαμβανομένων της επισιτιστικής ασφάλειας και της βιωσιμότητας, στις συζητήσεις για τη γεωργία·</w:t>
      </w:r>
    </w:p>
    <w:p w14:paraId="38E89F28" w14:textId="77777777" w:rsidR="00B46D25" w:rsidRPr="00CF3F96" w:rsidRDefault="00B46D25" w:rsidP="00B46D25">
      <w:pPr>
        <w:pStyle w:val="NormalHanging12a"/>
        <w:rPr>
          <w:bCs/>
          <w:i/>
          <w:iCs/>
        </w:rPr>
      </w:pPr>
      <w:r w:rsidRPr="00CF3F96">
        <w:rPr>
          <w:b/>
          <w:i/>
        </w:rPr>
        <w:t>Ψηφιακή διάσταση</w:t>
      </w:r>
    </w:p>
    <w:p w14:paraId="4F2EA616" w14:textId="5272F6B4" w:rsidR="00B46D25" w:rsidRPr="00CF3F96" w:rsidRDefault="00CD5BF5" w:rsidP="00CD5BF5">
      <w:pPr>
        <w:pStyle w:val="NormalHanging12a"/>
        <w:ind w:hanging="570"/>
      </w:pPr>
      <w:r w:rsidRPr="00CF3F96">
        <w:t>21.</w:t>
      </w:r>
      <w:r w:rsidRPr="00CF3F96">
        <w:tab/>
      </w:r>
      <w:r w:rsidR="00B46D25" w:rsidRPr="00CF3F96">
        <w:t>καλεί τα μέλη του ΠΟΕ να ανανεώσουν, στο πλαίσιο της MC14, το πρόγραμμα εργασίας για το ηλεκτρονικό εμπόριο και το μορατόριουμ για τους τελωνειακούς δασμούς στις ηλεκτρονικές μεταδόσεις· θεωρεί ότι η εξεύρεση μόνιμης λύσης για τη μη επιβολή τελωνειακών δασμών στις ηλεκτρονικές μεταδόσεις είναι καίριας σημασίας για τις επιχειρήσεις παγκοσμίως, συμπεριλαμβανομένων εκείνων στις αναπτυσσόμενες χώρες·</w:t>
      </w:r>
    </w:p>
    <w:p w14:paraId="4BA66AB1" w14:textId="023BFD59" w:rsidR="00B46D25" w:rsidRPr="00CF3F96" w:rsidRDefault="00CD5BF5" w:rsidP="00CD5BF5">
      <w:pPr>
        <w:pStyle w:val="NormalHanging12a"/>
        <w:ind w:hanging="570"/>
      </w:pPr>
      <w:r w:rsidRPr="00CF3F96">
        <w:t>22.</w:t>
      </w:r>
      <w:r w:rsidRPr="00CF3F96">
        <w:tab/>
      </w:r>
      <w:r w:rsidR="00B46D25" w:rsidRPr="00CF3F96">
        <w:t xml:space="preserve">καλεί τα μέλη του ΠΟΕ να στηρίξουν κατά προτεραιότητα την ενσωμάτωση της συμφωνίας για το ηλεκτρονικό εμπόριο στο πλαίσιο του ΠΟΕ· επισημαίνει ότι η συμφωνία καθορίζει τους πρώτους παγκόσμιους κανόνες για το ψηφιακό εμπόριο, δημιουργώντας ένα δίκαιο, προβλέψιμο και διαφανές πλαίσιο που ωφελεί τους καταναλωτές και τις επιχειρήσεις διευκολύνοντας τις διασυνοριακές συναλλαγές, μειώνοντας τους φραγμούς και προωθώντας την καινοτομία και την εμπιστοσύνη· τονίζει ότι η συμφωνία έχει σχεδιαστεί έτσι ώστε να ωφελεί τόσο τις αναπτυσσόμενες χώρες και τις λιγότερο ανεπτυγμένες χώρες όσο και τις προηγμένες οικονομίες· χαιρετίζει τις πρωτοβουλίες και τα προγράμματα ανάπτυξης ικανοτήτων της συμφωνίας για τη στήριξη των προσπαθειών των αναπτυσσόμενων και των λιγότερο ανεπτυγμένων χωρών να αξιοποιήσουν τις ευκαιρίες που προσφέρει το ψηφιακό εμπόριο· επαναλαμβάνει τη σημασία της συμφωνίας για τη στήριξη των πολύ μικρών, μικρών και μεσαίων επιχειρήσεων· υποστηρίζει τις προσπάθειες των </w:t>
      </w:r>
      <w:proofErr w:type="spellStart"/>
      <w:r w:rsidR="00B46D25" w:rsidRPr="00CF3F96">
        <w:t>συνδιοργανωτών</w:t>
      </w:r>
      <w:proofErr w:type="spellEnd"/>
      <w:r w:rsidR="00B46D25" w:rsidRPr="00CF3F96">
        <w:t xml:space="preserve"> να επιτύχουν την ταχεία εφαρμογή της συμφωνίας·</w:t>
      </w:r>
    </w:p>
    <w:p w14:paraId="4A57D3D4" w14:textId="1684DDC1" w:rsidR="00B46D25" w:rsidRPr="00CF3F96" w:rsidRDefault="00CD5BF5" w:rsidP="00CD5BF5">
      <w:pPr>
        <w:pStyle w:val="NormalHanging12a"/>
        <w:ind w:hanging="570"/>
        <w:rPr>
          <w:bCs/>
          <w:iCs/>
        </w:rPr>
      </w:pPr>
      <w:r w:rsidRPr="00CF3F96">
        <w:rPr>
          <w:bCs/>
          <w:iCs/>
        </w:rPr>
        <w:t>23.</w:t>
      </w:r>
      <w:r w:rsidRPr="00CF3F96">
        <w:rPr>
          <w:bCs/>
          <w:iCs/>
        </w:rPr>
        <w:tab/>
      </w:r>
      <w:r w:rsidR="00B46D25" w:rsidRPr="00CF3F96">
        <w:t>τονίζει την αυξανόμενη σημασία των συστημάτων τεχνητής νοημοσύνης (ΤΝ) στο διεθνές εμπόριο· ζητεί, στο πλαίσιο αυτό, αυξημένη διεθνή συνεργασία όσον αφορά τους κανονισμούς και τις πολιτικές για την ΤΝ, με παράλληλο σεβασμό του δικαιώματος ρύθμισης των μελών του ΠΟΕ· υπογραμμίζει ότι ο ΠΟΕ θα πρέπει να συμβάλει ουσιαστικά στην ανάπτυξη ενός ισχυρού, ασφαλούς, χωρίς αποκλεισμούς και αξιόπιστου πλαισίου διακυβέρνησης της ΤΝ για το εμπόριο, μεταξύ άλλων μέσω της σύστασης ειδικής ομάδας εργασίας του ΠΟΕ για την τεχνητή νοημοσύνη με σκοπό τη διευκόλυνση του διαλόγου, της ανταλλαγής γνώσεων και της συνεργασίας μεταξύ των μελών σχετικά με τους κανονισμούς και τις πολιτικές για την ΤΝ·</w:t>
      </w:r>
    </w:p>
    <w:p w14:paraId="26664974" w14:textId="77777777" w:rsidR="00B46D25" w:rsidRPr="00CF3F96" w:rsidRDefault="00B46D25" w:rsidP="00B46D25">
      <w:pPr>
        <w:pStyle w:val="NormalHanging12a"/>
        <w:rPr>
          <w:bCs/>
          <w:i/>
          <w:iCs/>
        </w:rPr>
      </w:pPr>
      <w:r w:rsidRPr="00CF3F96">
        <w:rPr>
          <w:b/>
          <w:i/>
        </w:rPr>
        <w:t>Κοινοβουλευτική συμμετοχή</w:t>
      </w:r>
    </w:p>
    <w:p w14:paraId="3D1CAE06" w14:textId="45422B53" w:rsidR="00B46D25" w:rsidRPr="00CF3F96" w:rsidRDefault="00CD5BF5" w:rsidP="00CD5BF5">
      <w:pPr>
        <w:pStyle w:val="NormalHanging12a"/>
        <w:ind w:hanging="570"/>
      </w:pPr>
      <w:r w:rsidRPr="00CF3F96">
        <w:t>24.</w:t>
      </w:r>
      <w:r w:rsidRPr="00CF3F96">
        <w:tab/>
      </w:r>
      <w:r w:rsidR="00B46D25" w:rsidRPr="00CF3F96">
        <w:t>καλεί την Επιτροπή και το Συμβούλιο να διασφαλίσουν ότι το Κοινοβούλιο θα συνεχίσει να συμμετέχει στενά στην προπαρασκευή της MC14, θα ενημερώνεται άμεσα και θα καλείται να γνωμοδοτεί κατά τη διάρκεια της MC14·</w:t>
      </w:r>
    </w:p>
    <w:p w14:paraId="104CEF94" w14:textId="79798076" w:rsidR="00B46D25" w:rsidRPr="00CF3F96" w:rsidRDefault="00CD5BF5" w:rsidP="00CD5BF5">
      <w:pPr>
        <w:pStyle w:val="NormalHanging12a"/>
        <w:ind w:hanging="570"/>
      </w:pPr>
      <w:r w:rsidRPr="00CF3F96">
        <w:t>25.</w:t>
      </w:r>
      <w:r w:rsidRPr="00CF3F96">
        <w:tab/>
      </w:r>
      <w:r w:rsidR="00B46D25" w:rsidRPr="00CF3F96">
        <w:t xml:space="preserve">καλεί τα μέλη του ΠΟΕ να διασφαλίσουν τη δημοκρατική νομιμοποίηση και τη διαφάνεια ενισχύοντας την κοινοβουλευτική διάσταση του ΠΟΕ και την κοινοβουλευτική διάσκεψη για τον ΠΟΕ· εξαίρει το σημαντικό έργο της κοινής κοινοβουλευτικής διάσκεψης του Ευρωπαϊκού Κοινοβουλίου και της Διακοινοβουλευτικής Ένωσης για τον ΠΟΕ· τονίζει την ανάγκη να διασφαλιστούν η καλύτερη πρόσβαση των βουλευτών σε όλες τις εμπορικές διαπραγματεύσεις και η </w:t>
      </w:r>
      <w:r w:rsidR="00B46D25" w:rsidRPr="00CF3F96">
        <w:lastRenderedPageBreak/>
        <w:t>συμμετοχή τους στη διατύπωση και εφαρμογή των αποφάσεων του ΠΟΕ· ενθαρρύνει τους ηγέτες να υποστηρίξουν ένα νέο αφήγημα για το εμπόριο, σύμφωνα με το οποίο το εμπόριο θεωρείται καταλύτης και όχι εμπόδιο για την επίτευξη βιωσιμότητας, ασφάλειας και συμμετοχικότητας·</w:t>
      </w:r>
    </w:p>
    <w:p w14:paraId="728FBA9C" w14:textId="171E1E34" w:rsidR="00B46D25" w:rsidRPr="00CF3F96" w:rsidRDefault="00CD5BF5" w:rsidP="00CD5BF5">
      <w:pPr>
        <w:pStyle w:val="NormalHanging12a"/>
        <w:ind w:hanging="570"/>
      </w:pPr>
      <w:r w:rsidRPr="00CF3F96">
        <w:t>26.</w:t>
      </w:r>
      <w:r w:rsidRPr="00CF3F96">
        <w:tab/>
      </w:r>
      <w:r w:rsidR="00B46D25" w:rsidRPr="00CF3F96">
        <w:t>καλεί τα μέλη του ΠΟΕ να ενισχύσουν τις συζητήσεις με όλα τα ενδιαφερόμενα μέρη, συμπεριλαμβανομένων της κοινωνίας των πολιτών, των επιχειρήσεων και των συνδικαλιστικών οργανώσεων, και να εντείνουν τη συνεργασία με άλλους διεθνείς οργανισμούς, όπως το Διεθνές Εμπορικό Επιμελητήριο, η Διεθνής Οργάνωση Εργασίας και το σύστημα των Ηνωμένων Εθνών γενικότερα· αναμένει να εντείνουν την επικοινωνία οι ηγέτες σε όλα τα επίπεδα όσον αφορά τα οφέλη του εμπορίου που βασίζεται σε κανόνες·</w:t>
      </w:r>
    </w:p>
    <w:p w14:paraId="0EF6D535" w14:textId="77777777" w:rsidR="00B46D25" w:rsidRPr="00CF3F96" w:rsidRDefault="00B46D25" w:rsidP="00B46D25">
      <w:pPr>
        <w:pStyle w:val="NormalHanging12a"/>
        <w:jc w:val="center"/>
      </w:pPr>
      <w:r w:rsidRPr="00CF3F96">
        <w:t>°</w:t>
      </w:r>
    </w:p>
    <w:p w14:paraId="2E5E0056" w14:textId="77777777" w:rsidR="00B46D25" w:rsidRPr="00CF3F96" w:rsidRDefault="00B46D25" w:rsidP="00B46D25">
      <w:pPr>
        <w:pStyle w:val="NormalHanging12a"/>
        <w:jc w:val="center"/>
      </w:pPr>
      <w:r w:rsidRPr="00CF3F96">
        <w:t>°</w:t>
      </w:r>
      <w:r w:rsidRPr="00CF3F96">
        <w:tab/>
        <w:t>°</w:t>
      </w:r>
    </w:p>
    <w:p w14:paraId="673FB1EA" w14:textId="08B15BDF" w:rsidR="00CF3F96" w:rsidRPr="00CF3F96" w:rsidRDefault="00CD5BF5" w:rsidP="00CD5BF5">
      <w:pPr>
        <w:pStyle w:val="NormalHanging12a"/>
        <w:ind w:hanging="570"/>
      </w:pPr>
      <w:r w:rsidRPr="00CF3F96">
        <w:t>27.</w:t>
      </w:r>
      <w:r w:rsidRPr="00CF3F96">
        <w:tab/>
      </w:r>
      <w:r w:rsidR="00B46D25" w:rsidRPr="00CF3F96">
        <w:t>αναθέτει στην Πρόεδρό του να διαβιβάσει το παρόν ψήφισμα στο Συμβούλιο, στην Επιτροπή, στις κυβερνήσεις και τα κοινοβούλια των κρατών μελών, στη γενική διευθύντρια του Παγκοσμίου Οργανισμού Εμπορίου και στον Γενικό Γραμματέα της Διακοινοβουλευτικής Ένωσης.</w:t>
      </w:r>
    </w:p>
    <w:p w14:paraId="3A8D2264" w14:textId="6FF12A57" w:rsidR="00E365E1" w:rsidRPr="00CF3F96" w:rsidRDefault="00E365E1" w:rsidP="005D5572"/>
    <w:sectPr w:rsidR="00E365E1" w:rsidRPr="00CF3F96" w:rsidSect="00CF3F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BD50A" w14:textId="77777777" w:rsidR="005D5572" w:rsidRPr="00CF3F96" w:rsidRDefault="005D5572">
      <w:r w:rsidRPr="00CF3F96">
        <w:separator/>
      </w:r>
    </w:p>
  </w:endnote>
  <w:endnote w:type="continuationSeparator" w:id="0">
    <w:p w14:paraId="32F57C52" w14:textId="77777777" w:rsidR="005D5572" w:rsidRPr="00CF3F96" w:rsidRDefault="005D5572">
      <w:r w:rsidRPr="00CF3F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DCB0" w14:textId="77777777" w:rsidR="00064002" w:rsidRPr="00CF3F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E935B" w14:textId="77777777" w:rsidR="00064002" w:rsidRPr="00CF3F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872A" w14:textId="77777777" w:rsidR="00064002" w:rsidRPr="00CF3F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C7601" w14:textId="77777777" w:rsidR="005D5572" w:rsidRPr="00CF3F96" w:rsidRDefault="005D5572">
      <w:r w:rsidRPr="00CF3F96">
        <w:separator/>
      </w:r>
    </w:p>
  </w:footnote>
  <w:footnote w:type="continuationSeparator" w:id="0">
    <w:p w14:paraId="087B28C6" w14:textId="77777777" w:rsidR="005D5572" w:rsidRPr="00CF3F96" w:rsidRDefault="005D5572">
      <w:r w:rsidRPr="00CF3F96">
        <w:continuationSeparator/>
      </w:r>
    </w:p>
  </w:footnote>
  <w:footnote w:id="1">
    <w:p w14:paraId="59F3C5DC" w14:textId="7A0F084E" w:rsidR="00B46D25" w:rsidRPr="00CD5BF5" w:rsidRDefault="00B46D25" w:rsidP="00CF3F96">
      <w:pPr>
        <w:pStyle w:val="FootnoteText"/>
        <w:ind w:left="567" w:hanging="567"/>
        <w:rPr>
          <w:sz w:val="24"/>
          <w:szCs w:val="16"/>
          <w:lang w:val="fi-FI"/>
        </w:rPr>
      </w:pPr>
      <w:r w:rsidRPr="00CF3F96">
        <w:rPr>
          <w:rStyle w:val="FootnoteReference"/>
          <w:sz w:val="24"/>
          <w:szCs w:val="16"/>
          <w:lang w:val="el-GR"/>
        </w:rPr>
        <w:footnoteRef/>
      </w:r>
      <w:r w:rsidR="00CF3F96" w:rsidRPr="00CD5BF5">
        <w:rPr>
          <w:sz w:val="24"/>
          <w:lang w:val="fi-FI"/>
        </w:rPr>
        <w:t xml:space="preserve"> </w:t>
      </w:r>
      <w:r w:rsidR="00CF3F96" w:rsidRPr="00CD5BF5">
        <w:rPr>
          <w:sz w:val="24"/>
          <w:lang w:val="fi-FI"/>
        </w:rPr>
        <w:tab/>
      </w:r>
      <w:r w:rsidRPr="00CF3F96">
        <w:rPr>
          <w:sz w:val="24"/>
          <w:lang w:val="el-GR"/>
        </w:rPr>
        <w:t>ΕΕ</w:t>
      </w:r>
      <w:r w:rsidRPr="00CD5BF5">
        <w:rPr>
          <w:sz w:val="24"/>
          <w:lang w:val="fi-FI"/>
        </w:rPr>
        <w:t xml:space="preserve"> C, C/2024/6342, 7.11.2024, ELI: </w:t>
      </w:r>
      <w:hyperlink r:id="rId1" w:history="1">
        <w:r w:rsidRPr="00CD5BF5">
          <w:rPr>
            <w:rStyle w:val="Hyperlink"/>
            <w:sz w:val="24"/>
            <w:lang w:val="fi-FI"/>
          </w:rPr>
          <w:t>http://data.europa.eu/eli/C/2024/6342/oj</w:t>
        </w:r>
      </w:hyperlink>
      <w:r w:rsidRPr="00CD5BF5">
        <w:rPr>
          <w:sz w:val="24"/>
          <w:lang w:val="fi-FI"/>
        </w:rPr>
        <w:t>.</w:t>
      </w:r>
    </w:p>
  </w:footnote>
  <w:footnote w:id="2">
    <w:p w14:paraId="77FA7C62" w14:textId="0589C577" w:rsidR="00B46D25" w:rsidRPr="00CF3F96" w:rsidRDefault="00B46D25" w:rsidP="00CF3F96">
      <w:pPr>
        <w:pStyle w:val="FootnoteText"/>
        <w:ind w:left="567" w:hanging="567"/>
        <w:rPr>
          <w:sz w:val="24"/>
          <w:szCs w:val="16"/>
          <w:lang w:val="el-GR"/>
        </w:rPr>
      </w:pPr>
      <w:r w:rsidRPr="00CF3F96">
        <w:rPr>
          <w:rStyle w:val="FootnoteReference"/>
          <w:sz w:val="24"/>
          <w:szCs w:val="16"/>
          <w:lang w:val="el-GR"/>
        </w:rPr>
        <w:footnoteRef/>
      </w:r>
      <w:r w:rsidR="00CF3F96" w:rsidRPr="00CF3F96">
        <w:rPr>
          <w:sz w:val="24"/>
          <w:lang w:val="el-GR"/>
        </w:rPr>
        <w:t xml:space="preserve"> </w:t>
      </w:r>
      <w:r w:rsidR="00CF3F96" w:rsidRPr="00CF3F96">
        <w:rPr>
          <w:sz w:val="24"/>
          <w:lang w:val="el-GR"/>
        </w:rPr>
        <w:tab/>
      </w:r>
      <w:r w:rsidRPr="00CF3F96">
        <w:rPr>
          <w:sz w:val="24"/>
          <w:lang w:val="el-GR"/>
        </w:rPr>
        <w:t>ΕΕ C 224 της 8.6.2022, σ. 89.</w:t>
      </w:r>
    </w:p>
  </w:footnote>
  <w:footnote w:id="3">
    <w:p w14:paraId="5F82B848" w14:textId="07FDA713" w:rsidR="00B46D25" w:rsidRPr="00CF3F96" w:rsidRDefault="00B46D25" w:rsidP="00CF3F96">
      <w:pPr>
        <w:pStyle w:val="FootnoteText"/>
        <w:ind w:left="567" w:hanging="567"/>
        <w:rPr>
          <w:sz w:val="24"/>
          <w:szCs w:val="16"/>
          <w:lang w:val="el-GR"/>
        </w:rPr>
      </w:pPr>
      <w:r w:rsidRPr="00CF3F96">
        <w:rPr>
          <w:rStyle w:val="FootnoteReference"/>
          <w:sz w:val="24"/>
          <w:szCs w:val="16"/>
          <w:lang w:val="el-GR"/>
        </w:rPr>
        <w:footnoteRef/>
      </w:r>
      <w:r w:rsidR="00CF3F96" w:rsidRPr="00CF3F96">
        <w:rPr>
          <w:sz w:val="24"/>
          <w:lang w:val="el-GR"/>
        </w:rPr>
        <w:t xml:space="preserve"> </w:t>
      </w:r>
      <w:r w:rsidR="00CF3F96" w:rsidRPr="00CF3F96">
        <w:rPr>
          <w:sz w:val="24"/>
          <w:lang w:val="el-GR"/>
        </w:rPr>
        <w:tab/>
      </w:r>
      <w:r w:rsidRPr="00CF3F96">
        <w:rPr>
          <w:sz w:val="24"/>
          <w:lang w:val="el-GR"/>
        </w:rPr>
        <w:t>ΕΕ C 363 της 28.10.2020, σ. 113.</w:t>
      </w:r>
    </w:p>
  </w:footnote>
  <w:footnote w:id="4">
    <w:p w14:paraId="34E48596" w14:textId="6501931F" w:rsidR="00B46D25" w:rsidRPr="00CF3F96" w:rsidRDefault="00B46D25" w:rsidP="00CF3F96">
      <w:pPr>
        <w:pStyle w:val="FootnoteText"/>
        <w:ind w:left="567" w:hanging="567"/>
        <w:rPr>
          <w:sz w:val="24"/>
          <w:lang w:val="el-GR"/>
        </w:rPr>
      </w:pPr>
      <w:r w:rsidRPr="00CF3F96">
        <w:rPr>
          <w:rStyle w:val="FootnoteReference"/>
          <w:sz w:val="24"/>
          <w:szCs w:val="16"/>
          <w:lang w:val="el-GR"/>
        </w:rPr>
        <w:footnoteRef/>
      </w:r>
      <w:r w:rsidR="00CF3F96" w:rsidRPr="00CF3F96">
        <w:rPr>
          <w:sz w:val="24"/>
          <w:lang w:val="el-GR"/>
        </w:rPr>
        <w:t xml:space="preserve"> </w:t>
      </w:r>
      <w:r w:rsidR="00CF3F96" w:rsidRPr="00CF3F96">
        <w:rPr>
          <w:sz w:val="24"/>
          <w:lang w:val="el-GR"/>
        </w:rPr>
        <w:tab/>
      </w:r>
      <w:r w:rsidRPr="00CF3F96">
        <w:rPr>
          <w:sz w:val="24"/>
          <w:lang w:val="el-GR"/>
        </w:rPr>
        <w:t>ΕΕ C 232 της 16.6.2021, σ. 62.</w:t>
      </w:r>
    </w:p>
  </w:footnote>
  <w:footnote w:id="5">
    <w:p w14:paraId="3DE5A6C1" w14:textId="1898503F" w:rsidR="00B46D25" w:rsidRPr="00CF3F96" w:rsidRDefault="00B46D25" w:rsidP="00CF3F96">
      <w:pPr>
        <w:pStyle w:val="FootnoteText"/>
        <w:ind w:left="567" w:hanging="567"/>
        <w:rPr>
          <w:sz w:val="24"/>
          <w:szCs w:val="16"/>
          <w:lang w:val="el-GR"/>
        </w:rPr>
      </w:pPr>
      <w:r w:rsidRPr="00CF3F96">
        <w:rPr>
          <w:rStyle w:val="FootnoteReference"/>
          <w:sz w:val="24"/>
          <w:szCs w:val="16"/>
          <w:lang w:val="el-GR"/>
        </w:rPr>
        <w:footnoteRef/>
      </w:r>
      <w:r w:rsidR="00CF3F96" w:rsidRPr="00CF3F96">
        <w:rPr>
          <w:sz w:val="24"/>
          <w:lang w:val="el-GR"/>
        </w:rPr>
        <w:t xml:space="preserve"> </w:t>
      </w:r>
      <w:r w:rsidR="00CF3F96" w:rsidRPr="00CF3F96">
        <w:rPr>
          <w:sz w:val="24"/>
          <w:lang w:val="el-GR"/>
        </w:rPr>
        <w:tab/>
      </w:r>
      <w:r w:rsidRPr="00CF3F96">
        <w:rPr>
          <w:sz w:val="24"/>
          <w:lang w:val="el-GR"/>
        </w:rPr>
        <w:t xml:space="preserve">Διάσκεψη των Ηνωμένων Εθνών για το Εμπόριο και την Ανάπτυξη, </w:t>
      </w:r>
      <w:r w:rsidR="00E00ECC">
        <w:rPr>
          <w:sz w:val="24"/>
          <w:lang w:val="el-GR"/>
        </w:rPr>
        <w:t>«</w:t>
      </w:r>
      <w:proofErr w:type="spellStart"/>
      <w:r w:rsidRPr="00CF3F96">
        <w:rPr>
          <w:sz w:val="24"/>
          <w:lang w:val="el-GR"/>
        </w:rPr>
        <w:t>Indirect</w:t>
      </w:r>
      <w:proofErr w:type="spellEnd"/>
      <w:r w:rsidRPr="00CF3F96">
        <w:rPr>
          <w:sz w:val="24"/>
          <w:lang w:val="el-GR"/>
        </w:rPr>
        <w:t xml:space="preserve"> </w:t>
      </w:r>
      <w:proofErr w:type="spellStart"/>
      <w:r w:rsidRPr="00CF3F96">
        <w:rPr>
          <w:sz w:val="24"/>
          <w:lang w:val="el-GR"/>
        </w:rPr>
        <w:t>taxation</w:t>
      </w:r>
      <w:proofErr w:type="spellEnd"/>
      <w:r w:rsidRPr="00CF3F96">
        <w:rPr>
          <w:sz w:val="24"/>
          <w:lang w:val="el-GR"/>
        </w:rPr>
        <w:t xml:space="preserve"> of e-</w:t>
      </w:r>
      <w:proofErr w:type="spellStart"/>
      <w:r w:rsidRPr="00CF3F96">
        <w:rPr>
          <w:sz w:val="24"/>
          <w:lang w:val="el-GR"/>
        </w:rPr>
        <w:t>commerce</w:t>
      </w:r>
      <w:proofErr w:type="spellEnd"/>
      <w:r w:rsidRPr="00CF3F96">
        <w:rPr>
          <w:sz w:val="24"/>
          <w:lang w:val="el-GR"/>
        </w:rPr>
        <w:t xml:space="preserve"> and </w:t>
      </w:r>
      <w:proofErr w:type="spellStart"/>
      <w:r w:rsidRPr="00CF3F96">
        <w:rPr>
          <w:sz w:val="24"/>
          <w:lang w:val="el-GR"/>
        </w:rPr>
        <w:t>digital</w:t>
      </w:r>
      <w:proofErr w:type="spellEnd"/>
      <w:r w:rsidRPr="00CF3F96">
        <w:rPr>
          <w:sz w:val="24"/>
          <w:lang w:val="el-GR"/>
        </w:rPr>
        <w:t xml:space="preserve"> </w:t>
      </w:r>
      <w:proofErr w:type="spellStart"/>
      <w:r w:rsidRPr="00CF3F96">
        <w:rPr>
          <w:sz w:val="24"/>
          <w:lang w:val="el-GR"/>
        </w:rPr>
        <w:t>trade</w:t>
      </w:r>
      <w:proofErr w:type="spellEnd"/>
      <w:r w:rsidRPr="00CF3F96">
        <w:rPr>
          <w:sz w:val="24"/>
          <w:lang w:val="el-GR"/>
        </w:rPr>
        <w:t xml:space="preserve"> — </w:t>
      </w:r>
      <w:proofErr w:type="spellStart"/>
      <w:r w:rsidRPr="00CF3F96">
        <w:rPr>
          <w:sz w:val="24"/>
          <w:lang w:val="el-GR"/>
        </w:rPr>
        <w:t>Implications</w:t>
      </w:r>
      <w:proofErr w:type="spellEnd"/>
      <w:r w:rsidRPr="00CF3F96">
        <w:rPr>
          <w:sz w:val="24"/>
          <w:lang w:val="el-GR"/>
        </w:rPr>
        <w:t xml:space="preserve"> for </w:t>
      </w:r>
      <w:proofErr w:type="spellStart"/>
      <w:r w:rsidRPr="00CF3F96">
        <w:rPr>
          <w:sz w:val="24"/>
          <w:lang w:val="el-GR"/>
        </w:rPr>
        <w:t>developing</w:t>
      </w:r>
      <w:proofErr w:type="spellEnd"/>
      <w:r w:rsidRPr="00CF3F96">
        <w:rPr>
          <w:sz w:val="24"/>
          <w:lang w:val="el-GR"/>
        </w:rPr>
        <w:t xml:space="preserve"> </w:t>
      </w:r>
      <w:proofErr w:type="spellStart"/>
      <w:r w:rsidRPr="00CF3F96">
        <w:rPr>
          <w:sz w:val="24"/>
          <w:lang w:val="el-GR"/>
        </w:rPr>
        <w:t>countries</w:t>
      </w:r>
      <w:proofErr w:type="spellEnd"/>
      <w:r w:rsidR="00E00ECC">
        <w:rPr>
          <w:sz w:val="24"/>
          <w:lang w:val="el-GR"/>
        </w:rPr>
        <w:t>»</w:t>
      </w:r>
      <w:r w:rsidRPr="00CF3F96">
        <w:rPr>
          <w:sz w:val="24"/>
          <w:lang w:val="el-GR"/>
        </w:rPr>
        <w:t xml:space="preserve"> (Έμμεση φορολογία του ηλεκτρονικού εμπορίου και του ψηφιακού εμπορίου — Επιπτώσεις για τις αναπτυσσόμενες χώρες),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8F68F" w14:textId="77777777" w:rsidR="00064002" w:rsidRPr="00CF3F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445C" w14:textId="77777777" w:rsidR="00064002" w:rsidRPr="00CF3F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D0D5" w14:textId="77777777" w:rsidR="00064002" w:rsidRPr="00CF3F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24B5BF0"/>
    <w:multiLevelType w:val="hybridMultilevel"/>
    <w:tmpl w:val="86F03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CF0A88"/>
    <w:multiLevelType w:val="hybridMultilevel"/>
    <w:tmpl w:val="6A883DC6"/>
    <w:lvl w:ilvl="0" w:tplc="0A8617F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8676604">
    <w:abstractNumId w:val="9"/>
  </w:num>
  <w:num w:numId="2" w16cid:durableId="1803687850">
    <w:abstractNumId w:val="9"/>
  </w:num>
  <w:num w:numId="3" w16cid:durableId="75518809">
    <w:abstractNumId w:val="7"/>
  </w:num>
  <w:num w:numId="4" w16cid:durableId="1705060786">
    <w:abstractNumId w:val="7"/>
  </w:num>
  <w:num w:numId="5" w16cid:durableId="735053085">
    <w:abstractNumId w:val="6"/>
  </w:num>
  <w:num w:numId="6" w16cid:durableId="811483156">
    <w:abstractNumId w:val="6"/>
  </w:num>
  <w:num w:numId="7" w16cid:durableId="1615818848">
    <w:abstractNumId w:val="5"/>
  </w:num>
  <w:num w:numId="8" w16cid:durableId="516315671">
    <w:abstractNumId w:val="5"/>
  </w:num>
  <w:num w:numId="9" w16cid:durableId="2146459174">
    <w:abstractNumId w:val="4"/>
  </w:num>
  <w:num w:numId="10" w16cid:durableId="244077493">
    <w:abstractNumId w:val="4"/>
  </w:num>
  <w:num w:numId="11" w16cid:durableId="1588075149">
    <w:abstractNumId w:val="8"/>
  </w:num>
  <w:num w:numId="12" w16cid:durableId="437019232">
    <w:abstractNumId w:val="8"/>
  </w:num>
  <w:num w:numId="13" w16cid:durableId="2030058738">
    <w:abstractNumId w:val="3"/>
  </w:num>
  <w:num w:numId="14" w16cid:durableId="611479949">
    <w:abstractNumId w:val="3"/>
  </w:num>
  <w:num w:numId="15" w16cid:durableId="944729386">
    <w:abstractNumId w:val="2"/>
  </w:num>
  <w:num w:numId="16" w16cid:durableId="1471285239">
    <w:abstractNumId w:val="2"/>
  </w:num>
  <w:num w:numId="17" w16cid:durableId="1788623061">
    <w:abstractNumId w:val="1"/>
  </w:num>
  <w:num w:numId="18" w16cid:durableId="658580288">
    <w:abstractNumId w:val="1"/>
  </w:num>
  <w:num w:numId="19" w16cid:durableId="967706641">
    <w:abstractNumId w:val="0"/>
  </w:num>
  <w:num w:numId="20" w16cid:durableId="1828939270">
    <w:abstractNumId w:val="0"/>
  </w:num>
  <w:num w:numId="21" w16cid:durableId="1673485697">
    <w:abstractNumId w:val="9"/>
  </w:num>
  <w:num w:numId="22" w16cid:durableId="1174957621">
    <w:abstractNumId w:val="7"/>
  </w:num>
  <w:num w:numId="23" w16cid:durableId="1226602343">
    <w:abstractNumId w:val="6"/>
  </w:num>
  <w:num w:numId="24" w16cid:durableId="1071077410">
    <w:abstractNumId w:val="5"/>
  </w:num>
  <w:num w:numId="25" w16cid:durableId="2131391463">
    <w:abstractNumId w:val="4"/>
  </w:num>
  <w:num w:numId="26" w16cid:durableId="1011881228">
    <w:abstractNumId w:val="8"/>
  </w:num>
  <w:num w:numId="27" w16cid:durableId="361781363">
    <w:abstractNumId w:val="3"/>
  </w:num>
  <w:num w:numId="28" w16cid:durableId="1100874559">
    <w:abstractNumId w:val="2"/>
  </w:num>
  <w:num w:numId="29" w16cid:durableId="190729369">
    <w:abstractNumId w:val="1"/>
  </w:num>
  <w:num w:numId="30" w16cid:durableId="1562786894">
    <w:abstractNumId w:val="0"/>
  </w:num>
  <w:num w:numId="31" w16cid:durableId="2093431733">
    <w:abstractNumId w:val="9"/>
  </w:num>
  <w:num w:numId="32" w16cid:durableId="130904112">
    <w:abstractNumId w:val="7"/>
  </w:num>
  <w:num w:numId="33" w16cid:durableId="1735469104">
    <w:abstractNumId w:val="6"/>
  </w:num>
  <w:num w:numId="34" w16cid:durableId="1182086521">
    <w:abstractNumId w:val="5"/>
  </w:num>
  <w:num w:numId="35" w16cid:durableId="1192959090">
    <w:abstractNumId w:val="4"/>
  </w:num>
  <w:num w:numId="36" w16cid:durableId="2075155108">
    <w:abstractNumId w:val="8"/>
  </w:num>
  <w:num w:numId="37" w16cid:durableId="595943399">
    <w:abstractNumId w:val="3"/>
  </w:num>
  <w:num w:numId="38" w16cid:durableId="1479765318">
    <w:abstractNumId w:val="2"/>
  </w:num>
  <w:num w:numId="39" w16cid:durableId="1724980359">
    <w:abstractNumId w:val="1"/>
  </w:num>
  <w:num w:numId="40" w16cid:durableId="977340195">
    <w:abstractNumId w:val="0"/>
  </w:num>
  <w:num w:numId="41" w16cid:durableId="545916091">
    <w:abstractNumId w:val="10"/>
  </w:num>
  <w:num w:numId="42" w16cid:durableId="296573763">
    <w:abstractNumId w:val="10"/>
  </w:num>
  <w:num w:numId="43" w16cid:durableId="474488474">
    <w:abstractNumId w:val="10"/>
  </w:num>
  <w:num w:numId="44" w16cid:durableId="1861428278">
    <w:abstractNumId w:val="11"/>
  </w:num>
  <w:num w:numId="45" w16cid:durableId="1706638361">
    <w:abstractNumId w:val="12"/>
  </w:num>
  <w:num w:numId="46" w16cid:durableId="21403701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EL"/>
    <w:docVar w:name="dvnumam" w:val="0"/>
    <w:docVar w:name="dvpe" w:val="781.228"/>
    <w:docVar w:name="dvtitre" w:val="Ψήφισμα του Ευρωπαϊκού Κοινοβουλίου της ... 2026 σχετικά με τις πολυμερείς διαπραγματεύσεις ενόψει της 14ης Υπουργικής Συνδιάσκεψης του ΠΟΕ στη Γιαουντέ, 26 έως 29 Μαρτίου 2026 (2025/2875(RSP))"/>
  </w:docVars>
  <w:rsids>
    <w:rsidRoot w:val="005D55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57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077"/>
    <w:rsid w:val="00930C23"/>
    <w:rsid w:val="0093193B"/>
    <w:rsid w:val="009509D8"/>
    <w:rsid w:val="00950B64"/>
    <w:rsid w:val="00981893"/>
    <w:rsid w:val="009F4B1B"/>
    <w:rsid w:val="00A1687D"/>
    <w:rsid w:val="00A43E52"/>
    <w:rsid w:val="00A4678D"/>
    <w:rsid w:val="00A778C7"/>
    <w:rsid w:val="00AB441E"/>
    <w:rsid w:val="00AB6293"/>
    <w:rsid w:val="00AE0928"/>
    <w:rsid w:val="00AF3B82"/>
    <w:rsid w:val="00B12E95"/>
    <w:rsid w:val="00B22876"/>
    <w:rsid w:val="00B257A2"/>
    <w:rsid w:val="00B46D25"/>
    <w:rsid w:val="00B558F0"/>
    <w:rsid w:val="00BD48FE"/>
    <w:rsid w:val="00BD7BD8"/>
    <w:rsid w:val="00BE6ADC"/>
    <w:rsid w:val="00C05BFE"/>
    <w:rsid w:val="00C23CD4"/>
    <w:rsid w:val="00C61C0C"/>
    <w:rsid w:val="00C941CB"/>
    <w:rsid w:val="00CC2357"/>
    <w:rsid w:val="00CD5BF5"/>
    <w:rsid w:val="00CF071A"/>
    <w:rsid w:val="00CF3F96"/>
    <w:rsid w:val="00D058B8"/>
    <w:rsid w:val="00D56C11"/>
    <w:rsid w:val="00D834A0"/>
    <w:rsid w:val="00D872DF"/>
    <w:rsid w:val="00D91E21"/>
    <w:rsid w:val="00DA7FCD"/>
    <w:rsid w:val="00E00EC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0BCD2"/>
  <w15:chartTrackingRefBased/>
  <w15:docId w15:val="{029A61DA-E224-4B2D-B2A5-5CF06640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46D25"/>
    <w:pPr>
      <w:spacing w:after="240"/>
      <w:ind w:left="567" w:hanging="567"/>
    </w:pPr>
  </w:style>
  <w:style w:type="character" w:styleId="Hyperlink">
    <w:name w:val="Hyperlink"/>
    <w:basedOn w:val="DefaultParagraphFont"/>
    <w:uiPriority w:val="99"/>
    <w:unhideWhenUsed/>
    <w:rsid w:val="00B46D25"/>
    <w:rPr>
      <w:color w:val="0563C1" w:themeColor="hyperlink"/>
      <w:u w:val="single"/>
    </w:rPr>
  </w:style>
  <w:style w:type="character" w:customStyle="1" w:styleId="NormalHanging12aChar">
    <w:name w:val="NormalHanging12a Char"/>
    <w:basedOn w:val="DefaultParagraphFont"/>
    <w:link w:val="NormalHanging12a"/>
    <w:rsid w:val="00B46D25"/>
    <w:rPr>
      <w:sz w:val="24"/>
      <w:lang w:val="el-GR"/>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B46D25"/>
    <w:pPr>
      <w:widowControl/>
      <w:spacing w:after="160" w:line="240" w:lineRule="exact"/>
    </w:pPr>
    <w:rPr>
      <w:sz w:val="20"/>
      <w:vertAlign w:val="superscript"/>
      <w:lang w:val="en-GB"/>
    </w:rPr>
  </w:style>
  <w:style w:type="paragraph" w:customStyle="1" w:styleId="Corps">
    <w:name w:val="Corps"/>
    <w:link w:val="CorpsChar"/>
    <w:rsid w:val="00B46D25"/>
    <w:pPr>
      <w:pBdr>
        <w:top w:val="nil"/>
        <w:left w:val="nil"/>
        <w:bottom w:val="nil"/>
        <w:right w:val="nil"/>
        <w:between w:val="nil"/>
        <w:bar w:val="nil"/>
      </w:pBdr>
    </w:pPr>
    <w:rPr>
      <w:rFonts w:eastAsia="Arial Unicode MS" w:cs="Arial Unicode MS"/>
      <w:color w:val="000000"/>
      <w:sz w:val="24"/>
      <w:szCs w:val="24"/>
      <w:u w:color="000000"/>
      <w:bdr w:val="nil"/>
      <w:lang w:val="el-GR"/>
      <w14:textOutline w14:w="0" w14:cap="flat" w14:cmpd="sng" w14:algn="ctr">
        <w14:noFill/>
        <w14:prstDash w14:val="solid"/>
        <w14:bevel/>
      </w14:textOutline>
    </w:rPr>
  </w:style>
  <w:style w:type="character" w:customStyle="1" w:styleId="CorpsChar">
    <w:name w:val="Corps Char"/>
    <w:basedOn w:val="DefaultParagraphFont"/>
    <w:link w:val="Corps"/>
    <w:rsid w:val="00B46D25"/>
    <w:rPr>
      <w:rFonts w:eastAsia="Arial Unicode MS" w:cs="Arial Unicode MS"/>
      <w:color w:val="000000"/>
      <w:sz w:val="24"/>
      <w:szCs w:val="24"/>
      <w:u w:color="000000"/>
      <w:bdr w:val="nil"/>
      <w:lang w:val="el-GR"/>
      <w14:textOutline w14:w="0" w14:cap="flat" w14:cmpd="sng" w14:algn="ctr">
        <w14:noFill/>
        <w14:prstDash w14:val="solid"/>
        <w14:bevel/>
      </w14:textOutline>
    </w:rPr>
  </w:style>
  <w:style w:type="paragraph" w:styleId="Revision">
    <w:name w:val="Revision"/>
    <w:hidden/>
    <w:uiPriority w:val="99"/>
    <w:semiHidden/>
    <w:rsid w:val="009F4B1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4088</Words>
  <Characters>24503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2026-03-12T11:21:00Z</dcterms:created>
  <dcterms:modified xsi:type="dcterms:W3CDTF">2026-03-12T11:21:00Z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B10-0155/2026</vt:lpwstr>
  </property>
  <property fmtid="{D5CDD505-2E9C-101B-9397-08002B2CF9AE}" pid="4" name="&lt;Type&gt;">
    <vt:lpwstr>RR</vt:lpwstr>
  </property>
</Properties>
</file>