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5911" w14:paraId="0D8CD2E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D7D018" w14:textId="2A022BE7" w:rsidR="00751A4A" w:rsidRPr="00D35911" w:rsidRDefault="009532A7" w:rsidP="0010095E">
            <w:pPr>
              <w:pStyle w:val="EPName"/>
            </w:pPr>
            <w:r w:rsidRPr="00D35911">
              <w:t>Europski parlament</w:t>
            </w:r>
          </w:p>
          <w:p w14:paraId="0C5722EE" w14:textId="77777777" w:rsidR="00751A4A" w:rsidRPr="00D359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5911">
              <w:t>2024</w:t>
            </w:r>
            <w:r w:rsidR="00817416" w:rsidRPr="00D35911">
              <w:t>-202</w:t>
            </w:r>
            <w:r w:rsidRPr="00D35911">
              <w:t>9</w:t>
            </w:r>
          </w:p>
        </w:tc>
        <w:tc>
          <w:tcPr>
            <w:tcW w:w="2268" w:type="dxa"/>
            <w:shd w:val="clear" w:color="auto" w:fill="auto"/>
          </w:tcPr>
          <w:p w14:paraId="05E3C1C2" w14:textId="77777777" w:rsidR="00751A4A" w:rsidRPr="00D35911" w:rsidRDefault="00187494" w:rsidP="0010095E">
            <w:pPr>
              <w:pStyle w:val="EPLogo"/>
            </w:pPr>
            <w:r w:rsidRPr="00D35911">
              <w:rPr>
                <w:noProof/>
                <w:lang w:eastAsia="ja-JP"/>
              </w:rPr>
              <w:drawing>
                <wp:inline distT="0" distB="0" distL="0" distR="0" wp14:anchorId="25971F30" wp14:editId="319447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457FC" w14:textId="77777777" w:rsidR="00D058B8" w:rsidRPr="00D35911" w:rsidRDefault="00D058B8" w:rsidP="004C5D52">
      <w:pPr>
        <w:pStyle w:val="LineTop"/>
      </w:pPr>
    </w:p>
    <w:p w14:paraId="66305DD9" w14:textId="2F099EBB" w:rsidR="00680577" w:rsidRPr="00D35911" w:rsidRDefault="009532A7" w:rsidP="00680577">
      <w:pPr>
        <w:pStyle w:val="EPBodyTA1"/>
      </w:pPr>
      <w:r w:rsidRPr="00D35911">
        <w:t>USVOJENI TEKSTOVI</w:t>
      </w:r>
    </w:p>
    <w:p w14:paraId="688D3F0C" w14:textId="77777777" w:rsidR="00D058B8" w:rsidRPr="00D35911" w:rsidRDefault="00D058B8" w:rsidP="00D058B8">
      <w:pPr>
        <w:pStyle w:val="LineBottom"/>
      </w:pPr>
    </w:p>
    <w:p w14:paraId="5A5453A6" w14:textId="46279488" w:rsidR="009532A7" w:rsidRPr="00D35911" w:rsidRDefault="009532A7" w:rsidP="009532A7">
      <w:pPr>
        <w:pStyle w:val="ATHeading1"/>
      </w:pPr>
      <w:bookmarkStart w:id="0" w:name="TANumber"/>
      <w:r w:rsidRPr="00D35911">
        <w:t>P10_TA(2026)00</w:t>
      </w:r>
      <w:bookmarkEnd w:id="0"/>
      <w:r w:rsidR="00EF20F4">
        <w:t>86</w:t>
      </w:r>
    </w:p>
    <w:p w14:paraId="6BB4DCFC" w14:textId="77777777" w:rsidR="009532A7" w:rsidRPr="00D35911" w:rsidRDefault="009532A7" w:rsidP="009532A7">
      <w:pPr>
        <w:pStyle w:val="ATHeading2"/>
      </w:pPr>
      <w:bookmarkStart w:id="1" w:name="title"/>
      <w:r w:rsidRPr="00D35911">
        <w:t>Multilateralni pregovori uoči 14. ministarske konferencije WTO-a koja će se održati u Yaoundéu od 26. do 29. ožujka 2026.</w:t>
      </w:r>
      <w:bookmarkEnd w:id="1"/>
    </w:p>
    <w:p w14:paraId="536926CA" w14:textId="77777777" w:rsidR="009532A7" w:rsidRPr="00D35911" w:rsidRDefault="009532A7" w:rsidP="009532A7">
      <w:pPr>
        <w:rPr>
          <w:i/>
          <w:vanish/>
        </w:rPr>
      </w:pPr>
      <w:r w:rsidRPr="00D35911">
        <w:rPr>
          <w:i/>
        </w:rPr>
        <w:fldChar w:fldCharType="begin"/>
      </w:r>
      <w:r w:rsidRPr="00D35911">
        <w:rPr>
          <w:i/>
        </w:rPr>
        <w:instrText xml:space="preserve"> TC"(</w:instrText>
      </w:r>
      <w:bookmarkStart w:id="2" w:name="DocNumber"/>
      <w:r w:rsidRPr="00D35911">
        <w:rPr>
          <w:i/>
        </w:rPr>
        <w:instrText>B10-0155/2026</w:instrText>
      </w:r>
      <w:bookmarkEnd w:id="2"/>
      <w:r w:rsidRPr="00D35911">
        <w:rPr>
          <w:i/>
        </w:rPr>
        <w:instrText xml:space="preserve">)"\l3 \n&gt; \* MERGEFORMAT </w:instrText>
      </w:r>
      <w:r w:rsidRPr="00D35911">
        <w:rPr>
          <w:i/>
        </w:rPr>
        <w:fldChar w:fldCharType="end"/>
      </w:r>
    </w:p>
    <w:p w14:paraId="197025EE" w14:textId="77777777" w:rsidR="009532A7" w:rsidRPr="00D35911" w:rsidRDefault="009532A7" w:rsidP="009532A7">
      <w:pPr>
        <w:rPr>
          <w:vanish/>
        </w:rPr>
      </w:pPr>
      <w:bookmarkStart w:id="3" w:name="PE"/>
      <w:r w:rsidRPr="00D35911">
        <w:rPr>
          <w:vanish/>
        </w:rPr>
        <w:t>PE781.228</w:t>
      </w:r>
      <w:bookmarkEnd w:id="3"/>
    </w:p>
    <w:p w14:paraId="7BC8FAE5" w14:textId="1BA215A7" w:rsidR="009532A7" w:rsidRPr="00D35911" w:rsidRDefault="009532A7" w:rsidP="00364412">
      <w:pPr>
        <w:pStyle w:val="ATHeading3"/>
      </w:pPr>
      <w:bookmarkStart w:id="4" w:name="Sujet"/>
      <w:r w:rsidRPr="00D35911">
        <w:t xml:space="preserve">Rezolucija Europskog parlamenta od </w:t>
      </w:r>
      <w:r w:rsidR="00364412">
        <w:t>12. ožujka</w:t>
      </w:r>
      <w:r w:rsidRPr="00D35911">
        <w:t xml:space="preserve"> 2026. o multilateralnim pregovorima uoči 14. ministarske konferencije WTO-a u Yaoundéu od 26. do 29. ožujka 2026. </w:t>
      </w:r>
      <w:bookmarkStart w:id="5" w:name="References"/>
      <w:bookmarkEnd w:id="4"/>
      <w:r w:rsidRPr="00D35911">
        <w:t>(2025/2875(RSP))</w:t>
      </w:r>
      <w:bookmarkEnd w:id="5"/>
    </w:p>
    <w:p w14:paraId="477CE598" w14:textId="754DB62D" w:rsidR="001B3179" w:rsidRPr="00364412" w:rsidRDefault="001B3179" w:rsidP="00364412">
      <w:pPr>
        <w:pStyle w:val="Corps"/>
        <w:spacing w:before="360" w:after="360"/>
        <w:rPr>
          <w:rFonts w:eastAsia="Times New Roman"/>
          <w:i/>
          <w:iCs/>
          <w:bdr w:val="none" w:sz="0" w:space="0" w:color="auto"/>
        </w:rPr>
      </w:pPr>
      <w:bookmarkStart w:id="6" w:name="TextBodyBegin"/>
      <w:bookmarkEnd w:id="6"/>
      <w:r w:rsidRPr="00D35911">
        <w:rPr>
          <w:i/>
          <w:bdr w:val="none" w:sz="0" w:space="0" w:color="auto"/>
        </w:rPr>
        <w:t>Europski parlament,</w:t>
      </w:r>
    </w:p>
    <w:p w14:paraId="1D80E431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 xml:space="preserve">uzimajući u obzir Sporazum iz </w:t>
      </w:r>
      <w:proofErr w:type="spellStart"/>
      <w:r w:rsidRPr="00D35911">
        <w:t>Marakeša</w:t>
      </w:r>
      <w:proofErr w:type="spellEnd"/>
      <w:r w:rsidRPr="00D35911">
        <w:t xml:space="preserve"> od 15. travnja 1994. o osnivanju Svjetske trgovinske organizacije (WTO),</w:t>
      </w:r>
    </w:p>
    <w:p w14:paraId="74BEFBD2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Ministarsku deklaraciju usvojenu 14. studenoga 2001. na Ministarskoj konferenciji WTO-a u Dohi,</w:t>
      </w:r>
    </w:p>
    <w:p w14:paraId="5DCFA731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 xml:space="preserve">uzimajući u obzir svoje prethodne rezolucije o WTO-u, posebno rezolucije od 8. veljače 2024. o multilateralnim pregovorima uoči 13. ministarske konferencije WTO-a u Abu </w:t>
      </w:r>
      <w:proofErr w:type="spellStart"/>
      <w:r w:rsidRPr="00D35911">
        <w:t>Dhabiju</w:t>
      </w:r>
      <w:proofErr w:type="spellEnd"/>
      <w:r w:rsidRPr="00D35911">
        <w:rPr>
          <w:vertAlign w:val="superscript"/>
        </w:rPr>
        <w:footnoteReference w:id="1"/>
      </w:r>
      <w:r w:rsidRPr="00D35911">
        <w:t>, od 25. studenoga 2021. o multilateralnim pregovorima uoči 12. ministarske konferencije WTO-a u Ženevi</w:t>
      </w:r>
      <w:r w:rsidRPr="00D35911">
        <w:rPr>
          <w:vertAlign w:val="superscript"/>
        </w:rPr>
        <w:footnoteReference w:id="2"/>
      </w:r>
      <w:r w:rsidRPr="00D35911">
        <w:t>, od 29. studenoga 2018. naslovljenu „WTO: smjernice za budućnost”</w:t>
      </w:r>
      <w:r w:rsidRPr="00D35911">
        <w:rPr>
          <w:vertAlign w:val="superscript"/>
        </w:rPr>
        <w:footnoteReference w:id="3"/>
      </w:r>
      <w:r w:rsidRPr="00D35911">
        <w:t xml:space="preserve"> i od 28. studenoga 2019. o krizi Žalbenog tijela WTO-a</w:t>
      </w:r>
      <w:r w:rsidRPr="00D35911">
        <w:rPr>
          <w:vertAlign w:val="superscript"/>
        </w:rPr>
        <w:footnoteReference w:id="4"/>
      </w:r>
      <w:r w:rsidRPr="00D35911">
        <w:t>,</w:t>
      </w:r>
    </w:p>
    <w:p w14:paraId="024DDF0B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 xml:space="preserve">uzimajući u obzir zaključne dokumente usvojene konsenzusom na godišnjim sjednicama Parlamentarne konferencije o WTO-u 25. veljače 2024. u Abu </w:t>
      </w:r>
      <w:proofErr w:type="spellStart"/>
      <w:r w:rsidRPr="00D35911">
        <w:t>Dhabiju</w:t>
      </w:r>
      <w:proofErr w:type="spellEnd"/>
      <w:r w:rsidRPr="00D35911">
        <w:t>, 7. prosinca 2018. u Ženevi i 10. prosinca 2017. u Buenos Airesu,</w:t>
      </w:r>
    </w:p>
    <w:p w14:paraId="00724D1E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 xml:space="preserve">uzimajući u obzir ishode 13. ministarske konferencije WTO-a održane u Abu </w:t>
      </w:r>
      <w:proofErr w:type="spellStart"/>
      <w:r w:rsidRPr="00D35911">
        <w:t>Dhabiju</w:t>
      </w:r>
      <w:proofErr w:type="spellEnd"/>
      <w:r w:rsidRPr="00D35911">
        <w:t xml:space="preserve"> u veljači 2024., na kojoj je, među ostalim, donesena Ministarska deklaracija iz Abu </w:t>
      </w:r>
      <w:proofErr w:type="spellStart"/>
      <w:r w:rsidRPr="00D35911">
        <w:t>Dhabija</w:t>
      </w:r>
      <w:proofErr w:type="spellEnd"/>
      <w:r w:rsidRPr="00D35911">
        <w:t>, kojom se trgovina povezuje s UN-ovim Programom 2030., te pristupanje Komorâ i Timor-</w:t>
      </w:r>
      <w:proofErr w:type="spellStart"/>
      <w:r w:rsidRPr="00D35911">
        <w:t>Lestea</w:t>
      </w:r>
      <w:proofErr w:type="spellEnd"/>
      <w:r w:rsidRPr="00D35911">
        <w:t xml:space="preserve"> WTO-u, ali koja nije uključivala sporazume o ključnim područjima kao što su subvencije za ribarstvo, poljoprivreda i reforma rješavanja </w:t>
      </w:r>
      <w:r w:rsidRPr="00D35911">
        <w:lastRenderedPageBreak/>
        <w:t>sporova,</w:t>
      </w:r>
    </w:p>
    <w:p w14:paraId="3C051A25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da je 15. rujna 2025. stupio na snagu Sporazum WTO-a o subvencijama za ribarstvo, kojim se članice obvezuju da će godišnju potrošnju na najštetnije subvencije koje doprinose iscrpljivanju morskih ribljih stokova smanjiti za milijarde dolara;</w:t>
      </w:r>
    </w:p>
    <w:p w14:paraId="2AC8C84A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UN-ove ciljeve održivog razvoja,</w:t>
      </w:r>
    </w:p>
    <w:p w14:paraId="73B89738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Pariški sporazum u sklopu Okvirne konvencije Ujedinjenih naroda o promjeni klime, koji je na snazi od studenoga 2016.,</w:t>
      </w:r>
    </w:p>
    <w:p w14:paraId="0B8E4578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komunikaciju Komisije od 18. veljače 2021. naslovljenu „Revizija trgovinske politike – otvorena, održiva i odlučna trgovinska politika” i njezin prilog naslovljen „Reforma WTO-a: prema održivom i učinkovitom multilateralnom trgovinskom sustavu” (COM(2021)0066),</w:t>
      </w:r>
    </w:p>
    <w:p w14:paraId="6C0BC576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članak 136. stavak 2. Poslovnika,</w:t>
      </w:r>
    </w:p>
    <w:p w14:paraId="1AA33AE7" w14:textId="77777777" w:rsidR="001B3179" w:rsidRPr="00D35911" w:rsidRDefault="001B3179" w:rsidP="001B3179">
      <w:pPr>
        <w:pStyle w:val="NormalHanging12a"/>
      </w:pPr>
      <w:r w:rsidRPr="00D35911">
        <w:t>–</w:t>
      </w:r>
      <w:r w:rsidRPr="00D35911">
        <w:tab/>
        <w:t>uzimajući u obzir Prijedlog rezolucije Odbora za međunarodnu trgovinu,</w:t>
      </w:r>
    </w:p>
    <w:p w14:paraId="03176D4A" w14:textId="77777777" w:rsidR="001B3179" w:rsidRPr="00D35911" w:rsidRDefault="001B3179" w:rsidP="001B3179">
      <w:pPr>
        <w:pStyle w:val="NormalHanging12a"/>
      </w:pPr>
      <w:r w:rsidRPr="00D35911">
        <w:t>A.</w:t>
      </w:r>
      <w:r w:rsidRPr="00D35911">
        <w:tab/>
        <w:t xml:space="preserve">budući da je WTO osnovan radi promicanja liberalizacije trgovine robom i uslugama, jačanja </w:t>
      </w:r>
      <w:proofErr w:type="spellStart"/>
      <w:r w:rsidRPr="00D35911">
        <w:t>multilateralizma</w:t>
      </w:r>
      <w:proofErr w:type="spellEnd"/>
      <w:r w:rsidRPr="00D35911">
        <w:t xml:space="preserve"> i poticanja pravednog, otvorenog, </w:t>
      </w:r>
      <w:proofErr w:type="spellStart"/>
      <w:r w:rsidRPr="00D35911">
        <w:t>uključivog</w:t>
      </w:r>
      <w:proofErr w:type="spellEnd"/>
      <w:r w:rsidRPr="00D35911">
        <w:t xml:space="preserve"> i </w:t>
      </w:r>
      <w:proofErr w:type="spellStart"/>
      <w:r w:rsidRPr="00D35911">
        <w:t>nediskriminirajućeg</w:t>
      </w:r>
      <w:proofErr w:type="spellEnd"/>
      <w:r w:rsidRPr="00D35911">
        <w:t xml:space="preserve"> multilateralnog trgovinskog sustava utemeljenog na pravilima kako bi se olakšala razmjena robe i usluga, pružile mogućnosti za zapošljavanje, rast i blagostanje te poboljšala dobrobit ljudi diljem svijeta; budući da je opći cilj trgovinske politike EU-a doprinijeti skladnom razvoju svjetske trgovine, postupnom ukidanju ograničenja u međunarodnoj trgovini i izravnim stranim ulaganjima te smanjenju carinskih i drugih prepreka; budući da je primarni mandat WTO-a osigurati pristup tržištu, predvidljivost i pravnu sigurnost u međunarodnoj trgovini te se ne bi trebao razviti u opći politički forum koji nadilazi njegove temeljne trgovinske funkcije; budući da je trgovina ključna te predstavlja važno sredstvo za potporu i nadopunjavanje nastojanja usmjerenih na unapređenje održivog rasta i poboljšanje životnog standarda te da se njome osigurava kvalitetnija zaposlenost i velik te neprekidno rastući obujam stvarnog prihoda u skladu s ciljem održivog razvoja;</w:t>
      </w:r>
    </w:p>
    <w:p w14:paraId="34C85A4B" w14:textId="77777777" w:rsidR="001B3179" w:rsidRPr="00D35911" w:rsidRDefault="001B3179" w:rsidP="001B3179">
      <w:pPr>
        <w:pStyle w:val="NormalHanging12a"/>
      </w:pPr>
      <w:r w:rsidRPr="00D35911">
        <w:t>B.</w:t>
      </w:r>
      <w:r w:rsidRPr="00D35911">
        <w:tab/>
        <w:t>budući da se multilateralni trgovinski sustav suočava s ozbiljnim političkim i institucionalnim izazovima; budući da ti izazovi proizlaze ne samo iz institucionalnih nedostataka, već i iz širenja jednostranih i protekcionističkih mjera, uključujući ograničenja izvoza, diskriminirajuće subvencije i nepoštene trgovinske prakse, koje potkopavaju povjerenje, fragmentiraju globalne lance vrijednosti i štete svjetskom gospodarstvu i blagostanju; budući da postojeća previranja u globalnoj trgovini stvaraju golemu nesigurnost i gospodarske troškove diljem svijeta, što jasno pokazuje da su predvidljiva, stabilna i pravedna pravila ključna za napredak trgovine;</w:t>
      </w:r>
    </w:p>
    <w:p w14:paraId="053CC1C0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C.</w:t>
      </w:r>
      <w:r w:rsidRPr="00D35911">
        <w:tab/>
        <w:t>budući da je multilateralni trgovinski sustav i dalje vrlo dinamičan i aktivan te da se 72 % svjetske trgovine danas i dalje odvija prema načelu najpovlaštenije nacije; budući da to pokazuje da WTO i dalje pruža ključan okvir predvidljivosti i stabilnosti za globalnu trgovinu te da je zaštita njegovih temeljnih načela i disciplina i dalje jednako važna;</w:t>
      </w:r>
    </w:p>
    <w:p w14:paraId="06E18658" w14:textId="77777777" w:rsidR="001B3179" w:rsidRPr="00D35911" w:rsidRDefault="001B3179" w:rsidP="001B3179">
      <w:pPr>
        <w:pStyle w:val="NormalHanging12a"/>
      </w:pPr>
      <w:r w:rsidRPr="00D35911">
        <w:t>D.</w:t>
      </w:r>
      <w:r w:rsidRPr="00D35911">
        <w:tab/>
        <w:t xml:space="preserve">budući da su suradnja i djelovanje sa zemljama u razvoju ključni za održavanje </w:t>
      </w:r>
      <w:r w:rsidRPr="00D35911">
        <w:lastRenderedPageBreak/>
        <w:t>multilateralnog poretka utemeljenog na pravilima; budući da bi se takva suradnja trebala temeljiti na uzajamnom poštovanju i istinskoj predanosti poticanju međunarodne suradnje;</w:t>
      </w:r>
    </w:p>
    <w:p w14:paraId="14EB9C2A" w14:textId="77777777" w:rsidR="001B3179" w:rsidRPr="00D35911" w:rsidRDefault="001B3179" w:rsidP="001B3179">
      <w:pPr>
        <w:pStyle w:val="NormalHanging12a"/>
      </w:pPr>
      <w:r w:rsidRPr="00D35911">
        <w:t>E.</w:t>
      </w:r>
      <w:r w:rsidRPr="00D35911">
        <w:tab/>
        <w:t>budući da se globalno trgovinsko okruženje tijekom posljednjih 30 godina promijenilo, među ostalim zbog gospodarskog napretka ključnih zemalja skupine G20 i promjenama u odnosu na njihovu relativnu važnost u globalnoj trgovini te rastućeg broja članica WTO-a i njihove raznolikosti; budući da WTO zbog raznolikosti svojih članica i različitih interesa ima poteškoća s prihvaćanjem nove gospodarske i trgovinske stvarnosti te stoga ne uspijeva ostvariti ambiciozan program; budući da je globalni trgovinski sustav pod velikim pritiskom zbog sve većeg protekcionizma trgovinskih politika SAD-a, ali i zbog netržišnih politika i praksi Kine, što dovodi do prekomjernog kapaciteta i narušavanja tržišta u sustavu;</w:t>
      </w:r>
    </w:p>
    <w:p w14:paraId="2DD2A198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F.</w:t>
      </w:r>
      <w:r w:rsidRPr="00D35911">
        <w:tab/>
        <w:t>budući da je WTO jedinstvena multilateralna organizacija u smislu da svaka članica sudjeluje pod jednakim uvjetima, da stvara i uređuje obvezujuća trgovinska pravila među svojim članicama te da se temelji na pravno obvezujućem sustavu rješavanja sporova; budući da je multilateralni trgovinski sustav koji dobro funkcionira i temelji se na pravilima ključan za očuvanje konkurentnosti europskog gospodarstva, jačanje otpornosti lanca opskrbe i podupiranje strateške otpornosti EU-a općenito;</w:t>
      </w:r>
    </w:p>
    <w:p w14:paraId="048E0FC0" w14:textId="77777777" w:rsidR="001B3179" w:rsidRPr="00D35911" w:rsidRDefault="001B3179" w:rsidP="001B3179">
      <w:pPr>
        <w:pStyle w:val="NormalHanging12a"/>
      </w:pPr>
      <w:r w:rsidRPr="00D35911">
        <w:t>G.</w:t>
      </w:r>
      <w:r w:rsidRPr="00D35911">
        <w:tab/>
        <w:t>budući da postojeća pravila WTO-a o subvencijama nisu prilagođena promjenjivim okolnostima u globalnoj trgovini; budući da zastarjela pravila nisu mogla ograničiti državne intervencije kojima se narušava tržišno natjecanje; budući da su pošteno tržišno natjecanje i ograničavanje prelijevanja učinaka industrijskih politika ključni preduvjeti za postizanje ciljeva industrijalizacije zemalja u razvoju;</w:t>
      </w:r>
    </w:p>
    <w:p w14:paraId="58FEEFD2" w14:textId="77777777" w:rsidR="001B3179" w:rsidRPr="00D35911" w:rsidRDefault="001B3179" w:rsidP="001B3179">
      <w:pPr>
        <w:pStyle w:val="NormalHanging12a"/>
      </w:pPr>
      <w:r w:rsidRPr="00D35911">
        <w:t>H.</w:t>
      </w:r>
      <w:r w:rsidRPr="00D35911">
        <w:tab/>
        <w:t>budući da WTO treba prilagoditi tim novim okolnostima i modernizirati kako bi bio spreman za 21. stoljeće i kako bi se odgovorilo na nove izazove povezane sa zelenom i digitalnom tranzicijom;</w:t>
      </w:r>
    </w:p>
    <w:p w14:paraId="47433889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I.</w:t>
      </w:r>
      <w:r w:rsidRPr="00D35911">
        <w:tab/>
        <w:t>budući da je izvješće UN-a o trgovini i razvoju za 2025.</w:t>
      </w:r>
      <w:r w:rsidRPr="00D35911">
        <w:rPr>
          <w:bCs/>
          <w:iCs/>
          <w:vertAlign w:val="superscript"/>
        </w:rPr>
        <w:footnoteReference w:id="5"/>
      </w:r>
      <w:r w:rsidRPr="00D35911">
        <w:t>pokazalo da bi, suprotno argumentima protivnika moratorija na e-trgovinu, prihodi od digitalnog oporezivanja bili ograničeni te bi mogli ugroziti konkurentnost i trgovinu;</w:t>
      </w:r>
    </w:p>
    <w:p w14:paraId="78DCB329" w14:textId="77777777" w:rsidR="001B3179" w:rsidRPr="00D35911" w:rsidRDefault="001B3179" w:rsidP="001B3179">
      <w:pPr>
        <w:pStyle w:val="NormalHanging12a"/>
      </w:pPr>
      <w:r w:rsidRPr="00D35911">
        <w:t>J.</w:t>
      </w:r>
      <w:r w:rsidRPr="00D35911">
        <w:tab/>
        <w:t>budući da je Sporazum WTO-a o subvencijama za ribarstvo, koji je dogovoren na 12. ministarskoj konferenciji, a stupio je na snagu u rujnu 2025., prvi multilateralni trgovinski sporazum u čijem je središtu ekološka održivost i kojim se uspostavlja obvezujući skup globalnih pravila za pomoć u ograničavanju štetnih subvencija koje vlade dodjeljuju sektoru ribarstva, a koje se procjenjuju na 22 milijarde USD godišnje, kako je propisano u okviru cilja održivog razvoja 14.6.;</w:t>
      </w:r>
    </w:p>
    <w:p w14:paraId="45D23277" w14:textId="77777777" w:rsidR="001B3179" w:rsidRPr="00D35911" w:rsidRDefault="001B3179" w:rsidP="001B3179">
      <w:pPr>
        <w:pStyle w:val="NormalHanging12a"/>
      </w:pPr>
      <w:r w:rsidRPr="00D35911">
        <w:t>K.</w:t>
      </w:r>
      <w:r w:rsidRPr="00D35911">
        <w:tab/>
        <w:t xml:space="preserve">budući da je sigurnost opskrbe hranom i dalje ozbiljan problem jer je broj ljudi u kriznoj situaciji ili u težim fazama akutne nesigurnosti opskrbe hranom porastao s 193 milijuna u 2021. na 258 milijuna u 2022.; budući da se u Sporazumu WTO-a iz Urugvaja o poljoprivredi izričito priznaje važnost razmatranja sigurnosti opskrbe hranom u pregovorima koji su u tijeku; budući da se trgovinom može povećati dostupnost hrane u </w:t>
      </w:r>
      <w:r w:rsidRPr="00D35911">
        <w:lastRenderedPageBreak/>
        <w:t>regijama u kojima je ona ograničena i da se može doprinijeti poboljšanju ekonomskog pristupa hrani stvaranjem prilika za zapošljavanje i povećanjem prihoda;</w:t>
      </w:r>
    </w:p>
    <w:p w14:paraId="2BE6E1C3" w14:textId="77777777" w:rsidR="001B3179" w:rsidRPr="00D35911" w:rsidRDefault="001B3179" w:rsidP="001B3179">
      <w:pPr>
        <w:pStyle w:val="NormalHanging12a"/>
      </w:pPr>
      <w:r w:rsidRPr="00D35911">
        <w:t>L.</w:t>
      </w:r>
      <w:r w:rsidRPr="00D35911">
        <w:tab/>
        <w:t>budući da je 11. prosinca 2019. Žalbeno tijelo WTO-a prestalo s radom, što je dovelo do prekida funkcionalnog, neovisnog i nepristranog žalbenog procesa u rješavanju sporova; budući da rasprava pod vodstvom posrednika o reformi rješavanja sporova od 13. ministarske konferencije još nije dovela do zadovoljavajućeg ishoda;</w:t>
      </w:r>
    </w:p>
    <w:p w14:paraId="536FCA35" w14:textId="77777777" w:rsidR="001B3179" w:rsidRPr="00D35911" w:rsidRDefault="001B3179" w:rsidP="001B3179">
      <w:pPr>
        <w:pStyle w:val="NormalHanging12a"/>
      </w:pPr>
      <w:r w:rsidRPr="00D35911">
        <w:t>M.</w:t>
      </w:r>
      <w:r w:rsidRPr="00D35911">
        <w:tab/>
        <w:t>budući da Europski parlament, zajedno s Međuparlamentarnom unijom, već više od 20 godina ima ključnu ulogu u uspostavi parlamentarne dimenzije WTO-a putem Parlamentarne konferencije o WTO-u;</w:t>
      </w:r>
    </w:p>
    <w:p w14:paraId="02AD4154" w14:textId="77777777" w:rsidR="001B3179" w:rsidRPr="00D35911" w:rsidRDefault="001B3179" w:rsidP="001B3179">
      <w:pPr>
        <w:pStyle w:val="NormalHanging12a"/>
      </w:pPr>
      <w:r w:rsidRPr="00D35911">
        <w:t>N.</w:t>
      </w:r>
      <w:r w:rsidRPr="00D35911">
        <w:tab/>
        <w:t xml:space="preserve">budući da su tijekom javnog foruma WTO-a održanog 17. i 18. rujna 2025. organizatori aktivno poticali pojačani i strukturirani angažman privatnog sektora, prepoznajući njegovu ključnu ulogu u podržavanju otvorenog, predvidljivog i </w:t>
      </w:r>
      <w:proofErr w:type="spellStart"/>
      <w:r w:rsidRPr="00D35911">
        <w:t>uključivog</w:t>
      </w:r>
      <w:proofErr w:type="spellEnd"/>
      <w:r w:rsidRPr="00D35911">
        <w:t xml:space="preserve"> multilateralnog trgovinskog sustava;</w:t>
      </w:r>
    </w:p>
    <w:p w14:paraId="4BAFE079" w14:textId="77777777" w:rsidR="001B3179" w:rsidRPr="00D35911" w:rsidRDefault="001B3179" w:rsidP="001B3179">
      <w:pPr>
        <w:pStyle w:val="NormalHanging12a"/>
      </w:pPr>
      <w:r w:rsidRPr="00D35911">
        <w:t>O.</w:t>
      </w:r>
      <w:r w:rsidRPr="00D35911">
        <w:tab/>
        <w:t>budući da će se 14. ministarska konferencija WTO-a održati u Yaoundéu (Kamerun) od 26. do 29. ožujka 2026.;</w:t>
      </w:r>
    </w:p>
    <w:p w14:paraId="35435B33" w14:textId="77777777" w:rsidR="001B3179" w:rsidRPr="00D35911" w:rsidRDefault="001B3179" w:rsidP="001B3179">
      <w:pPr>
        <w:pStyle w:val="NormalHanging12a"/>
      </w:pPr>
      <w:r w:rsidRPr="00D35911">
        <w:t>1.</w:t>
      </w:r>
      <w:r w:rsidRPr="00D35911">
        <w:tab/>
        <w:t xml:space="preserve">ponovno ističe svoju potpunu predanost trajnoj vrijednosti </w:t>
      </w:r>
      <w:proofErr w:type="spellStart"/>
      <w:r w:rsidRPr="00D35911">
        <w:t>multilateralizma</w:t>
      </w:r>
      <w:proofErr w:type="spellEnd"/>
      <w:r w:rsidRPr="00D35911">
        <w:t xml:space="preserve"> i ističe da je ključno da modernizirani multilateralni sustav upravlja trgovinom; traži donošenje trgovinskog programa koji bi se temeljio na otvorenoj i pravednoj trgovini utemeljenoj na pravilima u korist svih, čime bi se doprinijelo održivom gospodarskom razvoju, jačajući mir i sigurnost; naglašava da bi WTO trebao promicati ostvarenje socijalnih i okolišnih prava, među ostalim ciljeva održivog razvoja, te osigurati da se multilateralno dogovorena i usklađena pravila primjenjuju na sve;</w:t>
      </w:r>
    </w:p>
    <w:p w14:paraId="740E8AD1" w14:textId="77777777" w:rsidR="001B3179" w:rsidRPr="00D35911" w:rsidRDefault="001B3179" w:rsidP="001B3179">
      <w:pPr>
        <w:pStyle w:val="NormalHanging12a"/>
      </w:pPr>
      <w:r w:rsidRPr="00D35911">
        <w:t>2.</w:t>
      </w:r>
      <w:r w:rsidRPr="00D35911">
        <w:tab/>
        <w:t>potiče sve članice WTO-a da se obvežu na uspjeh 14. ministarske konferencije s obzirom na egzistencijalnu prijetnju s kojom se suočava multilateralni trgovinski sustav; smatra da bi 14. ministarska konferencija trebala biti polazna točka za unapređenje i modernizaciju WTO-a kako bi se osiguralo da može imati ulogu u rješavanju izazova 21. stoljeća; poziva WTO da umjesto postojećeg dvogodišnjeg ciklusa prijeđe na sazivanje godišnjih ministarskih konferencija kako bi se ojačalo političko usmjeravanje, odgovornost i sposobnost WTO-a da pravodobno odgovori na globalne trgovinske izazove;</w:t>
      </w:r>
    </w:p>
    <w:p w14:paraId="6CF06537" w14:textId="77777777" w:rsidR="001B3179" w:rsidRPr="00D35911" w:rsidRDefault="001B3179" w:rsidP="001B3179">
      <w:pPr>
        <w:pStyle w:val="NormalHanging12a"/>
        <w:rPr>
          <w:bCs/>
          <w:i/>
          <w:iCs/>
        </w:rPr>
      </w:pPr>
      <w:r w:rsidRPr="00D35911">
        <w:rPr>
          <w:b/>
          <w:i/>
        </w:rPr>
        <w:t>Modernizacija WTO-a</w:t>
      </w:r>
    </w:p>
    <w:p w14:paraId="5D67E165" w14:textId="77777777" w:rsidR="001B3179" w:rsidRPr="00D35911" w:rsidRDefault="001B3179" w:rsidP="001B3179">
      <w:pPr>
        <w:pStyle w:val="NormalHanging12a"/>
      </w:pPr>
      <w:r w:rsidRPr="00D35911">
        <w:t>3.</w:t>
      </w:r>
      <w:r w:rsidRPr="00D35911">
        <w:tab/>
        <w:t>poziva članice WTO-a da donesu sveobuhvatan paket kojim se preispituju funkcije WTO-a u pogledu praćenja, pregovaranja, rasprave i rješavanja sporova; u potpunosti podržava proces modernizacije WTO-a pod vodstvom posrednika i njegov program za 14. ministarsku konferenciju o sveobuhvatnoj modernizaciji te se slaže s trima područjima koje je predložio posrednik, a to su upravljanje, pravednost (ravnopravni uvjeti i uravnotežena trgovina) i „problemi našeg doba”; traži da se tijekom 14. ministarske konferencije odobri jasan plan reforme kako bi se osiguralo da se modernizacija može dogovoriti na 15. ministarskoj konferenciji;</w:t>
      </w:r>
    </w:p>
    <w:p w14:paraId="753EC79D" w14:textId="77777777" w:rsidR="001B3179" w:rsidRPr="00D35911" w:rsidRDefault="001B3179" w:rsidP="001B3179">
      <w:pPr>
        <w:pStyle w:val="NormalHanging12a"/>
      </w:pPr>
      <w:r w:rsidRPr="00D35911">
        <w:t>4.</w:t>
      </w:r>
      <w:r w:rsidRPr="00D35911">
        <w:tab/>
        <w:t xml:space="preserve">naglašava da je predvidljivost i dalje temelj multilateralnog trgovinskog sustava i da temeljna pravila WTO-a, među ostalim o određivanju carinske vrijednosti, sanitarnim i </w:t>
      </w:r>
      <w:proofErr w:type="spellStart"/>
      <w:r w:rsidRPr="00D35911">
        <w:t>fitosanitarnim</w:t>
      </w:r>
      <w:proofErr w:type="spellEnd"/>
      <w:r w:rsidRPr="00D35911">
        <w:t xml:space="preserve"> mjerama, tehničkim preprekama trgovini, olakšavanju trgovine i </w:t>
      </w:r>
      <w:r w:rsidRPr="00D35911">
        <w:lastRenderedPageBreak/>
        <w:t>intelektualnom vlasništvu, i dalje pružaju ključnu pravnu sigurnost vladama i poduzećima diljem svijeta;</w:t>
      </w:r>
    </w:p>
    <w:p w14:paraId="047CCFC5" w14:textId="77777777" w:rsidR="001B3179" w:rsidRPr="00D35911" w:rsidRDefault="001B3179" w:rsidP="001B3179">
      <w:pPr>
        <w:pStyle w:val="NormalHanging12a"/>
      </w:pPr>
      <w:r w:rsidRPr="00D35911">
        <w:t>5.</w:t>
      </w:r>
      <w:r w:rsidRPr="00D35911">
        <w:tab/>
        <w:t>smatra da je praksa izjednačavanja konsenzusa s jednoglasnim odlučivanjem 166 članica WTO-a dovela do zastoja; ustraje u tome da WTO treba učiti od drugih međunarodnih organizacija i uvesti različite pristupe u postupak donošenja odluka te voditi konstruktivan razgovor o praksi postizanja konsenzusa i razlikovati je od jednoglasnosti; naglašava da bi WTO trebao razmotriti mogućnosti za učinkovitije i fleksibilnije donošenje odluka, među ostalim provedbu koncepta „odgovornog konsenzusa”, pri čemu bi se članice poticalo da se koriste pravom veta samo kada je to potrebno i da pruže jasno obrazloženje, čime bi se potaknula odgovornost i konstruktivno sudjelovanje; nadalje naglašava da bi WTO također trebao razmotriti osnivanje upravljačkog ili izvršnog tijela s posebnom ulogom u utvrđivanju programa ili nadzornim funkcijama, slično kao izvršni odbori Međunarodnog monetarnog fonda i Svjetske banke;</w:t>
      </w:r>
    </w:p>
    <w:p w14:paraId="433B6440" w14:textId="77777777" w:rsidR="001B3179" w:rsidRPr="00D35911" w:rsidRDefault="001B3179" w:rsidP="001B3179">
      <w:pPr>
        <w:pStyle w:val="NormalHanging12a"/>
      </w:pPr>
      <w:r w:rsidRPr="00D35911">
        <w:t>6.</w:t>
      </w:r>
      <w:r w:rsidRPr="00D35911">
        <w:tab/>
        <w:t xml:space="preserve">potiče napredak u pregovorima o multilateralnim sporazumima i naglašava da treba stvoriti jednostavniji način za integraciju </w:t>
      </w:r>
      <w:proofErr w:type="spellStart"/>
      <w:r w:rsidRPr="00D35911">
        <w:t>plurilateralnih</w:t>
      </w:r>
      <w:proofErr w:type="spellEnd"/>
      <w:r w:rsidRPr="00D35911">
        <w:t xml:space="preserve"> sporazuma u multilateralnu strukturu kako bi se osigurao napredak u područjima koja nisu dovoljno razvijena u svim članicama; ističe da bi otvorene </w:t>
      </w:r>
      <w:proofErr w:type="spellStart"/>
      <w:r w:rsidRPr="00D35911">
        <w:t>plurilateralne</w:t>
      </w:r>
      <w:proofErr w:type="spellEnd"/>
      <w:r w:rsidRPr="00D35911">
        <w:t xml:space="preserve"> inicijative trebale omogućiti svim voljnim članicama da nastave s djelovanjem; stoga ponovno poziva sve članice WTO-a da razmisle o tome kako razviti novi sustav prema kojem jedna članica ili skupina članica koje nisu članice WTO-a ne može blokirati pojačanu suradnju u </w:t>
      </w:r>
      <w:proofErr w:type="spellStart"/>
      <w:r w:rsidRPr="00D35911">
        <w:t>plurilateralnoj</w:t>
      </w:r>
      <w:proofErr w:type="spellEnd"/>
      <w:r w:rsidRPr="00D35911">
        <w:t xml:space="preserve"> </w:t>
      </w:r>
      <w:proofErr w:type="spellStart"/>
      <w:r w:rsidRPr="00D35911">
        <w:t>incijativi</w:t>
      </w:r>
      <w:proofErr w:type="spellEnd"/>
      <w:r w:rsidRPr="00D35911">
        <w:t>, posebno kada se temelji na načelu najpovlaštenije nacije te se stoga njezine prednosti odnose na članstvo u cjelini, te da na temelju toga uspostave jasan mehanizam kojim bi se omogućilo da se sporazumi koji proizlaze iz tog sustava integriraju u strukturu WTO-a;</w:t>
      </w:r>
    </w:p>
    <w:p w14:paraId="5881C11E" w14:textId="77777777" w:rsidR="001B3179" w:rsidRPr="00D35911" w:rsidRDefault="001B3179" w:rsidP="001B3179">
      <w:pPr>
        <w:pStyle w:val="NormalHanging12a"/>
        <w:rPr>
          <w:i/>
        </w:rPr>
      </w:pPr>
      <w:r w:rsidRPr="00D35911">
        <w:t>7.</w:t>
      </w:r>
      <w:r w:rsidRPr="00D35911">
        <w:tab/>
        <w:t>žali zbog povećanja protekcionističkih trgovinskih politika diljem svijeta i odluke SAD-a da uvede dodatne carine na uvoz od trgovinskih partnera, uključujući EU, čime se bez ikakvog opravdanja odustaje od načela najpovlaštenije nacije; poziva Sjedinjene Američke Države da konstruktivno surađuju s članicama WTO-a na jačanju, a ne potkopavanju multilateralnog trgovinskog sustava, čime će pokazati globalno vodstvo, te da ostvare konkretne rezultate na 14. ministarskoj konferenciji; pozdravlja činjenicu da su Sjedinjene Američke Države imenovale veleposlanika pri WTO-u;</w:t>
      </w:r>
    </w:p>
    <w:p w14:paraId="04DA7BE3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8.</w:t>
      </w:r>
      <w:r w:rsidRPr="00D35911">
        <w:tab/>
        <w:t>ponovno potvrđuje da je načelo najpovlaštenije nacije temelj multilateralnog trgovinskog sustava; ističe njegovu središnju ulogu u osiguravanju nediskriminacije, predvidljivosti i pravednosti u međunarodnoj trgovini; naglašava da bi se modernizacija WTO-a trebala provesti promjenom sustava, a ne njegovim nepoštovanjem;</w:t>
      </w:r>
    </w:p>
    <w:p w14:paraId="4CCF5ABA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9.</w:t>
      </w:r>
      <w:r w:rsidRPr="00D35911">
        <w:tab/>
        <w:t xml:space="preserve">prepoznaje ambicije Indije da riješi dugogodišnje pitanje držanja javnih robnih zaliha radi sigurnosti opskrbe hranom, ali žali zbog nedostatka usklađenosti Indije sa stajalištima EU-a o moratoriju na e-trgovinu, pregovora o subvencijama za ribarstvo i općeg napretka u </w:t>
      </w:r>
      <w:proofErr w:type="spellStart"/>
      <w:r w:rsidRPr="00D35911">
        <w:t>plurilateralnim</w:t>
      </w:r>
      <w:proofErr w:type="spellEnd"/>
      <w:r w:rsidRPr="00D35911">
        <w:t xml:space="preserve"> pregovorima; poziva Indiju da drugim članicama WTO-a omogući napredak u svim tim pitanjima; nadalje žali zbog činjenice da se Indija usprotivila proširenju mandata WTO-a na nova pitanja koja su povezana s klimom, radom i rodnom ravnopravnošću; poziva Komisiju da se tim pitanjima pozabavi i u nedavno sklopljenom trgovinskom sporazumu između EU-a i Indije;</w:t>
      </w:r>
    </w:p>
    <w:p w14:paraId="49D8724D" w14:textId="77777777" w:rsidR="001B3179" w:rsidRPr="00D35911" w:rsidRDefault="001B3179" w:rsidP="001B3179">
      <w:pPr>
        <w:pStyle w:val="NormalHanging12a"/>
      </w:pPr>
      <w:r w:rsidRPr="00D35911">
        <w:t>10.</w:t>
      </w:r>
      <w:r w:rsidRPr="00D35911">
        <w:tab/>
        <w:t xml:space="preserve">prima na znanje odluku Kine da se u budućim sporazumima WTO-a odrekne povlastica </w:t>
      </w:r>
      <w:r w:rsidRPr="00D35911">
        <w:lastRenderedPageBreak/>
        <w:t>posebnog i diferenciranog postupanja WTO-a, kao što su to već učinile druge velike članice u razvoju; poziva Kinu da osigura da se ta obveza retroaktivno odražava i u provedbi postojećih sporazuma WTO-a;</w:t>
      </w:r>
    </w:p>
    <w:p w14:paraId="0FA5E0EC" w14:textId="77777777" w:rsidR="001B3179" w:rsidRPr="00D35911" w:rsidRDefault="001B3179" w:rsidP="001B3179">
      <w:pPr>
        <w:pStyle w:val="NormalHanging12a"/>
      </w:pPr>
      <w:r w:rsidRPr="00D35911">
        <w:t>11.</w:t>
      </w:r>
      <w:r w:rsidRPr="00D35911">
        <w:tab/>
        <w:t>podsjeća da raširena upotreba poduzeća u državnom vlasništvu, netransparentnih subvencija i industrijskih politika pod vodstvom države u Kini i dalje dovodi do znatnih prekomjernih kapaciteta i poremećaja u globalnoj trgovini; žali zbog toga što se Kina koristi trgovinom i ovisnostima kao oružjem te zbog njezina sustava kontrole izvoza za koji ne postoji opravdanje za dvojnu namjenu; poziva Kinu da svoje obveze u okviru WTO-a uskladi sa svojom gospodarskom važnošću i da radi na izjednačavanju uvjeta i rješavanju tih pitanja te da pomaže u modernizaciji WTO-a;</w:t>
      </w:r>
    </w:p>
    <w:p w14:paraId="69B27541" w14:textId="77777777" w:rsidR="001B3179" w:rsidRPr="00D35911" w:rsidRDefault="001B3179" w:rsidP="001B3179">
      <w:pPr>
        <w:pStyle w:val="NormalHanging12a"/>
      </w:pPr>
      <w:r w:rsidRPr="00D35911">
        <w:t>12.</w:t>
      </w:r>
      <w:r w:rsidRPr="00D35911">
        <w:tab/>
        <w:t>ističe da partneri sličnih stavova koji su predani poštovanju i jačanju multilateralnog trgovinskog poretka utemeljenog na pravilima, u čijem je središtu WTO, moraju još tješnje surađivati; u tom zahtjevnom kontekstu ustraje u tome da EU mora nastaviti djelovati kao pouzdan partner i podržavati trgovinu utemeljenu na pravilima;</w:t>
      </w:r>
    </w:p>
    <w:p w14:paraId="7E492F4D" w14:textId="77777777" w:rsidR="001B3179" w:rsidRPr="00D35911" w:rsidRDefault="001B3179" w:rsidP="001B3179">
      <w:pPr>
        <w:pStyle w:val="NormalHanging12a"/>
      </w:pPr>
      <w:r w:rsidRPr="00D35911">
        <w:t>13.</w:t>
      </w:r>
      <w:r w:rsidRPr="00D35911">
        <w:tab/>
        <w:t xml:space="preserve">poziva članice WTO-a da ponovno uspostave potpuno funkcionalan, neovisan, obvezujući i </w:t>
      </w:r>
      <w:proofErr w:type="spellStart"/>
      <w:r w:rsidRPr="00D35911">
        <w:t>dvorazinski</w:t>
      </w:r>
      <w:proofErr w:type="spellEnd"/>
      <w:r w:rsidRPr="00D35911">
        <w:t xml:space="preserve"> sustav rješavanja sporova kao neizostavno načelo predvidivosti, osiguravajući da se pravila provode zakonom, a ne jednostranim djelovanjem, bez obzira na gospodarsku veličinu ili moć članica;</w:t>
      </w:r>
    </w:p>
    <w:p w14:paraId="58A8A45E" w14:textId="77777777" w:rsidR="001B3179" w:rsidRPr="00D35911" w:rsidRDefault="001B3179" w:rsidP="001B3179">
      <w:pPr>
        <w:pStyle w:val="NormalHanging12a"/>
      </w:pPr>
      <w:r w:rsidRPr="00D35911">
        <w:t>14.</w:t>
      </w:r>
      <w:r w:rsidRPr="00D35911">
        <w:tab/>
        <w:t>podržava činjenicu da se 58 članica WTO-a (koje čine gotovo 60 % svjetske trgovine) pridružilo Višestranom privremenom mehanizmu za arbitražu u slučaju žalbi (MPIA) kao privremenoj mjeri dok se ponovno ne pokrene potpuno funkcionalan sustav WTO-a za rješavanje sporova; poziva ostale članice da se pridruže MPIA-u kako bi pokazale svoju predanost pravednom i funkcionalnom sustavu rješavanja sporova; naglašava da je Višestrani privremeni sporazum o arbitraži u žalbenom postupku privremeno i dobrovoljno rješenje i da ne smije postati trajna zamjena za multilateralni žalbeni mehanizam primjenjiv na sve članice WTO-a;</w:t>
      </w:r>
    </w:p>
    <w:p w14:paraId="58B68CAE" w14:textId="77777777" w:rsidR="001B3179" w:rsidRPr="00D35911" w:rsidRDefault="001B3179" w:rsidP="001B3179">
      <w:pPr>
        <w:pStyle w:val="NormalHanging12a"/>
        <w:rPr>
          <w:bCs/>
          <w:i/>
          <w:iCs/>
        </w:rPr>
      </w:pPr>
      <w:r w:rsidRPr="00D35911">
        <w:rPr>
          <w:b/>
          <w:i/>
        </w:rPr>
        <w:t>Jednaki uvjeti</w:t>
      </w:r>
    </w:p>
    <w:p w14:paraId="6E3FC394" w14:textId="77777777" w:rsidR="001B3179" w:rsidRPr="00D35911" w:rsidRDefault="001B3179" w:rsidP="001B3179">
      <w:pPr>
        <w:pStyle w:val="NormalHanging12a"/>
      </w:pPr>
      <w:r w:rsidRPr="00D35911">
        <w:t>15.</w:t>
      </w:r>
      <w:r w:rsidRPr="00D35911">
        <w:tab/>
        <w:t>ustraje u tome da je pravednost temelj trajnog i vjerodostojnog sustava; napominje da su postojeće državne intervencije, uključujući velike industrijske subvencije i netržišne prakse, kojima se narušava tržišno natjecanje, a koje su dovele do napetosti među članicama i do skupih utrka za subvencijama, pokazale da postojeća pravila o subvencijama nisu prilagođena promjenjivim okolnostima u globalnoj trgovini; ustraje u tome da se reforma pravila WTO-a o industrijskim subvencijama i državnim intervencijama mora temeljiti na tri komplementarna stupa: pojačani zahtjevi u pogledu transparentnosti i obavješćivanja, ojačana i pojašnjena pravila te učinkovitiji pravni lijekovi za rješavanje problema negativnih prelijevanja i viška kapaciteta; traži da te teme budu u središtu modernizacije WTO-a, ravnopravno s drugim pitanjima u vezi s modernizacijom; podržava postupak neformalnih rasprava kao sredstvo za poboljšanje zajedničkog razumijevanja među članicama WTO-a i stvaranje uvjeta za uspostavu pravila;</w:t>
      </w:r>
    </w:p>
    <w:p w14:paraId="1F3EF2D6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16.</w:t>
      </w:r>
      <w:r w:rsidRPr="00D35911">
        <w:tab/>
        <w:t xml:space="preserve">naglašava da pravila WTO-a i buduća pravila moraju biti usklađena s ciljevima Pariškog sporazuma i drugih relevantnih multilateralnih sporazuma u području okoliša te podupirati prijelaz na klimatski neutralna gospodarstva, kao i učinkovito rješavati negativne učinke prelijevanja kao što su višak kapaciteta i lanci opskrbe s visokim </w:t>
      </w:r>
      <w:r w:rsidRPr="00D35911">
        <w:lastRenderedPageBreak/>
        <w:t>emisijama ugljika, izbjegavajući pritom neopravdana trgovinska ograničenja;</w:t>
      </w:r>
    </w:p>
    <w:p w14:paraId="4CF6CF23" w14:textId="77777777" w:rsidR="001B3179" w:rsidRPr="00D35911" w:rsidRDefault="001B3179" w:rsidP="001B3179">
      <w:pPr>
        <w:pStyle w:val="NormalHanging12a"/>
        <w:rPr>
          <w:bCs/>
          <w:i/>
          <w:iCs/>
        </w:rPr>
      </w:pPr>
      <w:r w:rsidRPr="00D35911">
        <w:rPr>
          <w:b/>
          <w:i/>
        </w:rPr>
        <w:t>Razvojna dimenzija</w:t>
      </w:r>
    </w:p>
    <w:p w14:paraId="337551ED" w14:textId="77777777" w:rsidR="001B3179" w:rsidRPr="00D35911" w:rsidRDefault="001B3179" w:rsidP="001B3179">
      <w:pPr>
        <w:pStyle w:val="NormalHanging12a"/>
      </w:pPr>
      <w:r w:rsidRPr="00D35911">
        <w:t>17.</w:t>
      </w:r>
      <w:r w:rsidRPr="00D35911">
        <w:tab/>
        <w:t xml:space="preserve">pozdravlja stupanje na snagu prvog Sporazuma o subvencijama za ribarstvo u rujnu 2025.; naglašava da je brzo postizanje dogovora o pravilima o subvencijama za ribarstvo kojima se doprinosi prekomjernom kapacitetu i </w:t>
      </w:r>
      <w:proofErr w:type="spellStart"/>
      <w:r w:rsidRPr="00D35911">
        <w:t>prelovu</w:t>
      </w:r>
      <w:proofErr w:type="spellEnd"/>
      <w:r w:rsidRPr="00D35911">
        <w:t>, koje čine više od polovine svih subvencija za ribarstvo, također od ključne važnosti kako bi se izbjeglo iscrpljivanje morskih bioloških resursa i omogućilo njihovo održivo upravljanje, uz poštovanje potrebe za posebnim i različitim postupanjem u skladu s ciljem održivog razvoja 14.6.;</w:t>
      </w:r>
    </w:p>
    <w:p w14:paraId="36D4AD44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18.</w:t>
      </w:r>
      <w:r w:rsidRPr="00D35911">
        <w:tab/>
        <w:t>naglašava da je potrebno ojačati i uzeti u obzir razvojnu dimenziju WTO-a, među ostalim u okviru postupka modernizacije WTO-a, prepoznajući raznolikost gospodarskih situacija zemalja u razvoju i izbjegavajući univerzalnu primjenu posebnog i diferenciranog postupanja te uvođenjem detaljnijih odredbi o posebnom i različitom postupanju koje se više temelje na dokazima i potrebama, podložno redovitom preispitivanju i uključujući jasne mehanizme stupnjevanja, koje bi bile prilagođenije potrebama zemalja u razvoju, uključujući najmanje razvijene zemlje; nadalje ističe da samoodređenje članica u pogledu njihova razvojnog statusa ne može ostati jedini kriterij za posebno i različito postupanje te traži objektivne, transparentne i redovito revidirane kriterije, uz istodobno osiguravanje odgovarajuće fleksibilnosti za najsiromašnije i najranjivije zemlje;</w:t>
      </w:r>
    </w:p>
    <w:p w14:paraId="1807DE13" w14:textId="77777777" w:rsidR="001B3179" w:rsidRPr="00D35911" w:rsidRDefault="001B3179" w:rsidP="001B3179">
      <w:pPr>
        <w:pStyle w:val="NormalHanging12a"/>
      </w:pPr>
      <w:r w:rsidRPr="00D35911">
        <w:t>19.</w:t>
      </w:r>
      <w:r w:rsidRPr="00D35911">
        <w:tab/>
        <w:t>podržava zaključenje pregovora o Sporazumu o olakšavanju ulaganja u razvoj kako bi se stvorilo pravednije, transparentnije, učinkovitije i predvidljivije okruženje za olakšavanje prekograničnih ulaganja i sudjelovanje zemalja u razvoju u globalnim tokovima ulaganja; pozdravlja potporu 128 članica (od 166), uključujući 91 gospodarstvo u razvoju (od kojih su 27 najmanje razvijene zemlje) te apelira na preostale članice da povuku svoje protivljenje i uvrste taj sporazum u Prilog 4. pravilniku WTO-a pod nazivom „</w:t>
      </w:r>
      <w:proofErr w:type="spellStart"/>
      <w:r w:rsidRPr="00D35911">
        <w:t>Plurilateralni</w:t>
      </w:r>
      <w:proofErr w:type="spellEnd"/>
      <w:r w:rsidRPr="00D35911">
        <w:t xml:space="preserve"> trgovinski sporazumi”;</w:t>
      </w:r>
    </w:p>
    <w:p w14:paraId="00DF469D" w14:textId="77777777" w:rsidR="001B3179" w:rsidRPr="00D35911" w:rsidRDefault="001B3179" w:rsidP="001B3179">
      <w:pPr>
        <w:pStyle w:val="NormalHanging12a"/>
      </w:pPr>
      <w:r w:rsidRPr="00D35911">
        <w:t>20.</w:t>
      </w:r>
      <w:r w:rsidRPr="00D35911">
        <w:tab/>
        <w:t>naglašava da je potrebno postići napredak u pregovorima o poljoprivredi kako bi se postigli vjerodostojni ishodi u pitanjima kao što su držanje javnih robnih zaliha u svrhu sigurnosti opskrbe hranom, domaća potpora, pristup tržištu, pamuk, ograničenja izvoza i izvozna konkurencija te jačanje poljoprivrednog sektora kako bi se odgovorilo na suvremene izazove, uključujući životne uvjete u ruralnim područjima i okolišnu održivost; naglašava da rasprave ne bi trebale biti usmjerene samo na smanjenje domaće potpore koja narušava trgovinu, već i na integraciju relevantnih globalnih izazova, među ostalim sigurnost opskrbe hranom i održivost, u rasprave o poljoprivredi;</w:t>
      </w:r>
    </w:p>
    <w:p w14:paraId="10A4A1FF" w14:textId="77777777" w:rsidR="001B3179" w:rsidRPr="00D35911" w:rsidRDefault="001B3179" w:rsidP="001B3179">
      <w:pPr>
        <w:pStyle w:val="NormalHanging12a"/>
        <w:rPr>
          <w:bCs/>
          <w:i/>
          <w:iCs/>
        </w:rPr>
      </w:pPr>
      <w:r w:rsidRPr="00D35911">
        <w:rPr>
          <w:b/>
          <w:i/>
        </w:rPr>
        <w:t>Digitalna dimenzija</w:t>
      </w:r>
    </w:p>
    <w:p w14:paraId="16E76684" w14:textId="77777777" w:rsidR="001B3179" w:rsidRPr="00D35911" w:rsidRDefault="001B3179" w:rsidP="001B3179">
      <w:pPr>
        <w:pStyle w:val="NormalHanging12a"/>
      </w:pPr>
      <w:r w:rsidRPr="00D35911">
        <w:t>21.</w:t>
      </w:r>
      <w:r w:rsidRPr="00D35911">
        <w:tab/>
        <w:t>poziva članice WTO-a da na 14. ministarskoj konferenciji obnove program rada za elektroničku trgovinu i moratorij na carine na elektroničke prijenose; smatra da je pronalaženje trajnog rješenja za neuvođenje carina na elektroničke prijenose ključno za poduzeća diljem svijeta, među ostalim za ona u zemljama u razvoju;</w:t>
      </w:r>
    </w:p>
    <w:p w14:paraId="4654A1BE" w14:textId="77777777" w:rsidR="001B3179" w:rsidRPr="00D35911" w:rsidRDefault="001B3179" w:rsidP="001B3179">
      <w:pPr>
        <w:pStyle w:val="NormalHanging12a"/>
      </w:pPr>
      <w:r w:rsidRPr="00D35911">
        <w:t>22.</w:t>
      </w:r>
      <w:r w:rsidRPr="00D35911">
        <w:tab/>
        <w:t xml:space="preserve">poziva članice WTO-a da prije svega podrže uklapanje Sporazuma o elektroničkoj trgovini u okvir WTO-a; ističe da se sporazumom utvrđuju prva globalna pravila za digitalnu trgovinu, čime se stvara pravedan, predvidiv i transparentan okvir koji </w:t>
      </w:r>
      <w:r w:rsidRPr="00D35911">
        <w:lastRenderedPageBreak/>
        <w:t xml:space="preserve">pogoduje potrošačima i poduzećima jer olakšava prekogranične transakcije, smanjuje prepreke te promiče inovacije i povjerenje; naglašava da je sporazum osmišljen tako da pogoduje zemljama u razvoju i najmanje razvijenim zemljama jednako kao i naprednim gospodarstvima; podržava inicijative i programe za izgradnju kapaciteta u okviru sporazuma kojima se podržavaju napori zemalja u razvoju i najmanje razvijenih zemalja da iskoriste mogućnosti koje nudi digitalna trgovina; ponovno ističe važnost sporazuma u pružanju potpore </w:t>
      </w:r>
      <w:proofErr w:type="spellStart"/>
      <w:r w:rsidRPr="00D35911">
        <w:t>mikropoduzećima</w:t>
      </w:r>
      <w:proofErr w:type="spellEnd"/>
      <w:r w:rsidRPr="00D35911">
        <w:t xml:space="preserve"> te malim i srednjim poduzećima; podržava napore suorganizatora da postignu brzu provedbu Sporazuma;</w:t>
      </w:r>
    </w:p>
    <w:p w14:paraId="37CDD8AB" w14:textId="77777777" w:rsidR="001B3179" w:rsidRPr="00D35911" w:rsidRDefault="001B3179" w:rsidP="001B3179">
      <w:pPr>
        <w:pStyle w:val="NormalHanging12a"/>
        <w:rPr>
          <w:bCs/>
          <w:iCs/>
        </w:rPr>
      </w:pPr>
      <w:r w:rsidRPr="00D35911">
        <w:t>23.</w:t>
      </w:r>
      <w:r w:rsidRPr="00D35911">
        <w:tab/>
        <w:t xml:space="preserve">ističe sve veću važnost sustava umjetne inteligencije u međunarodnoj trgovini; u tom kontekstu poziva na pojačanu međunarodnu suradnju u pogledu propisa i politika u području umjetne inteligencije, uz poštovanje prava članica WTO-a na reguliranje; naglašava da bi WTO trebao smisleno doprinijeti razvoju čvrstog, sigurnog, </w:t>
      </w:r>
      <w:proofErr w:type="spellStart"/>
      <w:r w:rsidRPr="00D35911">
        <w:t>uključivog</w:t>
      </w:r>
      <w:proofErr w:type="spellEnd"/>
      <w:r w:rsidRPr="00D35911">
        <w:t xml:space="preserve"> i pouzdanog okvira za upravljanje umjetnom inteligencijom za trgovinu, među ostalim osnivanjem posebne radne skupine WTO-a za umjetnu inteligenciju kako bi se olakšali dijalog, razmjena znanja i suradnja među članicama u pogledu propisa i politika u području umjetne inteligencije;</w:t>
      </w:r>
    </w:p>
    <w:p w14:paraId="6EFDE3CC" w14:textId="77777777" w:rsidR="001B3179" w:rsidRPr="00D35911" w:rsidRDefault="001B3179" w:rsidP="001B3179">
      <w:pPr>
        <w:pStyle w:val="NormalHanging12a"/>
        <w:rPr>
          <w:bCs/>
          <w:i/>
          <w:iCs/>
        </w:rPr>
      </w:pPr>
      <w:r w:rsidRPr="00D35911">
        <w:rPr>
          <w:b/>
          <w:i/>
        </w:rPr>
        <w:t>Sudjelovanje Parlamenta</w:t>
      </w:r>
    </w:p>
    <w:p w14:paraId="1D18F47C" w14:textId="77777777" w:rsidR="001B3179" w:rsidRPr="00D35911" w:rsidRDefault="001B3179" w:rsidP="001B3179">
      <w:pPr>
        <w:pStyle w:val="NormalHanging12a"/>
      </w:pPr>
      <w:r w:rsidRPr="00D35911">
        <w:t>24.</w:t>
      </w:r>
      <w:r w:rsidRPr="00D35911">
        <w:tab/>
        <w:t>poziva Komisiju i Vijeće da se pobrinu za to da Parlament i dalje bude intenzivno uključen u pripreme za 14. ministarsku konferenciju te da ga tijekom te ministarske konferencije redovito obavještavaju i s njim se savjetuju;</w:t>
      </w:r>
    </w:p>
    <w:p w14:paraId="6167F7C3" w14:textId="77777777" w:rsidR="001B3179" w:rsidRPr="00D35911" w:rsidRDefault="001B3179" w:rsidP="001B3179">
      <w:pPr>
        <w:pStyle w:val="NormalHanging12a"/>
      </w:pPr>
      <w:r w:rsidRPr="00D35911">
        <w:t>25.</w:t>
      </w:r>
      <w:r w:rsidRPr="00D35911">
        <w:tab/>
        <w:t xml:space="preserve">poziva članice WTO-a da zajamče demokratski legitimitet i transparentnost jačanjem parlamentarne dimenzije WTO-a i Parlamentarne konferencije o WTO-u; pohvaljuje važan rad zajedničke parlamentarne konferencije Europskog parlamenta i Međuparlamentarne unije o WTO-u; naglašava da je potrebno osigurati bolji pristup svim trgovinskim pregovorima za parlamentarce i njihovo sudjelovanje u oblikovanju i provedbi odluka WTO-a; potiče čelnike da podrže novi narativ o trgovini prema kojem se trgovina smatra pokretačem, a ne preprekom postizanju održivosti, sigurnosti i </w:t>
      </w:r>
      <w:proofErr w:type="spellStart"/>
      <w:r w:rsidRPr="00D35911">
        <w:t>uključivosti</w:t>
      </w:r>
      <w:proofErr w:type="spellEnd"/>
      <w:r w:rsidRPr="00D35911">
        <w:t>;</w:t>
      </w:r>
    </w:p>
    <w:p w14:paraId="6C98CEF3" w14:textId="77777777" w:rsidR="001B3179" w:rsidRPr="00D35911" w:rsidRDefault="001B3179" w:rsidP="001B3179">
      <w:pPr>
        <w:pStyle w:val="NormalHanging12a"/>
      </w:pPr>
      <w:r w:rsidRPr="00D35911">
        <w:t>26.</w:t>
      </w:r>
      <w:r w:rsidRPr="00D35911">
        <w:tab/>
        <w:t>poziva članice WTO-a da poboljšaju rasprave sa svim dionicima, među ostalim sa civilnim društvom, poduzećima i sindikatima, te da pojačaju suradnju s drugim međunarodnim organizacijama kao što su Međunarodna trgovinska komora, Međunarodna organizacija rada i sustav UN-a u širem smislu; očekuje od čelnika da na svim razinama više komuniciraju o prednostima trgovine utemeljene na pravilima;</w:t>
      </w:r>
    </w:p>
    <w:p w14:paraId="28782FFC" w14:textId="25D5921E" w:rsidR="00364412" w:rsidRDefault="00364412" w:rsidP="00364412">
      <w:pPr>
        <w:pStyle w:val="NormalHanging12a"/>
        <w:widowControl/>
        <w:ind w:left="0" w:firstLine="0"/>
        <w:jc w:val="center"/>
      </w:pPr>
      <w:r>
        <w:t>°</w:t>
      </w:r>
    </w:p>
    <w:p w14:paraId="4F9305C7" w14:textId="5651739D" w:rsidR="00364412" w:rsidRDefault="00364412" w:rsidP="00364412">
      <w:pPr>
        <w:pStyle w:val="NormalHanging12a"/>
        <w:widowControl/>
        <w:ind w:left="0" w:firstLine="0"/>
        <w:jc w:val="center"/>
      </w:pPr>
      <w:r>
        <w:t>°     °</w:t>
      </w:r>
    </w:p>
    <w:p w14:paraId="3C576351" w14:textId="62665FA5" w:rsidR="00D35911" w:rsidRPr="00D35911" w:rsidRDefault="001B3179" w:rsidP="00D35911">
      <w:pPr>
        <w:pStyle w:val="NormalHanging12a"/>
      </w:pPr>
      <w:r w:rsidRPr="00D35911">
        <w:t>27.</w:t>
      </w:r>
      <w:r w:rsidRPr="00D35911">
        <w:tab/>
        <w:t>nalaže svojoj predsjednici da ovu Rezoluciju proslijedi Vijeću, Komisiji, vladama i parlamentima država članica, glavnoj direktorici WTO-a te glavnom tajniku Međuparlamentarne unije.</w:t>
      </w:r>
    </w:p>
    <w:p w14:paraId="1532B396" w14:textId="43AC785B" w:rsidR="00E365E1" w:rsidRPr="00D35911" w:rsidRDefault="00E365E1" w:rsidP="009532A7"/>
    <w:sectPr w:rsidR="00E365E1" w:rsidRPr="00D35911" w:rsidSect="00D359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34E5B" w14:textId="77777777" w:rsidR="009532A7" w:rsidRPr="00D35911" w:rsidRDefault="009532A7">
      <w:r w:rsidRPr="00D35911">
        <w:separator/>
      </w:r>
    </w:p>
  </w:endnote>
  <w:endnote w:type="continuationSeparator" w:id="0">
    <w:p w14:paraId="6B34BA7C" w14:textId="77777777" w:rsidR="009532A7" w:rsidRPr="00D35911" w:rsidRDefault="009532A7">
      <w:r w:rsidRPr="00D359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7BEAB" w14:textId="77777777" w:rsidR="00064002" w:rsidRPr="00D359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9E41" w14:textId="77777777" w:rsidR="00064002" w:rsidRPr="00D359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106E" w14:textId="77777777" w:rsidR="00064002" w:rsidRPr="00D359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B81E" w14:textId="77777777" w:rsidR="009532A7" w:rsidRPr="00D35911" w:rsidRDefault="009532A7">
      <w:r w:rsidRPr="00D35911">
        <w:separator/>
      </w:r>
    </w:p>
  </w:footnote>
  <w:footnote w:type="continuationSeparator" w:id="0">
    <w:p w14:paraId="5DF6043D" w14:textId="77777777" w:rsidR="009532A7" w:rsidRPr="00D35911" w:rsidRDefault="009532A7">
      <w:r w:rsidRPr="00D35911">
        <w:continuationSeparator/>
      </w:r>
    </w:p>
  </w:footnote>
  <w:footnote w:id="1">
    <w:p w14:paraId="63627D47" w14:textId="3B59C8F1" w:rsidR="001B3179" w:rsidRPr="00D35911" w:rsidRDefault="001B3179" w:rsidP="00D35911">
      <w:pPr>
        <w:pStyle w:val="FootnoteText"/>
        <w:ind w:left="567" w:hanging="567"/>
        <w:rPr>
          <w:sz w:val="24"/>
          <w:szCs w:val="16"/>
          <w:lang w:val="hr-HR"/>
        </w:rPr>
      </w:pPr>
      <w:r w:rsidRPr="00D35911">
        <w:rPr>
          <w:rStyle w:val="FootnoteReference"/>
          <w:sz w:val="24"/>
          <w:szCs w:val="16"/>
          <w:lang w:val="hr-HR"/>
        </w:rPr>
        <w:footnoteRef/>
      </w:r>
      <w:r w:rsidR="00D35911" w:rsidRPr="00D35911">
        <w:rPr>
          <w:sz w:val="24"/>
          <w:lang w:val="hr-HR"/>
        </w:rPr>
        <w:t xml:space="preserve"> </w:t>
      </w:r>
      <w:r w:rsidR="00D35911" w:rsidRPr="00D35911">
        <w:rPr>
          <w:sz w:val="24"/>
          <w:lang w:val="hr-HR"/>
        </w:rPr>
        <w:tab/>
      </w:r>
      <w:r w:rsidRPr="00D35911">
        <w:rPr>
          <w:sz w:val="24"/>
          <w:lang w:val="hr-HR"/>
        </w:rPr>
        <w:t xml:space="preserve">SL C, C/2024/6342, 7.11.2024., ELI: </w:t>
      </w:r>
      <w:hyperlink r:id="rId1" w:history="1">
        <w:r w:rsidRPr="00D35911">
          <w:rPr>
            <w:rStyle w:val="Hyperlink"/>
            <w:sz w:val="24"/>
            <w:lang w:val="hr-HR"/>
          </w:rPr>
          <w:t>http://data.europa.eu/eli/C/2024/6342/oj</w:t>
        </w:r>
      </w:hyperlink>
      <w:r w:rsidRPr="00D35911">
        <w:rPr>
          <w:sz w:val="24"/>
          <w:lang w:val="hr-HR"/>
        </w:rPr>
        <w:t>.</w:t>
      </w:r>
    </w:p>
  </w:footnote>
  <w:footnote w:id="2">
    <w:p w14:paraId="546CF192" w14:textId="5C002220" w:rsidR="001B3179" w:rsidRPr="00D35911" w:rsidRDefault="001B3179" w:rsidP="00D35911">
      <w:pPr>
        <w:pStyle w:val="FootnoteText"/>
        <w:ind w:left="567" w:hanging="567"/>
        <w:rPr>
          <w:sz w:val="24"/>
          <w:szCs w:val="16"/>
          <w:lang w:val="hr-HR"/>
        </w:rPr>
      </w:pPr>
      <w:r w:rsidRPr="00D35911">
        <w:rPr>
          <w:rStyle w:val="FootnoteReference"/>
          <w:sz w:val="24"/>
          <w:szCs w:val="16"/>
          <w:lang w:val="hr-HR"/>
        </w:rPr>
        <w:footnoteRef/>
      </w:r>
      <w:r w:rsidR="00D35911" w:rsidRPr="00D35911">
        <w:rPr>
          <w:sz w:val="24"/>
          <w:lang w:val="hr-HR"/>
        </w:rPr>
        <w:t xml:space="preserve"> </w:t>
      </w:r>
      <w:r w:rsidR="00D35911" w:rsidRPr="00D35911">
        <w:rPr>
          <w:sz w:val="24"/>
          <w:lang w:val="hr-HR"/>
        </w:rPr>
        <w:tab/>
      </w:r>
      <w:r w:rsidRPr="00D35911">
        <w:rPr>
          <w:sz w:val="24"/>
          <w:lang w:val="hr-HR"/>
        </w:rPr>
        <w:t>SL C 224, 8.6.2022., str. 89.</w:t>
      </w:r>
    </w:p>
  </w:footnote>
  <w:footnote w:id="3">
    <w:p w14:paraId="727C53A4" w14:textId="45E35FBE" w:rsidR="001B3179" w:rsidRPr="00D35911" w:rsidRDefault="001B3179" w:rsidP="00D35911">
      <w:pPr>
        <w:pStyle w:val="FootnoteText"/>
        <w:ind w:left="567" w:hanging="567"/>
        <w:rPr>
          <w:sz w:val="24"/>
          <w:szCs w:val="16"/>
          <w:lang w:val="hr-HR"/>
        </w:rPr>
      </w:pPr>
      <w:r w:rsidRPr="00D35911">
        <w:rPr>
          <w:rStyle w:val="FootnoteReference"/>
          <w:sz w:val="24"/>
          <w:szCs w:val="16"/>
          <w:lang w:val="hr-HR"/>
        </w:rPr>
        <w:footnoteRef/>
      </w:r>
      <w:r w:rsidR="00D35911" w:rsidRPr="00D35911">
        <w:rPr>
          <w:sz w:val="24"/>
          <w:lang w:val="hr-HR"/>
        </w:rPr>
        <w:t xml:space="preserve"> </w:t>
      </w:r>
      <w:r w:rsidR="00D35911" w:rsidRPr="00D35911">
        <w:rPr>
          <w:sz w:val="24"/>
          <w:lang w:val="hr-HR"/>
        </w:rPr>
        <w:tab/>
      </w:r>
      <w:r w:rsidRPr="00D35911">
        <w:rPr>
          <w:sz w:val="24"/>
          <w:lang w:val="hr-HR"/>
        </w:rPr>
        <w:t>SL C 363, 28.10.2020., str. 113.</w:t>
      </w:r>
    </w:p>
  </w:footnote>
  <w:footnote w:id="4">
    <w:p w14:paraId="26A1A01C" w14:textId="15646036" w:rsidR="001B3179" w:rsidRPr="00D35911" w:rsidRDefault="001B3179" w:rsidP="00D35911">
      <w:pPr>
        <w:pStyle w:val="FootnoteText"/>
        <w:ind w:left="567" w:hanging="567"/>
        <w:rPr>
          <w:sz w:val="24"/>
          <w:lang w:val="hr-HR"/>
        </w:rPr>
      </w:pPr>
      <w:r w:rsidRPr="00D35911">
        <w:rPr>
          <w:rStyle w:val="FootnoteReference"/>
          <w:sz w:val="24"/>
          <w:szCs w:val="16"/>
          <w:lang w:val="hr-HR"/>
        </w:rPr>
        <w:footnoteRef/>
      </w:r>
      <w:r w:rsidR="00D35911" w:rsidRPr="00D35911">
        <w:rPr>
          <w:sz w:val="24"/>
          <w:lang w:val="hr-HR"/>
        </w:rPr>
        <w:t xml:space="preserve"> </w:t>
      </w:r>
      <w:r w:rsidR="00D35911" w:rsidRPr="00D35911">
        <w:rPr>
          <w:sz w:val="24"/>
          <w:lang w:val="hr-HR"/>
        </w:rPr>
        <w:tab/>
      </w:r>
      <w:r w:rsidRPr="00D35911">
        <w:rPr>
          <w:sz w:val="24"/>
          <w:lang w:val="hr-HR"/>
        </w:rPr>
        <w:t>SL C 232, 16.6.2021., str. 62.</w:t>
      </w:r>
    </w:p>
  </w:footnote>
  <w:footnote w:id="5">
    <w:p w14:paraId="21880A72" w14:textId="03F40DAD" w:rsidR="001B3179" w:rsidRPr="00D35911" w:rsidRDefault="001B3179" w:rsidP="00D35911">
      <w:pPr>
        <w:pStyle w:val="FootnoteText"/>
        <w:ind w:left="567" w:hanging="567"/>
        <w:rPr>
          <w:sz w:val="24"/>
          <w:szCs w:val="16"/>
          <w:lang w:val="hr-HR"/>
        </w:rPr>
      </w:pPr>
      <w:r w:rsidRPr="00D35911">
        <w:rPr>
          <w:rStyle w:val="FootnoteReference"/>
          <w:sz w:val="24"/>
          <w:szCs w:val="16"/>
          <w:lang w:val="hr-HR"/>
        </w:rPr>
        <w:footnoteRef/>
      </w:r>
      <w:r w:rsidR="00D35911" w:rsidRPr="00D35911">
        <w:rPr>
          <w:sz w:val="24"/>
          <w:lang w:val="hr-HR"/>
        </w:rPr>
        <w:t xml:space="preserve"> </w:t>
      </w:r>
      <w:r w:rsidR="00D35911" w:rsidRPr="00D35911">
        <w:rPr>
          <w:sz w:val="24"/>
          <w:lang w:val="hr-HR"/>
        </w:rPr>
        <w:tab/>
      </w:r>
      <w:r w:rsidRPr="00D35911">
        <w:rPr>
          <w:sz w:val="24"/>
          <w:lang w:val="hr-HR"/>
        </w:rPr>
        <w:t>Konferencija Ujedinjenih naroda o trgovini i razvoju , „</w:t>
      </w:r>
      <w:proofErr w:type="spellStart"/>
      <w:r w:rsidRPr="00D35911">
        <w:rPr>
          <w:sz w:val="24"/>
          <w:lang w:val="hr-HR"/>
        </w:rPr>
        <w:t>Indirect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taxation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of</w:t>
      </w:r>
      <w:proofErr w:type="spellEnd"/>
      <w:r w:rsidRPr="00D35911">
        <w:rPr>
          <w:sz w:val="24"/>
          <w:lang w:val="hr-HR"/>
        </w:rPr>
        <w:t xml:space="preserve"> e-</w:t>
      </w:r>
      <w:proofErr w:type="spellStart"/>
      <w:r w:rsidRPr="00D35911">
        <w:rPr>
          <w:sz w:val="24"/>
          <w:lang w:val="hr-HR"/>
        </w:rPr>
        <w:t>commerce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and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digital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trade</w:t>
      </w:r>
      <w:proofErr w:type="spellEnd"/>
      <w:r w:rsidRPr="00D35911">
        <w:rPr>
          <w:sz w:val="24"/>
          <w:lang w:val="hr-HR"/>
        </w:rPr>
        <w:t xml:space="preserve"> – </w:t>
      </w:r>
      <w:proofErr w:type="spellStart"/>
      <w:r w:rsidRPr="00D35911">
        <w:rPr>
          <w:sz w:val="24"/>
          <w:lang w:val="hr-HR"/>
        </w:rPr>
        <w:t>Implications</w:t>
      </w:r>
      <w:proofErr w:type="spellEnd"/>
      <w:r w:rsidRPr="00D35911">
        <w:rPr>
          <w:sz w:val="24"/>
          <w:lang w:val="hr-HR"/>
        </w:rPr>
        <w:t xml:space="preserve"> for </w:t>
      </w:r>
      <w:proofErr w:type="spellStart"/>
      <w:r w:rsidRPr="00D35911">
        <w:rPr>
          <w:sz w:val="24"/>
          <w:lang w:val="hr-HR"/>
        </w:rPr>
        <w:t>developing</w:t>
      </w:r>
      <w:proofErr w:type="spellEnd"/>
      <w:r w:rsidRPr="00D35911">
        <w:rPr>
          <w:sz w:val="24"/>
          <w:lang w:val="hr-HR"/>
        </w:rPr>
        <w:t xml:space="preserve"> </w:t>
      </w:r>
      <w:proofErr w:type="spellStart"/>
      <w:r w:rsidRPr="00D35911">
        <w:rPr>
          <w:sz w:val="24"/>
          <w:lang w:val="hr-HR"/>
        </w:rPr>
        <w:t>countries</w:t>
      </w:r>
      <w:proofErr w:type="spellEnd"/>
      <w:r w:rsidRPr="00D35911">
        <w:rPr>
          <w:sz w:val="24"/>
          <w:lang w:val="hr-HR"/>
        </w:rPr>
        <w:t xml:space="preserve">” (Neizravno oporezivanje e-trgovine i digitalne trgovine – posljedice za zemlje u razvoju), 2025.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6A86" w14:textId="77777777" w:rsidR="00064002" w:rsidRPr="00D359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3EE44" w14:textId="77777777" w:rsidR="00064002" w:rsidRPr="00D359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DA6E" w14:textId="77777777" w:rsidR="00064002" w:rsidRPr="00D359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12938981">
    <w:abstractNumId w:val="9"/>
  </w:num>
  <w:num w:numId="2" w16cid:durableId="399527482">
    <w:abstractNumId w:val="9"/>
  </w:num>
  <w:num w:numId="3" w16cid:durableId="696127675">
    <w:abstractNumId w:val="7"/>
  </w:num>
  <w:num w:numId="4" w16cid:durableId="310066772">
    <w:abstractNumId w:val="7"/>
  </w:num>
  <w:num w:numId="5" w16cid:durableId="605888172">
    <w:abstractNumId w:val="6"/>
  </w:num>
  <w:num w:numId="6" w16cid:durableId="146825348">
    <w:abstractNumId w:val="6"/>
  </w:num>
  <w:num w:numId="7" w16cid:durableId="1877817588">
    <w:abstractNumId w:val="5"/>
  </w:num>
  <w:num w:numId="8" w16cid:durableId="341052988">
    <w:abstractNumId w:val="5"/>
  </w:num>
  <w:num w:numId="9" w16cid:durableId="232590731">
    <w:abstractNumId w:val="4"/>
  </w:num>
  <w:num w:numId="10" w16cid:durableId="87626612">
    <w:abstractNumId w:val="4"/>
  </w:num>
  <w:num w:numId="11" w16cid:durableId="1670403731">
    <w:abstractNumId w:val="8"/>
  </w:num>
  <w:num w:numId="12" w16cid:durableId="1336226557">
    <w:abstractNumId w:val="8"/>
  </w:num>
  <w:num w:numId="13" w16cid:durableId="1689482757">
    <w:abstractNumId w:val="3"/>
  </w:num>
  <w:num w:numId="14" w16cid:durableId="146439138">
    <w:abstractNumId w:val="3"/>
  </w:num>
  <w:num w:numId="15" w16cid:durableId="397167086">
    <w:abstractNumId w:val="2"/>
  </w:num>
  <w:num w:numId="16" w16cid:durableId="628824421">
    <w:abstractNumId w:val="2"/>
  </w:num>
  <w:num w:numId="17" w16cid:durableId="886915767">
    <w:abstractNumId w:val="1"/>
  </w:num>
  <w:num w:numId="18" w16cid:durableId="2095125200">
    <w:abstractNumId w:val="1"/>
  </w:num>
  <w:num w:numId="19" w16cid:durableId="1210653986">
    <w:abstractNumId w:val="0"/>
  </w:num>
  <w:num w:numId="20" w16cid:durableId="700743542">
    <w:abstractNumId w:val="0"/>
  </w:num>
  <w:num w:numId="21" w16cid:durableId="343673721">
    <w:abstractNumId w:val="9"/>
  </w:num>
  <w:num w:numId="22" w16cid:durableId="1570723996">
    <w:abstractNumId w:val="7"/>
  </w:num>
  <w:num w:numId="23" w16cid:durableId="2103717353">
    <w:abstractNumId w:val="6"/>
  </w:num>
  <w:num w:numId="24" w16cid:durableId="1298684167">
    <w:abstractNumId w:val="5"/>
  </w:num>
  <w:num w:numId="25" w16cid:durableId="1469131936">
    <w:abstractNumId w:val="4"/>
  </w:num>
  <w:num w:numId="26" w16cid:durableId="1589002019">
    <w:abstractNumId w:val="8"/>
  </w:num>
  <w:num w:numId="27" w16cid:durableId="843594987">
    <w:abstractNumId w:val="3"/>
  </w:num>
  <w:num w:numId="28" w16cid:durableId="783117222">
    <w:abstractNumId w:val="2"/>
  </w:num>
  <w:num w:numId="29" w16cid:durableId="1013533423">
    <w:abstractNumId w:val="1"/>
  </w:num>
  <w:num w:numId="30" w16cid:durableId="322242677">
    <w:abstractNumId w:val="0"/>
  </w:num>
  <w:num w:numId="31" w16cid:durableId="1111247122">
    <w:abstractNumId w:val="9"/>
  </w:num>
  <w:num w:numId="32" w16cid:durableId="1585454559">
    <w:abstractNumId w:val="7"/>
  </w:num>
  <w:num w:numId="33" w16cid:durableId="892424249">
    <w:abstractNumId w:val="6"/>
  </w:num>
  <w:num w:numId="34" w16cid:durableId="628584809">
    <w:abstractNumId w:val="5"/>
  </w:num>
  <w:num w:numId="35" w16cid:durableId="2094735307">
    <w:abstractNumId w:val="4"/>
  </w:num>
  <w:num w:numId="36" w16cid:durableId="1622345616">
    <w:abstractNumId w:val="8"/>
  </w:num>
  <w:num w:numId="37" w16cid:durableId="1146900083">
    <w:abstractNumId w:val="3"/>
  </w:num>
  <w:num w:numId="38" w16cid:durableId="239369319">
    <w:abstractNumId w:val="2"/>
  </w:num>
  <w:num w:numId="39" w16cid:durableId="2145124976">
    <w:abstractNumId w:val="1"/>
  </w:num>
  <w:num w:numId="40" w16cid:durableId="689142921">
    <w:abstractNumId w:val="0"/>
  </w:num>
  <w:num w:numId="41" w16cid:durableId="409427405">
    <w:abstractNumId w:val="10"/>
  </w:num>
  <w:num w:numId="42" w16cid:durableId="870916853">
    <w:abstractNumId w:val="10"/>
  </w:num>
  <w:num w:numId="43" w16cid:durableId="223880511">
    <w:abstractNumId w:val="10"/>
  </w:num>
  <w:num w:numId="44" w16cid:durableId="8539613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5/2026"/>
    <w:docVar w:name="dvlangue" w:val="HR"/>
    <w:docVar w:name="dvnumam" w:val="0"/>
    <w:docVar w:name="dvpe" w:val="781.228"/>
    <w:docVar w:name="dvtitre" w:val="Rezolucija Europskog parlamenta od .... 2026. o multilateralnim pregovorima uoči 14. ministarske konferencije WTO-a u Yaoundéu od 26. do 29. ožujka 2026. (2025/2875(RSP))"/>
  </w:docVars>
  <w:rsids>
    <w:rsidRoot w:val="009532A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179"/>
    <w:rsid w:val="001F32AE"/>
    <w:rsid w:val="002767FF"/>
    <w:rsid w:val="002B18FE"/>
    <w:rsid w:val="002B5493"/>
    <w:rsid w:val="00343214"/>
    <w:rsid w:val="00361C00"/>
    <w:rsid w:val="0036441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4FD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2A7"/>
    <w:rsid w:val="00981893"/>
    <w:rsid w:val="00A1687D"/>
    <w:rsid w:val="00A4286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0E5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5911"/>
    <w:rsid w:val="00D56C11"/>
    <w:rsid w:val="00D834A0"/>
    <w:rsid w:val="00D872DF"/>
    <w:rsid w:val="00D91E21"/>
    <w:rsid w:val="00DA7FCD"/>
    <w:rsid w:val="00E365E1"/>
    <w:rsid w:val="00E410F1"/>
    <w:rsid w:val="00E820A4"/>
    <w:rsid w:val="00EB006A"/>
    <w:rsid w:val="00EB4772"/>
    <w:rsid w:val="00ED169E"/>
    <w:rsid w:val="00ED4235"/>
    <w:rsid w:val="00EF20F4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3625D4"/>
  <w15:chartTrackingRefBased/>
  <w15:docId w15:val="{CFF29A4D-33BF-4461-937D-B7646BCC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4_G,Footnote,text,Footnotes refss,Footnote number,Fago Fußnotenzeichen,Footnote Ref,16 Point,Superscript 6 Point,Fago Fu?notenzeichen,Fago Fuﬂnotenzeichen,ftref,a Footnote Reference,FZ,Appel note de bas de page,Ref FNs Char,[0],[,Ref"/>
    <w:link w:val="ENFootnote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B3179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1B3179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B3179"/>
    <w:rPr>
      <w:sz w:val="24"/>
      <w:lang w:val="hr-HR"/>
    </w:rPr>
  </w:style>
  <w:style w:type="paragraph" w:customStyle="1" w:styleId="ENFootnoteReference">
    <w:name w:val="EN Footnote Reference"/>
    <w:aliases w:val="-E Fußnotenzeichen,number,SUPERS,BVI fnr תו Char Char Char,BVI fnr Car Car תו Char Char Char,BVI fnr Car תו Char Char Char,BVI fn"/>
    <w:basedOn w:val="Normal"/>
    <w:link w:val="FootnoteReference"/>
    <w:rsid w:val="001B3179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Corps">
    <w:name w:val="Corps"/>
    <w:link w:val="CorpsChar"/>
    <w:rsid w:val="001B317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hr-HR"/>
      <w14:textOutline w14:w="0" w14:cap="flat" w14:cmpd="sng" w14:algn="ctr">
        <w14:noFill/>
        <w14:prstDash w14:val="solid"/>
        <w14:bevel/>
      </w14:textOutline>
    </w:rPr>
  </w:style>
  <w:style w:type="character" w:customStyle="1" w:styleId="CorpsChar">
    <w:name w:val="Corps Char"/>
    <w:basedOn w:val="DefaultParagraphFont"/>
    <w:link w:val="Corps"/>
    <w:rsid w:val="001B3179"/>
    <w:rPr>
      <w:rFonts w:eastAsia="Arial Unicode MS" w:cs="Arial Unicode MS"/>
      <w:color w:val="000000"/>
      <w:sz w:val="24"/>
      <w:szCs w:val="24"/>
      <w:u w:color="000000"/>
      <w:bdr w:val="nil"/>
      <w:lang w:val="hr-HR"/>
      <w14:textOutline w14:w="0" w14:cap="flat" w14:cmpd="sng" w14:algn="ctr">
        <w14:noFill/>
        <w14:prstDash w14:val="solid"/>
        <w14:bevel/>
      </w14:textOutline>
    </w:rPr>
  </w:style>
  <w:style w:type="character" w:styleId="FollowedHyperlink">
    <w:name w:val="FollowedHyperlink"/>
    <w:basedOn w:val="DefaultParagraphFont"/>
    <w:rsid w:val="003644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34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3318</Words>
  <Characters>20669</Characters>
  <Application>Microsoft Office Word</Application>
  <DocSecurity>0</DocSecurity>
  <Lines>172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2026-04-20T08:47:00Z</dcterms:created>
  <dcterms:modified xsi:type="dcterms:W3CDTF">2026-04-20T08:47:00Z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B10-0155/2026</vt:lpwstr>
  </property>
  <property fmtid="{D5CDD505-2E9C-101B-9397-08002B2CF9AE}" pid="4" name="&lt;Type&gt;">
    <vt:lpwstr>RR</vt:lpwstr>
  </property>
</Properties>
</file>