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6440" w14:paraId="30167F0C" w14:textId="77777777" w:rsidTr="0010095E">
        <w:trPr>
          <w:trHeight w:hRule="exact" w:val="1418"/>
        </w:trPr>
        <w:tc>
          <w:tcPr>
            <w:tcW w:w="6804" w:type="dxa"/>
            <w:shd w:val="clear" w:color="auto" w:fill="auto"/>
            <w:vAlign w:val="center"/>
          </w:tcPr>
          <w:p w14:paraId="7A977CD9" w14:textId="77777777" w:rsidR="00751A4A" w:rsidRPr="00276440" w:rsidRDefault="005373B5" w:rsidP="0010095E">
            <w:pPr>
              <w:pStyle w:val="EPName"/>
            </w:pPr>
            <w:r w:rsidRPr="00276440">
              <w:t>Parlamentul European</w:t>
            </w:r>
          </w:p>
          <w:p w14:paraId="209D96F5" w14:textId="77777777" w:rsidR="00751A4A" w:rsidRPr="00276440" w:rsidRDefault="005F1B17" w:rsidP="005F1B17">
            <w:pPr>
              <w:pStyle w:val="EPTerm"/>
              <w:rPr>
                <w:rStyle w:val="HideTWBExt"/>
                <w:noProof w:val="0"/>
                <w:vanish w:val="0"/>
                <w:color w:val="auto"/>
              </w:rPr>
            </w:pPr>
            <w:r w:rsidRPr="00276440">
              <w:t>2024</w:t>
            </w:r>
            <w:r w:rsidR="00817416" w:rsidRPr="00276440">
              <w:t>-202</w:t>
            </w:r>
            <w:r w:rsidRPr="00276440">
              <w:t>9</w:t>
            </w:r>
          </w:p>
        </w:tc>
        <w:tc>
          <w:tcPr>
            <w:tcW w:w="2268" w:type="dxa"/>
            <w:shd w:val="clear" w:color="auto" w:fill="auto"/>
          </w:tcPr>
          <w:p w14:paraId="58B4EDE0" w14:textId="77777777" w:rsidR="00751A4A" w:rsidRPr="00276440" w:rsidRDefault="00187494" w:rsidP="0010095E">
            <w:pPr>
              <w:pStyle w:val="EPLogo"/>
            </w:pPr>
            <w:r w:rsidRPr="00276440">
              <w:rPr>
                <w:noProof/>
                <w:lang w:eastAsia="ja-JP"/>
              </w:rPr>
              <w:drawing>
                <wp:inline distT="0" distB="0" distL="0" distR="0" wp14:anchorId="1BB42803" wp14:editId="696FAB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14AC93" w14:textId="77777777" w:rsidR="00D058B8" w:rsidRPr="00276440" w:rsidRDefault="00D058B8" w:rsidP="004C5D52">
      <w:pPr>
        <w:pStyle w:val="LineTop"/>
      </w:pPr>
    </w:p>
    <w:p w14:paraId="362D6C9A" w14:textId="77777777" w:rsidR="00680577" w:rsidRPr="00276440" w:rsidRDefault="005373B5" w:rsidP="00680577">
      <w:pPr>
        <w:pStyle w:val="EPBodyTA1"/>
      </w:pPr>
      <w:r w:rsidRPr="00276440">
        <w:t>TEXTE ADOPTATE</w:t>
      </w:r>
    </w:p>
    <w:p w14:paraId="07AC2AB0" w14:textId="77777777" w:rsidR="00D058B8" w:rsidRPr="00276440" w:rsidRDefault="00D058B8" w:rsidP="00D058B8">
      <w:pPr>
        <w:pStyle w:val="LineBottom"/>
      </w:pPr>
    </w:p>
    <w:p w14:paraId="72EE5423" w14:textId="4CEBF2CD" w:rsidR="005373B5" w:rsidRPr="00276440" w:rsidRDefault="005373B5" w:rsidP="005373B5">
      <w:pPr>
        <w:pStyle w:val="ATHeading1"/>
      </w:pPr>
      <w:bookmarkStart w:id="0" w:name="TANumber"/>
      <w:r w:rsidRPr="00276440">
        <w:t>P10_TA(2026)00</w:t>
      </w:r>
      <w:bookmarkEnd w:id="0"/>
      <w:r w:rsidR="00276440" w:rsidRPr="00276440">
        <w:t>86</w:t>
      </w:r>
    </w:p>
    <w:p w14:paraId="3C1EB761" w14:textId="6640AAA3" w:rsidR="005373B5" w:rsidRPr="00276440" w:rsidRDefault="007E5F11" w:rsidP="005373B5">
      <w:pPr>
        <w:pStyle w:val="ATHeading2"/>
      </w:pPr>
      <w:bookmarkStart w:id="1" w:name="title"/>
      <w:r w:rsidRPr="00276440">
        <w:t>Negocieri multilaterale în vederea celei de a 14-a Conferințe ministeriale a OMC de la Yaoundé, 26-29 martie 2026</w:t>
      </w:r>
      <w:bookmarkEnd w:id="1"/>
    </w:p>
    <w:p w14:paraId="016DD70A" w14:textId="77777777" w:rsidR="005373B5" w:rsidRPr="00276440" w:rsidRDefault="005373B5" w:rsidP="005373B5">
      <w:pPr>
        <w:rPr>
          <w:i/>
          <w:vanish/>
        </w:rPr>
      </w:pPr>
      <w:r w:rsidRPr="00276440">
        <w:rPr>
          <w:i/>
        </w:rPr>
        <w:fldChar w:fldCharType="begin"/>
      </w:r>
      <w:r w:rsidRPr="00276440">
        <w:rPr>
          <w:i/>
        </w:rPr>
        <w:instrText xml:space="preserve"> TC"(</w:instrText>
      </w:r>
      <w:bookmarkStart w:id="2" w:name="DocNumber"/>
      <w:r w:rsidRPr="00276440">
        <w:rPr>
          <w:i/>
        </w:rPr>
        <w:instrText>B10-0155/2026</w:instrText>
      </w:r>
      <w:bookmarkEnd w:id="2"/>
      <w:r w:rsidRPr="00276440">
        <w:rPr>
          <w:i/>
        </w:rPr>
        <w:instrText xml:space="preserve">)"\l3 \n&gt; \* MERGEFORMAT </w:instrText>
      </w:r>
      <w:r w:rsidRPr="00276440">
        <w:rPr>
          <w:i/>
        </w:rPr>
        <w:fldChar w:fldCharType="end"/>
      </w:r>
    </w:p>
    <w:p w14:paraId="6DDF4317" w14:textId="77777777" w:rsidR="005373B5" w:rsidRPr="00276440" w:rsidRDefault="005373B5" w:rsidP="005373B5">
      <w:pPr>
        <w:rPr>
          <w:vanish/>
        </w:rPr>
      </w:pPr>
      <w:bookmarkStart w:id="3" w:name="PE"/>
      <w:r w:rsidRPr="00276440">
        <w:rPr>
          <w:vanish/>
        </w:rPr>
        <w:t>PE781.228</w:t>
      </w:r>
      <w:bookmarkEnd w:id="3"/>
    </w:p>
    <w:p w14:paraId="291DCCDC" w14:textId="45C951AE" w:rsidR="005373B5" w:rsidRPr="00276440" w:rsidRDefault="005373B5" w:rsidP="005373B5">
      <w:pPr>
        <w:pStyle w:val="ATHeading3"/>
      </w:pPr>
      <w:bookmarkStart w:id="4" w:name="Sujet"/>
      <w:r w:rsidRPr="00276440">
        <w:t xml:space="preserve">Rezoluția Parlamentului European din </w:t>
      </w:r>
      <w:r w:rsidR="00A74482" w:rsidRPr="00276440">
        <w:t>1</w:t>
      </w:r>
      <w:r w:rsidR="007E5F11" w:rsidRPr="00276440">
        <w:t>2</w:t>
      </w:r>
      <w:r w:rsidRPr="00276440">
        <w:t xml:space="preserve"> martie 2026 referitoare la negocierile multilaterale în vederea celei de a 14-a Conferințe ministeriale a OMC de la Yaoundé, 26-29 martie 2026</w:t>
      </w:r>
      <w:bookmarkEnd w:id="4"/>
      <w:r w:rsidRPr="00276440">
        <w:t xml:space="preserve"> </w:t>
      </w:r>
      <w:bookmarkStart w:id="5" w:name="References"/>
      <w:r w:rsidRPr="00276440">
        <w:t>(2025/2875(RSP))</w:t>
      </w:r>
      <w:bookmarkEnd w:id="5"/>
    </w:p>
    <w:p w14:paraId="7748CA8B" w14:textId="77777777" w:rsidR="005373B5" w:rsidRPr="00276440" w:rsidRDefault="005373B5" w:rsidP="005373B5"/>
    <w:p w14:paraId="4C9708FD" w14:textId="77777777" w:rsidR="007B1268" w:rsidRPr="00276440" w:rsidRDefault="007B1268" w:rsidP="007B1268">
      <w:pPr>
        <w:pStyle w:val="Corps"/>
        <w:rPr>
          <w:rFonts w:eastAsia="Times New Roman"/>
          <w:i/>
          <w:iCs/>
          <w:bdr w:val="none" w:sz="0" w:space="0" w:color="auto"/>
        </w:rPr>
      </w:pPr>
      <w:bookmarkStart w:id="6" w:name="TextBodyBegin"/>
      <w:bookmarkEnd w:id="6"/>
      <w:r w:rsidRPr="00276440">
        <w:rPr>
          <w:i/>
          <w:bdr w:val="none" w:sz="0" w:space="0" w:color="auto"/>
        </w:rPr>
        <w:t>Parlamentul European,</w:t>
      </w:r>
    </w:p>
    <w:p w14:paraId="5940BCE8" w14:textId="77777777" w:rsidR="007B1268" w:rsidRPr="00276440" w:rsidRDefault="007B1268" w:rsidP="007B1268">
      <w:pPr>
        <w:pStyle w:val="NormalHanging12a"/>
        <w:ind w:left="0" w:firstLine="0"/>
        <w:rPr>
          <w:rFonts w:eastAsia="Aptos"/>
          <w:lang w:eastAsia="en-US"/>
        </w:rPr>
      </w:pPr>
    </w:p>
    <w:p w14:paraId="239BF8CF" w14:textId="77777777" w:rsidR="007B1268" w:rsidRPr="00276440" w:rsidRDefault="007B1268" w:rsidP="007B1268">
      <w:pPr>
        <w:pStyle w:val="NormalHanging12a"/>
      </w:pPr>
      <w:r w:rsidRPr="00276440">
        <w:t>–</w:t>
      </w:r>
      <w:r w:rsidRPr="00276440">
        <w:tab/>
        <w:t>având în vedere Acordul de la Marrakech din 15 aprilie 1994 privind constituirea Organizației Mondiale a Comerțului (OMC),</w:t>
      </w:r>
    </w:p>
    <w:p w14:paraId="31A4DF96" w14:textId="77777777" w:rsidR="007B1268" w:rsidRPr="00276440" w:rsidRDefault="007B1268" w:rsidP="007B1268">
      <w:pPr>
        <w:pStyle w:val="NormalHanging12a"/>
      </w:pPr>
      <w:r w:rsidRPr="00276440">
        <w:t>–</w:t>
      </w:r>
      <w:r w:rsidRPr="00276440">
        <w:tab/>
        <w:t>având în vedere declarația ministerială adoptată la 14 noiembrie 2001 în cadrul Conferinței ministeriale a OMC de la Doha,</w:t>
      </w:r>
    </w:p>
    <w:p w14:paraId="1D2254C9" w14:textId="77777777" w:rsidR="007B1268" w:rsidRPr="00276440" w:rsidRDefault="007B1268" w:rsidP="007B1268">
      <w:pPr>
        <w:pStyle w:val="NormalHanging12a"/>
      </w:pPr>
      <w:r w:rsidRPr="00276440">
        <w:t>–</w:t>
      </w:r>
      <w:r w:rsidRPr="00276440">
        <w:tab/>
        <w:t>având în vedere rezoluțiile sale anterioare referitoare la OMC, în special rezoluția sa din 8 februarie 2024 referitoare la negocierile multilaterale în vederea celei de a 13-a Conferințe ministeriale a OMC de la Abu Dhabi</w:t>
      </w:r>
      <w:r w:rsidRPr="00276440">
        <w:rPr>
          <w:vertAlign w:val="superscript"/>
        </w:rPr>
        <w:footnoteReference w:id="1"/>
      </w:r>
      <w:r w:rsidRPr="00276440">
        <w:t>, rezoluția sa din 25 noiembrie 2021 referitoare la negocierile multilaterale în vederea celei de a 12-a Conferințe ministeriale a OMC de la Geneva</w:t>
      </w:r>
      <w:r w:rsidRPr="00276440">
        <w:rPr>
          <w:vertAlign w:val="superscript"/>
        </w:rPr>
        <w:footnoteReference w:id="2"/>
      </w:r>
      <w:r w:rsidRPr="00276440">
        <w:t>, rezoluția sa din 29 noiembrie 2018 intitulată „OMC: calea de urmat”</w:t>
      </w:r>
      <w:r w:rsidRPr="00276440">
        <w:rPr>
          <w:vertAlign w:val="superscript"/>
        </w:rPr>
        <w:footnoteReference w:id="3"/>
      </w:r>
      <w:r w:rsidRPr="00276440">
        <w:t xml:space="preserve"> și rezoluția sa din 28 noiembrie 2019 referitoare la criza organului de apel al OMC</w:t>
      </w:r>
      <w:r w:rsidRPr="00276440">
        <w:rPr>
          <w:vertAlign w:val="superscript"/>
        </w:rPr>
        <w:footnoteReference w:id="4"/>
      </w:r>
      <w:r w:rsidRPr="00276440">
        <w:t>,</w:t>
      </w:r>
    </w:p>
    <w:p w14:paraId="491B6DF3" w14:textId="77777777" w:rsidR="007B1268" w:rsidRPr="00276440" w:rsidRDefault="007B1268" w:rsidP="007B1268">
      <w:pPr>
        <w:pStyle w:val="NormalHanging12a"/>
      </w:pPr>
      <w:r w:rsidRPr="00276440">
        <w:t>–</w:t>
      </w:r>
      <w:r w:rsidRPr="00276440">
        <w:tab/>
        <w:t>având în vedere documentele finale adoptate prin consens la sesiunile anuale ale Conferinței parlamentare privind OMC de la Abu Dhabi (25 februarie 2024), Geneva (7 decembrie 2018) și Buenos Aires (10 decembrie 2017),</w:t>
      </w:r>
    </w:p>
    <w:p w14:paraId="3C55CF55" w14:textId="77777777" w:rsidR="007B1268" w:rsidRPr="00276440" w:rsidRDefault="007B1268" w:rsidP="007B1268">
      <w:pPr>
        <w:pStyle w:val="NormalHanging12a"/>
      </w:pPr>
      <w:r w:rsidRPr="00276440">
        <w:t>–</w:t>
      </w:r>
      <w:r w:rsidRPr="00276440">
        <w:tab/>
        <w:t xml:space="preserve">având în vedere rezultatele celei de a 13-a Conferințe ministeriale a OMC (CM13), organizată la Abu Dhabi în februarie 2024, care a condus la adoptarea Declarației ministeriale de la Abu Dhabi, corelând schimburile comerciale și Agenda 2030 a ONU, și la aderarea Comorelor și a Timorului de Est la OMC, dar nu și la încheierea unor acorduri în domenii-cheie, cum ar fi subvențiile pentru pescuit, agricultura și reforma </w:t>
      </w:r>
      <w:r w:rsidRPr="00276440">
        <w:lastRenderedPageBreak/>
        <w:t>soluționării litigiilor,</w:t>
      </w:r>
    </w:p>
    <w:p w14:paraId="42FFB15E" w14:textId="77777777" w:rsidR="007B1268" w:rsidRPr="00276440" w:rsidRDefault="007B1268" w:rsidP="007B1268">
      <w:pPr>
        <w:pStyle w:val="NormalHanging12a"/>
      </w:pPr>
      <w:r w:rsidRPr="00276440">
        <w:t>–</w:t>
      </w:r>
      <w:r w:rsidRPr="00276440">
        <w:tab/>
        <w:t>având în vedere intrarea în vigoare, la 15 septembrie 2025, a Acordului OMC privind subvențiile pentru pescuit, prin care membrii se angajează să reducă cheltuielile anuale în valoare de miliarde de dolari consacrate celor mai dăunătoare subvenții care contribuie la epuizarea stocurilor marine de pește,</w:t>
      </w:r>
    </w:p>
    <w:p w14:paraId="6644338B" w14:textId="77777777" w:rsidR="007B1268" w:rsidRPr="00276440" w:rsidRDefault="007B1268" w:rsidP="007B1268">
      <w:pPr>
        <w:pStyle w:val="NormalHanging12a"/>
      </w:pPr>
      <w:r w:rsidRPr="00276440">
        <w:t>–</w:t>
      </w:r>
      <w:r w:rsidRPr="00276440">
        <w:tab/>
        <w:t>având în vedere obiectivele ONU de dezvoltare durabilă (ODD),</w:t>
      </w:r>
    </w:p>
    <w:p w14:paraId="617A57E0" w14:textId="77777777" w:rsidR="007B1268" w:rsidRPr="00276440" w:rsidRDefault="007B1268" w:rsidP="007B1268">
      <w:pPr>
        <w:pStyle w:val="NormalHanging12a"/>
      </w:pPr>
      <w:r w:rsidRPr="00276440">
        <w:t>–</w:t>
      </w:r>
      <w:r w:rsidRPr="00276440">
        <w:tab/>
        <w:t>având în vedere Acordul de la Paris al părților la Convenția-cadru a Națiunilor Unite asupra schimbărilor climatice, care a intrat în vigoare în noiembrie 2016,</w:t>
      </w:r>
    </w:p>
    <w:p w14:paraId="2D8A1A4C" w14:textId="77777777" w:rsidR="007B1268" w:rsidRPr="00276440" w:rsidRDefault="007B1268" w:rsidP="007B1268">
      <w:pPr>
        <w:pStyle w:val="NormalHanging12a"/>
      </w:pPr>
      <w:r w:rsidRPr="00276440">
        <w:t>–</w:t>
      </w:r>
      <w:r w:rsidRPr="00276440">
        <w:tab/>
        <w:t>având în vedere comunicarea Comisiei din 18 februarie 2021 intitulată „Revizuirea politicii comerciale – O politică comercială deschisă, durabilă și fermă” și anexa la aceasta, intitulată „Reformarea OMC: către un sistem comercial multilateral durabil și eficient” (COM(2021)0066),</w:t>
      </w:r>
    </w:p>
    <w:p w14:paraId="261F9AFF" w14:textId="77777777" w:rsidR="007B1268" w:rsidRPr="00276440" w:rsidRDefault="007B1268" w:rsidP="007B1268">
      <w:pPr>
        <w:pStyle w:val="NormalHanging12a"/>
      </w:pPr>
      <w:r w:rsidRPr="00276440">
        <w:t>–</w:t>
      </w:r>
      <w:r w:rsidRPr="00276440">
        <w:tab/>
        <w:t>având în vedere articolul 136 alineatul (2) din Regulamentul său de procedură,</w:t>
      </w:r>
    </w:p>
    <w:p w14:paraId="2589E3C2" w14:textId="77777777" w:rsidR="007B1268" w:rsidRPr="00276440" w:rsidRDefault="007B1268" w:rsidP="007B1268">
      <w:pPr>
        <w:pStyle w:val="NormalHanging12a"/>
      </w:pPr>
      <w:r w:rsidRPr="00276440">
        <w:t>–</w:t>
      </w:r>
      <w:r w:rsidRPr="00276440">
        <w:tab/>
        <w:t>având în vedere propunerea de rezoluție a Comisiei pentru comerț internațional,</w:t>
      </w:r>
    </w:p>
    <w:p w14:paraId="35F34904" w14:textId="77777777" w:rsidR="007B1268" w:rsidRPr="00276440" w:rsidRDefault="007B1268" w:rsidP="007B1268">
      <w:pPr>
        <w:pStyle w:val="NormalHanging12a"/>
      </w:pPr>
      <w:r w:rsidRPr="00276440">
        <w:t>A.</w:t>
      </w:r>
      <w:r w:rsidRPr="00276440">
        <w:tab/>
        <w:t>întrucât OMC a luat ființă pentru a continua liberalizarea comerțului cu bunuri și servicii, a consolida multilateralismul și a promova un sistem comercial multilateral echitabil, deschis, incluziv, bazat pe norme și nediscriminatoriu, astfel încât să faciliteze schimbul de bunuri și servicii, să ofere perspective de angajare, dezvoltare și prosperitate și să asigure o mai bună calitate a vieții pentru oamenii din întreaga lume; întrucât obiectivul general al politicii comerciale a UE este de a contribui la dezvoltarea armonioasă a comerțului mondial, la eliminarea treptată a restricțiilor impuse comerțului internațional și investițiilor străine directe și la reducerea barierelor vamale și de altă natură; întrucât mandatul principal al OMC este de a asigura accesul pe piață, previzibilitatea și securitatea juridică în comerțul internațional și nu ar trebui să evolueze către un forum politic general dincolo de funcțiile sale comerciale de bază; întrucât comerțul este esențial și reprezintă un instrument-cheie pentru a sprijini și completa eforturile de promovare a creșterii sustenabile și de îmbunătățire a nivelului de trai, asigurând ocuparea masivă și superioară calitativ a forței de muncă și garantând un volum mare și în continuă creștere de venituri reale, în conformitate cu obiectivul dezvoltării durabile;</w:t>
      </w:r>
    </w:p>
    <w:p w14:paraId="5144F97E" w14:textId="77777777" w:rsidR="007B1268" w:rsidRPr="00276440" w:rsidRDefault="007B1268" w:rsidP="007B1268">
      <w:pPr>
        <w:pStyle w:val="NormalHanging12a"/>
      </w:pPr>
      <w:r w:rsidRPr="00276440">
        <w:t>B.</w:t>
      </w:r>
      <w:r w:rsidRPr="00276440">
        <w:tab/>
        <w:t>întrucât sistemul comercial multilateral se confruntă cu provocări politice și instituționale grave; întrucât provocările respective decurg nu doar din deficiențe instituționale, ci și din proliferarea măsurilor unilaterale și protecționiste, inclusiv a restricțiilor la export, a subvențiilor discriminatorii și a practicilor comerciale neloiale, care subminează încrederea, fragmentează lanțurile valorice globale și afectează economia și prosperitatea mondială; întrucât tulburările actuale din comerțul mondial conduc la incertitudini și costuri economice enorme în întreaga lume, demonstrând fără echivoc că existența unor norme previzibile, stabile și echitabile este vitală pentru dezvoltarea comerțului;</w:t>
      </w:r>
    </w:p>
    <w:p w14:paraId="5E2424D9" w14:textId="77777777" w:rsidR="007B1268" w:rsidRPr="00276440" w:rsidRDefault="007B1268" w:rsidP="007B1268">
      <w:pPr>
        <w:pStyle w:val="NormalHanging12a"/>
        <w:rPr>
          <w:bCs/>
          <w:iCs/>
        </w:rPr>
      </w:pPr>
      <w:r w:rsidRPr="00276440">
        <w:t>C.</w:t>
      </w:r>
      <w:r w:rsidRPr="00276440">
        <w:tab/>
        <w:t xml:space="preserve">întrucât sistemul comercial multilateral este în continuare cât se poate de viu și activ, iar 72 % din comerțul mondial încă se desfășoară azi în temeiul normelor referitoare la statutul de națiune cea mai favorizată; întrucât acest lucru demonstrează că OMC </w:t>
      </w:r>
      <w:r w:rsidRPr="00276440">
        <w:lastRenderedPageBreak/>
        <w:t>continuă să ofere un cadru vital de previzibilitate și stabilitate pentru comerțul mondial și că protejarea principiilor și a disciplinelor sale fundamentale este în continuare esențială;</w:t>
      </w:r>
    </w:p>
    <w:p w14:paraId="2BA67D03" w14:textId="77777777" w:rsidR="007B1268" w:rsidRPr="00276440" w:rsidRDefault="007B1268" w:rsidP="007B1268">
      <w:pPr>
        <w:pStyle w:val="NormalHanging12a"/>
      </w:pPr>
      <w:r w:rsidRPr="00276440">
        <w:t>D.</w:t>
      </w:r>
      <w:r w:rsidRPr="00276440">
        <w:tab/>
        <w:t>întrucât cooperarea și colaborarea cu țările în curs de dezvoltare sunt vitale pentru menținerea ordinii multilaterale bazate pe norme; întrucât o astfel de cooperare ar trebui să se bazeze pe respect reciproc și pe un angajament real de promovare a cooperării internaționale;</w:t>
      </w:r>
    </w:p>
    <w:p w14:paraId="2D16B050" w14:textId="77777777" w:rsidR="007B1268" w:rsidRPr="00276440" w:rsidRDefault="007B1268" w:rsidP="007B1268">
      <w:pPr>
        <w:pStyle w:val="NormalHanging12a"/>
      </w:pPr>
      <w:r w:rsidRPr="00276440">
        <w:t>E.</w:t>
      </w:r>
      <w:r w:rsidRPr="00276440">
        <w:tab/>
        <w:t xml:space="preserve">întrucât peisajul comercial mondial a suferit schimbări în ultimii 30 de ani, având în vedere, între altele, progresul economic al principalelor țări din G20 și modificările aduse ponderii lor relative în comerțul mondial, precum și componența mai numeroasă și diversă a OMC; întrucât OMC s-a raportat cu greu la noua realitate economică și comercială și, prin urmare, nu a fost în măsură să prezinte o agendă ambițioasă, din cauza numărului mare de membri și de interese diferite; întrucât sistemul comercial mondial este supus unor presiuni majore exercitate de protecționismul în creștere al politicilor comerciale ale SUA și de politicile și practicile care nu se bazează pe piață ale Chinei, care conduc la </w:t>
      </w:r>
      <w:proofErr w:type="spellStart"/>
      <w:r w:rsidRPr="00276440">
        <w:t>supracapacitate</w:t>
      </w:r>
      <w:proofErr w:type="spellEnd"/>
      <w:r w:rsidRPr="00276440">
        <w:t xml:space="preserve"> și denaturări ale pieței în sistem;</w:t>
      </w:r>
    </w:p>
    <w:p w14:paraId="5A76A6D5" w14:textId="77777777" w:rsidR="007B1268" w:rsidRPr="00276440" w:rsidRDefault="007B1268" w:rsidP="007B1268">
      <w:pPr>
        <w:pStyle w:val="NormalHanging12a"/>
        <w:rPr>
          <w:bCs/>
          <w:iCs/>
        </w:rPr>
      </w:pPr>
      <w:r w:rsidRPr="00276440">
        <w:t>F.</w:t>
      </w:r>
      <w:r w:rsidRPr="00276440">
        <w:tab/>
        <w:t>întrucât OMC este o organizație multilaterală unică, în sensul că fiecare din membrii săi participă pe picior de egalitate, iar ea creează și reglementează norme comerciale obligatorii între membrii săi și este susținută de un sistem de soluționare a litigiilor obligatoriu din punct de vedere juridic; întrucât un sistem comercial multilateral funcțional și bazat pe norme este esențial pentru a proteja competitivitatea economiei europene, a consolida reziliența lanțului de aprovizionare și a sprijini reziliența strategică a UE în general;</w:t>
      </w:r>
    </w:p>
    <w:p w14:paraId="14EB14F2" w14:textId="77777777" w:rsidR="007B1268" w:rsidRPr="00276440" w:rsidRDefault="007B1268" w:rsidP="007B1268">
      <w:pPr>
        <w:pStyle w:val="NormalHanging12a"/>
      </w:pPr>
      <w:r w:rsidRPr="00276440">
        <w:t>G.</w:t>
      </w:r>
      <w:r w:rsidRPr="00276440">
        <w:tab/>
        <w:t>întrucât normele actuale ale OMC privind subvențiile nu au fost adaptate la circumstanțele în schimbare din comerțul mondial; întrucât aceste norme învechite nu au fost în măsură să limiteze intervențiile statale cu efect de denaturare; întrucât concurența loială și limitarea efectelor de propagare ale politicilor industriale constituie condiții prealabile esențiale pentru îndeplinirea obiectivelor de industrializare în cazul țărilor în curs de dezvoltare;</w:t>
      </w:r>
    </w:p>
    <w:p w14:paraId="198F3A0B" w14:textId="77777777" w:rsidR="007B1268" w:rsidRPr="00276440" w:rsidRDefault="007B1268" w:rsidP="007B1268">
      <w:pPr>
        <w:pStyle w:val="NormalHanging12a"/>
      </w:pPr>
      <w:r w:rsidRPr="00276440">
        <w:t>H.</w:t>
      </w:r>
      <w:r w:rsidRPr="00276440">
        <w:tab/>
        <w:t>întrucât OMC trebuie să se adapteze la aceste noi realități și să se modernizeze, astfel încât să fie pregătită pentru secolul al XXI-lea și pentru a aborda noi provocări legate de tranziția verde și cea digitală;</w:t>
      </w:r>
    </w:p>
    <w:p w14:paraId="26B27F54" w14:textId="77777777" w:rsidR="007B1268" w:rsidRPr="00276440" w:rsidRDefault="007B1268" w:rsidP="007B1268">
      <w:pPr>
        <w:pStyle w:val="NormalHanging12a"/>
        <w:rPr>
          <w:bCs/>
          <w:iCs/>
        </w:rPr>
      </w:pPr>
      <w:r w:rsidRPr="00276440">
        <w:t>I.</w:t>
      </w:r>
      <w:r w:rsidRPr="00276440">
        <w:tab/>
        <w:t>întrucât un raport al Organizației Națiunilor Unite privind comerțul și dezvoltarea din 2025</w:t>
      </w:r>
      <w:r w:rsidRPr="00276440">
        <w:rPr>
          <w:bCs/>
          <w:iCs/>
          <w:vertAlign w:val="superscript"/>
        </w:rPr>
        <w:footnoteReference w:id="5"/>
      </w:r>
      <w:r w:rsidRPr="00276440">
        <w:t xml:space="preserve"> a demonstrat că, contrar argumentelor oponenților moratoriului privind comerțul electronic, venitul din impozitarea digitală ar fi limitat și amenință să submineze competitivitatea și comerțul;</w:t>
      </w:r>
    </w:p>
    <w:p w14:paraId="28CB905C" w14:textId="77777777" w:rsidR="007B1268" w:rsidRPr="00276440" w:rsidRDefault="007B1268" w:rsidP="007B1268">
      <w:pPr>
        <w:pStyle w:val="NormalHanging12a"/>
      </w:pPr>
      <w:r w:rsidRPr="00276440">
        <w:t>J.</w:t>
      </w:r>
      <w:r w:rsidRPr="00276440">
        <w:tab/>
        <w:t xml:space="preserve">întrucât Acordul OMC privind subvențiile pentru pescuit, convenit la cea de a 12-a Conferință ministerială și intrat în vigoare în septembrie 2025, este primul acord comercial multilateral axat pe sustenabilitatea mediului și instituie un set obligatoriu de </w:t>
      </w:r>
      <w:r w:rsidRPr="00276440">
        <w:lastRenderedPageBreak/>
        <w:t>norme globale pentru a contribui la a reduce cu aproximativ 22 de miliarde USD pe an subvențiile dăunătoare acordate de guverne sectorului pescuitului, astfel cum se prevede în ODD 14.6;</w:t>
      </w:r>
    </w:p>
    <w:p w14:paraId="246DE0E8" w14:textId="77777777" w:rsidR="007B1268" w:rsidRPr="00276440" w:rsidRDefault="007B1268" w:rsidP="007B1268">
      <w:pPr>
        <w:pStyle w:val="NormalHanging12a"/>
      </w:pPr>
      <w:r w:rsidRPr="00276440">
        <w:t>K.</w:t>
      </w:r>
      <w:r w:rsidRPr="00276440">
        <w:tab/>
        <w:t>întrucât securitatea alimentară constituie în continuare o provocare, dat fiind că, potrivit clasificărilor din 2022, 258 de milioane de persoane se confruntau cu situații de criză sau faze mai grave ale insecurității alimentare acute, comparativ cu 193 de milioane în 2021; întrucât Acordul OMC privind agricultura din cadrul Rundei Uruguay recunoaște explicit că este important ca negocierile în curs să țină seama de securitatea alimentară; întrucât comerțul are potențialul de a crește disponibilitatea alimentelor în regiunile în care este limitată și poate contribui, în plus, la îmbunătățirea accesului economic la alimente prin crearea de perspective de angajare și prin creșterea veniturilor;</w:t>
      </w:r>
    </w:p>
    <w:p w14:paraId="2659E2B3" w14:textId="77777777" w:rsidR="007B1268" w:rsidRPr="00276440" w:rsidRDefault="007B1268" w:rsidP="007B1268">
      <w:pPr>
        <w:pStyle w:val="NormalHanging12a"/>
      </w:pPr>
      <w:r w:rsidRPr="00276440">
        <w:t>L.</w:t>
      </w:r>
      <w:r w:rsidRPr="00276440">
        <w:tab/>
        <w:t>întrucât, la 11 decembrie 2019, organul de apel al OMC și-a încetat activitatea, paralizând procesul de apel funcțional, independent și imparțial din soluționarea litigiilor; întrucât discuțiile conduse de facilitatori cu privire la reforma soluționării litigiilor începând cu CM13 nu au condus încă la un rezultat satisfăcător;</w:t>
      </w:r>
    </w:p>
    <w:p w14:paraId="615AAC44" w14:textId="77777777" w:rsidR="007B1268" w:rsidRPr="00276440" w:rsidRDefault="007B1268" w:rsidP="007B1268">
      <w:pPr>
        <w:pStyle w:val="NormalHanging12a"/>
      </w:pPr>
      <w:r w:rsidRPr="00276440">
        <w:t>M.</w:t>
      </w:r>
      <w:r w:rsidRPr="00276440">
        <w:tab/>
        <w:t>întrucât Parlamentul European, împreună cu Uniunea Interparlamentară, joacă de peste 20 de ani un rol esențial în stabilirea unei dimensiuni parlamentare a OMC prin Conferința parlamentară privind OMC;</w:t>
      </w:r>
    </w:p>
    <w:p w14:paraId="6E8F923A" w14:textId="77777777" w:rsidR="007B1268" w:rsidRPr="00276440" w:rsidRDefault="007B1268" w:rsidP="007B1268">
      <w:pPr>
        <w:pStyle w:val="NormalHanging12a"/>
      </w:pPr>
      <w:r w:rsidRPr="00276440">
        <w:t>N.</w:t>
      </w:r>
      <w:r w:rsidRPr="00276440">
        <w:tab/>
        <w:t>întrucât, în cursul Forumului public al OMC, desfășurat în perioada 17-18 septembrie 2025, participanții au sprijinit activ implicarea consolidată și structurată a sectorului privat, recunoscându-i rolul esențial în susținerea unui sistem comercial multilateral deschis, previzibil și incluziv;</w:t>
      </w:r>
    </w:p>
    <w:p w14:paraId="14E9BFFF" w14:textId="77777777" w:rsidR="007B1268" w:rsidRPr="00276440" w:rsidRDefault="007B1268" w:rsidP="007B1268">
      <w:pPr>
        <w:pStyle w:val="NormalHanging12a"/>
      </w:pPr>
      <w:r w:rsidRPr="00276440">
        <w:t>O.</w:t>
      </w:r>
      <w:r w:rsidRPr="00276440">
        <w:tab/>
        <w:t>întrucât cea de a 14-a Conferință ministerială a OMC (CM14) va avea loc la Yaoundé, în Camerun, în perioada 26-29 martie 2026,</w:t>
      </w:r>
    </w:p>
    <w:p w14:paraId="6677561A" w14:textId="77777777" w:rsidR="007B1268" w:rsidRPr="00276440" w:rsidRDefault="007B1268" w:rsidP="007B1268">
      <w:pPr>
        <w:pStyle w:val="NormalHanging12a"/>
      </w:pPr>
      <w:r w:rsidRPr="00276440">
        <w:t>1.</w:t>
      </w:r>
      <w:r w:rsidRPr="00276440">
        <w:tab/>
        <w:t>își reiterează angajamentul deplin față de valoarea durabilă a multilateralismului și subliniază că un sistem multilateral modernizat este esențial pentru reglementarea comerțului; solicită adoptarea unei agende comerciale bazate pe un comerț deschis, echitabil și întemeiat pe norme, în beneficiul tuturor, care să contribuie la o dezvoltare economică durabilă, consolidând astfel pacea și securitatea; subliniază că OMC ar trebui să promoveze respectarea drepturilor sociale și de mediu, inclusiv a ODD, și să garanteze că normele armonizate și convenite la nivel multilateral sunt aplicate uniform de către toți;</w:t>
      </w:r>
    </w:p>
    <w:p w14:paraId="0B2F13B1" w14:textId="77777777" w:rsidR="007B1268" w:rsidRPr="00276440" w:rsidRDefault="007B1268" w:rsidP="007B1268">
      <w:pPr>
        <w:pStyle w:val="NormalHanging12a"/>
      </w:pPr>
      <w:r w:rsidRPr="00276440">
        <w:t>2.</w:t>
      </w:r>
      <w:r w:rsidRPr="00276440">
        <w:tab/>
        <w:t>îndeamnă toți membrii OMC să se angajeze în favoarea unor rezultate pozitive la CM14, având în vedere amenințarea existențială cu care se confruntă sistemul comercial multilateral; consideră că CM14 ar trebui să fie punctul de plecare pentru dezvoltarea și modernizarea OMC, pentru a garanta că poate juca un rol în a aborda provocările secolului al XXI-lea; invită OMC să înceapă să organizeze anual conferința ministerială, înlocuind actualul ciclu bienal, pentru a consolida orientarea politică, responsabilitatea și capacitatea OMC de a răspunde în timp util la provocările comerciale globale;</w:t>
      </w:r>
    </w:p>
    <w:p w14:paraId="28132486" w14:textId="77777777" w:rsidR="007B1268" w:rsidRPr="00276440" w:rsidRDefault="007B1268" w:rsidP="007B1268">
      <w:pPr>
        <w:pStyle w:val="NormalHanging12a"/>
        <w:rPr>
          <w:bCs/>
          <w:i/>
          <w:iCs/>
        </w:rPr>
      </w:pPr>
      <w:r w:rsidRPr="00276440">
        <w:rPr>
          <w:b/>
          <w:i/>
        </w:rPr>
        <w:t>Modernizarea OMC</w:t>
      </w:r>
    </w:p>
    <w:p w14:paraId="016CFD81" w14:textId="77777777" w:rsidR="007B1268" w:rsidRPr="00276440" w:rsidRDefault="007B1268" w:rsidP="007B1268">
      <w:pPr>
        <w:pStyle w:val="NormalHanging12a"/>
      </w:pPr>
      <w:r w:rsidRPr="00276440">
        <w:t>3.</w:t>
      </w:r>
      <w:r w:rsidRPr="00276440">
        <w:tab/>
        <w:t xml:space="preserve">îndeamnă membrii OMC să adopte un pachet cuprinzător de revizuire a funcțiilor OMC </w:t>
      </w:r>
      <w:r w:rsidRPr="00276440">
        <w:lastRenderedPageBreak/>
        <w:t>de monitorizare, negociere, deliberare și soluționare a litigiilor; sprijină pe deplin procesul de modernizare al OMC condus de un facilitator și programul aferent prevăzut pentru CM14 referitor la o modernizare cuprinzătoare și este de acord cu cele trei direcții propuse de facilitator, și anume guvernanța, echitatea (condiții de concurență echitabile și un comerț echilibrat) și „problemele vremurilor noastre”; solicită aprobarea unei foi de parcurs clare pentru reformă în cursul CM14, pentru a garanta că se va putea ajunge la un consens privind modernizarea la cea de a 15-a Conferință ministerială;</w:t>
      </w:r>
    </w:p>
    <w:p w14:paraId="4D45E2A7" w14:textId="77777777" w:rsidR="007B1268" w:rsidRPr="00276440" w:rsidRDefault="007B1268" w:rsidP="007B1268">
      <w:pPr>
        <w:pStyle w:val="NormalHanging12a"/>
      </w:pPr>
      <w:r w:rsidRPr="00276440">
        <w:t>4.</w:t>
      </w:r>
      <w:r w:rsidRPr="00276440">
        <w:tab/>
        <w:t>subliniază că previzibilitatea rămâne piatra de temelie a sistemului comercial multilateral și că normele-cheie ale OMC, inclusiv cele privind evaluarea în vamă, măsurile sanitare și fitosanitare, barierele tehnice în calea comerțului, facilitarea comerțului și drepturile de proprietate intelectuală, continuă să ofere o certitudine juridică esențială pentru guvernele și întreprinderile din întreaga lume;</w:t>
      </w:r>
    </w:p>
    <w:p w14:paraId="0D1501A1" w14:textId="77777777" w:rsidR="007B1268" w:rsidRPr="00276440" w:rsidRDefault="007B1268" w:rsidP="007B1268">
      <w:pPr>
        <w:pStyle w:val="NormalHanging12a"/>
      </w:pPr>
      <w:r w:rsidRPr="00276440">
        <w:t>5.</w:t>
      </w:r>
      <w:r w:rsidRPr="00276440">
        <w:tab/>
        <w:t>consideră că practica de a echivala consensul cu unanimitatea în procesul decizional în rândul celor 166 de membri ai OMC a contribuit la paralizie; insistă că OMC trebuie să urmeze modelul altor organizații internaționale și să introducă abordări diferite în procesul decizional, precum și să poarte o discuție constructivă cu privire la practica consensului, pe care să o distingă de unanimitate; subliniază că OMC ar trebui să evalueze instituirea unui proces decizional mai eficient și mai flexibil, inclusiv punerea în aplicare a conceptului de „consens responsabil”, potrivit căruia membrii ar fi încurajați să își exercite dreptul de veto numai în caz de necesitate și să ofere justificări clare, promovând astfel responsabilizarea și participarea constructivă; evidențiază, în plus, că OMC ar trebui să analizeze și posibilitatea de a înființa un organ de conducere sau executiv cu un rol specific în procesele de orientare a activității sau supraveghere, ca în cazul consiliului executiv al Fondului Monetar Internațional sau al Băncii Mondiale;</w:t>
      </w:r>
    </w:p>
    <w:p w14:paraId="79EC3E13" w14:textId="77777777" w:rsidR="007B1268" w:rsidRPr="00276440" w:rsidRDefault="007B1268" w:rsidP="007B1268">
      <w:pPr>
        <w:pStyle w:val="NormalHanging12a"/>
      </w:pPr>
      <w:r w:rsidRPr="00276440">
        <w:t>6.</w:t>
      </w:r>
      <w:r w:rsidRPr="00276440">
        <w:tab/>
        <w:t>încurajează avansarea negocierilor privind acordurile multilaterale, accentuând, în același timp, necesitatea de a facilita integrarea acordurilor plurilaterale în arhitectura multilaterală, pentru a asigura progrese în domenii care nu sunt suficient de mature pentru toți membrii; subliniază că inițiativele plurilaterale deschise ar trebui să ofere oricărui membru interesat posibilitatea de a acționa; îndeamnă din nou toți membrii OMC să reflecteze asupra unei modalități de a dezvolta un nou sistem prin care un singur membru sau un grup de membri neparticipanți să nu poată bloca o cooperare mai strânsă în cadrul unei inițiative plurilaterale, în special atunci când aceasta se bazează pe clauza națiunii celei mai favorizate și, prin urmare, beneficiile sale se aplică membrilor în ansamblu, și, pe baza sa, să instituie un mecanism simplu care ar face posibilă integrarea acordurilor rezultate în structura OMC;</w:t>
      </w:r>
    </w:p>
    <w:p w14:paraId="77164EC4" w14:textId="77777777" w:rsidR="007B1268" w:rsidRPr="00276440" w:rsidRDefault="007B1268" w:rsidP="007B1268">
      <w:pPr>
        <w:pStyle w:val="NormalHanging12a"/>
        <w:rPr>
          <w:i/>
        </w:rPr>
      </w:pPr>
      <w:r w:rsidRPr="00276440">
        <w:t>7.</w:t>
      </w:r>
      <w:r w:rsidRPr="00276440">
        <w:tab/>
        <w:t>regretă intensificarea politicilor comerciale protecționiste în întreaga lume și decizia SUA de a aplica taxe vamale suplimentare pentru importurile de la partenerii comerciali, inclusiv de la UE, îndepărtându-se fără nicio justificare de la principiul națiunii celei mai favorizate; invită Statele Unite să colaboreze în mod constructiv cu membrii OMC, astfel încât să consolideze, și nu să submineze sistemul comercial multilateral, demonstrând-și, astfel, rolul de lider la nivel mondial, și să obțină rezultate concrete în cadrul CM14; se bucură că Statele Unite au numit un ambasador la OMC;</w:t>
      </w:r>
    </w:p>
    <w:p w14:paraId="2DD8BCC0" w14:textId="77777777" w:rsidR="007B1268" w:rsidRPr="00276440" w:rsidRDefault="007B1268" w:rsidP="007B1268">
      <w:pPr>
        <w:pStyle w:val="NormalHanging12a"/>
        <w:rPr>
          <w:bCs/>
          <w:iCs/>
        </w:rPr>
      </w:pPr>
      <w:r w:rsidRPr="00276440">
        <w:t>8.</w:t>
      </w:r>
      <w:r w:rsidRPr="00276440">
        <w:tab/>
        <w:t xml:space="preserve">reafirmă că principiul națiunii celei mai favorizate constituie o piatră de temelie a sistemului comercial multilateral; subliniază rolul său central în asigurarea nediscriminării, a previzibilității și a echității în comerțul internațional; accentuează că </w:t>
      </w:r>
      <w:r w:rsidRPr="00276440">
        <w:lastRenderedPageBreak/>
        <w:t>orice modernizare a OMC ar trebui să rezulte din schimbarea sistemului, și nu din nerespectarea sa;</w:t>
      </w:r>
    </w:p>
    <w:p w14:paraId="6ECDDBDA" w14:textId="77777777" w:rsidR="007B1268" w:rsidRPr="00276440" w:rsidRDefault="007B1268" w:rsidP="007B1268">
      <w:pPr>
        <w:pStyle w:val="NormalHanging12a"/>
        <w:rPr>
          <w:bCs/>
          <w:iCs/>
        </w:rPr>
      </w:pPr>
      <w:r w:rsidRPr="00276440">
        <w:t>9.</w:t>
      </w:r>
      <w:r w:rsidRPr="00276440">
        <w:tab/>
        <w:t>recunoaște ambițiile Indiei de a soluționa problema de lungă durată a constituirii unor stocuri publice pentru securitatea alimentară, dar își exprimă regretul față de nealinierea sa la pozițiile UE referitoare la moratoriul privind comerțul electronic, tratativele privind subvențiile pentru pescuit și înaintarea în general a negocierilor plurilaterale; invită India să permită altor membri ai OMC să facă progrese cu privire la toate aceste aspecte; regretă, în plus, că India s-a opus unui mandat OMC extins pentru a include noi aspecte privind clima, munca și dimensiunea de gen; invită Comisia să abordeze aceste aspecte și în acordul comercial încheiat recent între UE și India;</w:t>
      </w:r>
    </w:p>
    <w:p w14:paraId="6A782CAF" w14:textId="77777777" w:rsidR="007B1268" w:rsidRPr="00276440" w:rsidRDefault="007B1268" w:rsidP="007B1268">
      <w:pPr>
        <w:pStyle w:val="NormalHanging12a"/>
      </w:pPr>
      <w:r w:rsidRPr="00276440">
        <w:t>10.</w:t>
      </w:r>
      <w:r w:rsidRPr="00276440">
        <w:tab/>
        <w:t>ia act de decizia Chinei de a nu mai invoca avantajele conferite de OMC sub forma unui tratament special și diferențiat în viitoarele acorduri ale organizației, urmând exemplul altor membri mari în curs de dezvoltare; invită China să se asigure că angajamentul respectiv se reflectă retroactiv și în punerea în aplicare a actualelor acorduri ale OMC;</w:t>
      </w:r>
    </w:p>
    <w:p w14:paraId="1F572465" w14:textId="77777777" w:rsidR="007B1268" w:rsidRPr="00276440" w:rsidRDefault="007B1268" w:rsidP="007B1268">
      <w:pPr>
        <w:pStyle w:val="NormalHanging12a"/>
      </w:pPr>
      <w:r w:rsidRPr="00276440">
        <w:t>11.</w:t>
      </w:r>
      <w:r w:rsidRPr="00276440">
        <w:tab/>
        <w:t xml:space="preserve">reamintește că utilizarea pe scară largă de către China a întreprinderilor de stat, a subvențiilor netransparente și a politicilor industriale dirijate de stat continuă să genereze denaturări și </w:t>
      </w:r>
      <w:proofErr w:type="spellStart"/>
      <w:r w:rsidRPr="00276440">
        <w:t>supracapacități</w:t>
      </w:r>
      <w:proofErr w:type="spellEnd"/>
      <w:r w:rsidRPr="00276440">
        <w:t xml:space="preserve"> semnificative în comerțul mondial; regretă că China utilizează comerțul și dependențele economice ca armă, împreună cu sistemul său de control al exporturilor, care nu se justifică prin posibilități de dublă utilizare; solicită Chinei să își alinieze angajamentele asumate în OMC la ponderea sa economică și să ia măsuri pentru a asigura condiții de concurență echitabile, abordând aceste aspecte și contribuind la modernizarea OMC;</w:t>
      </w:r>
    </w:p>
    <w:p w14:paraId="6D1C02F7" w14:textId="77777777" w:rsidR="007B1268" w:rsidRPr="00276440" w:rsidRDefault="007B1268" w:rsidP="007B1268">
      <w:pPr>
        <w:pStyle w:val="NormalHanging12a"/>
      </w:pPr>
      <w:r w:rsidRPr="00276440">
        <w:t>12.</w:t>
      </w:r>
      <w:r w:rsidRPr="00276440">
        <w:tab/>
        <w:t>evidențiază necesitatea ca partenerii care împărtășesc aceeași viziune și se angajează să susțină și să consolideze ordinea comercială multilaterală bazată pe norme și construită în jurul OMC să colaboreze și mai strâns; insistă, în acest context dificil, că UE trebuie să își mențină angajamentul de a fi un partener de încredere și de a sprijini comerțul bazat pe norme;</w:t>
      </w:r>
    </w:p>
    <w:p w14:paraId="66AABA7C" w14:textId="77777777" w:rsidR="007B1268" w:rsidRPr="00276440" w:rsidRDefault="007B1268" w:rsidP="007B1268">
      <w:pPr>
        <w:pStyle w:val="NormalHanging12a"/>
      </w:pPr>
      <w:r w:rsidRPr="00276440">
        <w:t>13.</w:t>
      </w:r>
      <w:r w:rsidRPr="00276440">
        <w:tab/>
        <w:t>invită membrii OMC să restabilească sistemul de soluționare a litigiilor ca pilon indispensabil al previzibilității pe deplin funcțional, independent, obligatoriu și pe două niveluri, garantând că normele sunt aplicate prin lege și nu prin acțiuni unilaterale, indiferent de dimensiunea sau puterea economică a membrilor;</w:t>
      </w:r>
    </w:p>
    <w:p w14:paraId="3EC11185" w14:textId="77777777" w:rsidR="007B1268" w:rsidRPr="00276440" w:rsidRDefault="007B1268" w:rsidP="007B1268">
      <w:pPr>
        <w:pStyle w:val="NormalHanging12a"/>
      </w:pPr>
      <w:r w:rsidRPr="00276440">
        <w:t>14.</w:t>
      </w:r>
      <w:r w:rsidRPr="00276440">
        <w:tab/>
        <w:t xml:space="preserve">constată cu satisfacție că 58 de membri ai OMC (reprezentând aproape 60 % din comerțul mondial) au aderat la procedura provizorie </w:t>
      </w:r>
      <w:proofErr w:type="spellStart"/>
      <w:r w:rsidRPr="00276440">
        <w:t>multipartită</w:t>
      </w:r>
      <w:proofErr w:type="spellEnd"/>
      <w:r w:rsidRPr="00276440">
        <w:t xml:space="preserve"> de arbitraj în apel (MPIA) ca măsură temporară până la restabilirea unui sistem al OMC de soluționare a litigiilor pe deplin funcțional; invită alți membri să se alăture MPIA pentru a-și demonstra angajamentul față de un sistem echitabil și funcțional de soluționare a litigiilor; subliniază că MPIA este o soluție temporară și voluntară și nu trebuie să devină un substitut permanent pentru un mecanism multilateral de apel aplicabil tuturor membrilor OMC;</w:t>
      </w:r>
    </w:p>
    <w:p w14:paraId="0FC9F96E" w14:textId="77777777" w:rsidR="007B1268" w:rsidRPr="00276440" w:rsidRDefault="007B1268" w:rsidP="007B1268">
      <w:pPr>
        <w:pStyle w:val="NormalHanging12a"/>
        <w:rPr>
          <w:bCs/>
          <w:i/>
          <w:iCs/>
        </w:rPr>
      </w:pPr>
      <w:r w:rsidRPr="00276440">
        <w:rPr>
          <w:b/>
          <w:i/>
        </w:rPr>
        <w:t>Condiții de concurență echitabile</w:t>
      </w:r>
    </w:p>
    <w:p w14:paraId="5272A9D5" w14:textId="77777777" w:rsidR="007B1268" w:rsidRPr="00276440" w:rsidRDefault="007B1268" w:rsidP="007B1268">
      <w:pPr>
        <w:pStyle w:val="NormalHanging12a"/>
      </w:pPr>
      <w:r w:rsidRPr="00276440">
        <w:t>15.</w:t>
      </w:r>
      <w:r w:rsidRPr="00276440">
        <w:tab/>
        <w:t xml:space="preserve">insistă că echitatea este piatra de temelie a unui sistem durabil și credibil; observă că intervențiile statale actuale cu efect de denaturare, inclusiv subvențiile industriale de mare amploare și practicile nebazate pe piață, care au condus la tensiuni între membri și </w:t>
      </w:r>
      <w:r w:rsidRPr="00276440">
        <w:lastRenderedPageBreak/>
        <w:t xml:space="preserve">la curse costisitoare ale subvențiilor, au arătat că normele actuale privind subvențiile nu au fost adaptate la circumstanțele în schimbare din comerțul mondial; insistă că reforma normelor OMC privind subvențiile industriale și intervențiile statale trebuie să se bazeze pe trei piloni complementari: îmbunătățirea cerințelor de transparență și notificare, consolidarea și clarificarea regulilor și eficientizarea căilor de atac pentru a aborda efectele de propagare negative și </w:t>
      </w:r>
      <w:proofErr w:type="spellStart"/>
      <w:r w:rsidRPr="00276440">
        <w:t>supracapacitatea</w:t>
      </w:r>
      <w:proofErr w:type="spellEnd"/>
      <w:r w:rsidRPr="00276440">
        <w:t>; solicită abordarea acestor aspecte ca element central al modernizării OMC, pe picior de egalitate cu alte chestiuni legate de modernizare; își exprimă sprijinul pentru procesul de deliberare informală ca mijloc de a consolida înțelegerea comună în rândul membrilor OMC și de a pregăti terenul pentru elaborarea normelor;</w:t>
      </w:r>
    </w:p>
    <w:p w14:paraId="13EA250D" w14:textId="77777777" w:rsidR="007B1268" w:rsidRPr="00276440" w:rsidRDefault="007B1268" w:rsidP="007B1268">
      <w:pPr>
        <w:pStyle w:val="NormalHanging12a"/>
        <w:rPr>
          <w:bCs/>
          <w:iCs/>
        </w:rPr>
      </w:pPr>
      <w:r w:rsidRPr="00276440">
        <w:t>16.</w:t>
      </w:r>
      <w:r w:rsidRPr="00276440">
        <w:tab/>
        <w:t xml:space="preserve">evidențiază că normele OMC și viitoarele discipline trebuie să fie compatibile cu obiectivele Acordului de la Paris și ale altor acorduri multilaterale de mediu pertinente, să sprijine tranziția către economii neutre din punct de vedere climatic și să abordeze în mod eficace efectele de propagare negative, cum ar fi </w:t>
      </w:r>
      <w:proofErr w:type="spellStart"/>
      <w:r w:rsidRPr="00276440">
        <w:t>supracapacitatea</w:t>
      </w:r>
      <w:proofErr w:type="spellEnd"/>
      <w:r w:rsidRPr="00276440">
        <w:t xml:space="preserve"> și lanțurile de aprovizionare cu emisii ridicate de dioxid de carbon, evitând, în același timp, restricțiile comerciale nejustificate;</w:t>
      </w:r>
    </w:p>
    <w:p w14:paraId="189C20F1" w14:textId="77777777" w:rsidR="007B1268" w:rsidRPr="00276440" w:rsidRDefault="007B1268" w:rsidP="007B1268">
      <w:pPr>
        <w:pStyle w:val="NormalHanging12a"/>
        <w:rPr>
          <w:bCs/>
          <w:i/>
          <w:iCs/>
        </w:rPr>
      </w:pPr>
      <w:r w:rsidRPr="00276440">
        <w:rPr>
          <w:b/>
          <w:i/>
        </w:rPr>
        <w:t>Dimensiunea de dezvoltare</w:t>
      </w:r>
    </w:p>
    <w:p w14:paraId="38A88063" w14:textId="77777777" w:rsidR="007B1268" w:rsidRPr="00276440" w:rsidRDefault="007B1268" w:rsidP="007B1268">
      <w:pPr>
        <w:pStyle w:val="NormalHanging12a"/>
      </w:pPr>
      <w:r w:rsidRPr="00276440">
        <w:t>17.</w:t>
      </w:r>
      <w:r w:rsidRPr="00276440">
        <w:tab/>
        <w:t xml:space="preserve">salută intrarea în vigoare, în septembrie 2025, a primului acord privind subvențiile pentru pescuit; reliefează că este extrem de important să se ajungă rapid la un acord și cu privire la disciplinele referitoare la subvențiile pentru pescuit care contribuie la </w:t>
      </w:r>
      <w:proofErr w:type="spellStart"/>
      <w:r w:rsidRPr="00276440">
        <w:t>supracapacitate</w:t>
      </w:r>
      <w:proofErr w:type="spellEnd"/>
      <w:r w:rsidRPr="00276440">
        <w:t xml:space="preserve"> și la pescuitul excesiv, subvenții care reprezintă mai mult de jumătate din totalul subvențiilor pentru pescuit, pentru a evita epuizarea resurselor biologice marine și a face posibilă gestionarea lor sustenabilă, respectând, în același timp, necesitatea unui tratament special și diferențiat în conformitate cu ținta 14.6 a ODD;</w:t>
      </w:r>
    </w:p>
    <w:p w14:paraId="335230B4" w14:textId="77777777" w:rsidR="007B1268" w:rsidRPr="00276440" w:rsidRDefault="007B1268" w:rsidP="007B1268">
      <w:pPr>
        <w:pStyle w:val="NormalHanging12a"/>
        <w:rPr>
          <w:bCs/>
          <w:iCs/>
        </w:rPr>
      </w:pPr>
      <w:r w:rsidRPr="00276440">
        <w:t>18.</w:t>
      </w:r>
      <w:r w:rsidRPr="00276440">
        <w:tab/>
        <w:t xml:space="preserve">evidențiază necesitatea de a consolida și integra dimensiunea de dezvoltare a OMC, inclusiv prin procesul de modernizare a OMC, recunoscând diferitele situații economice ale țărilor în curs de dezvoltare, evitând aplicarea universală a unui tratament special și diferențiat și făcând ca dispozițiile privind tratamentul special și diferențiat să fie mai granulare și mai ancorate în dovezi și nevoi, sub rezerva unei revizuiri periodice, inclusiv a unor mecanisme clare de evaluare a eligibilității, astfel încât acestea să poată răspunde mai bine nevoilor țărilor în curs de dezvoltare, inclusiv ale țărilor cel mai puțin dezvoltate; subliniază, în plus, că </w:t>
      </w:r>
      <w:proofErr w:type="spellStart"/>
      <w:r w:rsidRPr="00276440">
        <w:t>autodesemnarea</w:t>
      </w:r>
      <w:proofErr w:type="spellEnd"/>
      <w:r w:rsidRPr="00276440">
        <w:t xml:space="preserve"> de către membri a stadiului lor de dezvoltare nu poate rămâne singurul criteriu pentru acordarea tratamentului special și diferențiat și solicită criterii obiective, transparente și revizuite periodic, precum și asigurarea unei flexibilități adecvate pentru țările cele mai sărace și mai vulnerabile;</w:t>
      </w:r>
    </w:p>
    <w:p w14:paraId="732341F4" w14:textId="77777777" w:rsidR="007B1268" w:rsidRPr="00276440" w:rsidRDefault="007B1268" w:rsidP="007B1268">
      <w:pPr>
        <w:pStyle w:val="NormalHanging12a"/>
      </w:pPr>
      <w:r w:rsidRPr="00276440">
        <w:t>19.</w:t>
      </w:r>
      <w:r w:rsidRPr="00276440">
        <w:tab/>
        <w:t>salută încheierea negocierilor privind Acordul de facilitare a investițiilor pentru dezvoltare în vederea creării unui mediu mai transparent, mai eficient și mai previzibil cu scopul de a facilita investițiile transfrontaliere și participarea țărilor în curs de dezvoltare la fluxurile globale de investiții; salută sprijinul exprimat de 128 de membri (din 166), inclusiv de 91 de economii în curs de dezvoltare (dintre care 27 sunt țări cel mai puțin dezvoltate), și îndeamnă restul membrilor să își retragă opoziția și să includă acordul în cadrul de reglementare al OMC, în anexa 4: Acorduri comerciale plurilaterale;</w:t>
      </w:r>
    </w:p>
    <w:p w14:paraId="2AA6224E" w14:textId="77777777" w:rsidR="007B1268" w:rsidRPr="00276440" w:rsidRDefault="007B1268" w:rsidP="007B1268">
      <w:pPr>
        <w:pStyle w:val="NormalHanging12a"/>
      </w:pPr>
      <w:r w:rsidRPr="00276440">
        <w:t>20.</w:t>
      </w:r>
      <w:r w:rsidRPr="00276440">
        <w:tab/>
        <w:t xml:space="preserve">subliniază necesitatea de a înregistra progrese în negocierile privind agricultura pentru a obține rezultate credibile cu privire la aspecte precum deținerea de stocuri publice în </w:t>
      </w:r>
      <w:r w:rsidRPr="00276440">
        <w:lastRenderedPageBreak/>
        <w:t>scopul securității alimentare, sprijinul intern, accesul pe piață, bumbacul, restricțiile la export și concurența la export, precum și întărirea sectorului agricol pentru a răspunde provocărilor actuale, inclusiv mijloacele de subzistență în mediul rural și sustenabilitatea mediului; reliefează că discuțiile nu ar trebui să se concentreze numai pe reducerea sprijinului intern care denaturează comerțul, ci și pe integrarea provocărilor globale pertinente, inclusiv securitatea alimentară și sustenabilitatea, în discuțiile privind agricultura;</w:t>
      </w:r>
    </w:p>
    <w:p w14:paraId="427EDD22" w14:textId="77777777" w:rsidR="007B1268" w:rsidRPr="00276440" w:rsidRDefault="007B1268" w:rsidP="007B1268">
      <w:pPr>
        <w:pStyle w:val="NormalHanging12a"/>
        <w:rPr>
          <w:bCs/>
          <w:i/>
          <w:iCs/>
        </w:rPr>
      </w:pPr>
      <w:r w:rsidRPr="00276440">
        <w:rPr>
          <w:b/>
          <w:i/>
        </w:rPr>
        <w:t>Dimensiunea digitală</w:t>
      </w:r>
    </w:p>
    <w:p w14:paraId="17F6302E" w14:textId="77777777" w:rsidR="007B1268" w:rsidRPr="00276440" w:rsidRDefault="007B1268" w:rsidP="007B1268">
      <w:pPr>
        <w:pStyle w:val="NormalHanging12a"/>
      </w:pPr>
      <w:r w:rsidRPr="00276440">
        <w:t>21.</w:t>
      </w:r>
      <w:r w:rsidRPr="00276440">
        <w:tab/>
        <w:t>îndeamnă membrii OMC să reînnoiască, în cursul CM14, programul de lucru privind comerțul electronic și moratoriul privind taxele vamale pentru transmisiile electronice; consideră că găsirea unei soluții permanente pentru neimpunerea taxelor vamale pentru transmisiile electronice este esențială pentru întreprinderile din întreaga lume, inclusiv pentru cele din țările în curs de dezvoltare;</w:t>
      </w:r>
    </w:p>
    <w:p w14:paraId="5AA30B7B" w14:textId="77777777" w:rsidR="007B1268" w:rsidRPr="00276440" w:rsidRDefault="007B1268" w:rsidP="007B1268">
      <w:pPr>
        <w:pStyle w:val="NormalHanging12a"/>
      </w:pPr>
      <w:r w:rsidRPr="00276440">
        <w:t>22.</w:t>
      </w:r>
      <w:r w:rsidRPr="00276440">
        <w:tab/>
        <w:t>solicită membrilor OMC să sprijine, cu titlu prioritar, încorporarea Acordului privind comerțul electronic în cadrul OMC; precizează că acordul stabilește primele norme globale pentru comerțul digital, creând un cadru echitabil, previzibil și transparent care aduce beneficii consumatorilor și întreprinderilor prin facilitarea tranzacțiilor transfrontaliere, reducerea barierelor și promovarea inovării și a încrederii; evidențiază că acordul este conceput pentru a aduce beneficii atât țărilor în curs de dezvoltare și țărilor celor mai puțin dezvoltate, cât și economiilor avansate; salută inițiativele și programele de consolidare a capacităților prevăzute în acord pentru a sprijini demersurile țărilor în curs de dezvoltare și ale țărilor celor mai puțin dezvoltate de a valorifica șansele oferite de comerțul digital; reiterează importanța acordului pentru sprijinirea microîntreprinderilor și a întreprinderilor mici și mijlocii; sprijină eforturile coorganizatorilor de a asigura punerea în aplicare promptă a acordului;</w:t>
      </w:r>
    </w:p>
    <w:p w14:paraId="3BFC656B" w14:textId="77777777" w:rsidR="007B1268" w:rsidRPr="00276440" w:rsidRDefault="007B1268" w:rsidP="007B1268">
      <w:pPr>
        <w:pStyle w:val="NormalHanging12a"/>
        <w:rPr>
          <w:bCs/>
          <w:iCs/>
        </w:rPr>
      </w:pPr>
      <w:r w:rsidRPr="00276440">
        <w:t>23.</w:t>
      </w:r>
      <w:r w:rsidRPr="00276440">
        <w:tab/>
        <w:t>evidențiază importanța tot mai mare a sistemelor de inteligență artificială (IA) în comerțul internațional; solicită, în acest context, o mai mare cooperare internațională în ceea ce privește reglementările și politicile în domeniul IA, respectând, în același timp, dreptul de reglementare al membrilor OMC; subliniază că OMC ar trebui să contribuie în mod semnificativ la dezvoltarea unui cadru solid, sigur, incluziv și fiabil de guvernanță a IA pentru comerț, inclusiv prin instituirea unui grup de lucru specific al OMC privind inteligența artificială, care să faciliteze dialogul, schimbul de cunoștințe și cooperarea între membri cu privire la politicile și reglementările în domeniul IA;</w:t>
      </w:r>
    </w:p>
    <w:p w14:paraId="5CCB9DC0" w14:textId="77777777" w:rsidR="007B1268" w:rsidRPr="00276440" w:rsidRDefault="007B1268" w:rsidP="007B1268">
      <w:pPr>
        <w:pStyle w:val="NormalHanging12a"/>
        <w:rPr>
          <w:bCs/>
          <w:i/>
          <w:iCs/>
        </w:rPr>
      </w:pPr>
      <w:r w:rsidRPr="00276440">
        <w:rPr>
          <w:b/>
          <w:i/>
        </w:rPr>
        <w:t>Implicarea Parlamentului</w:t>
      </w:r>
    </w:p>
    <w:p w14:paraId="0A6FAD77" w14:textId="77777777" w:rsidR="007B1268" w:rsidRPr="00276440" w:rsidRDefault="007B1268" w:rsidP="007B1268">
      <w:pPr>
        <w:pStyle w:val="NormalHanging12a"/>
      </w:pPr>
      <w:r w:rsidRPr="00276440">
        <w:t>24.</w:t>
      </w:r>
      <w:r w:rsidRPr="00276440">
        <w:tab/>
        <w:t>invită Comisia și Consiliul să garanteze că Parlamentul va continua să fie implicat îndeaproape în pregătirea CM14 și va fi ținut la curent și consultat cu promptitudine pe perioada conferinței;</w:t>
      </w:r>
    </w:p>
    <w:p w14:paraId="795E521E" w14:textId="77777777" w:rsidR="007B1268" w:rsidRPr="00276440" w:rsidRDefault="007B1268" w:rsidP="007B1268">
      <w:pPr>
        <w:pStyle w:val="NormalHanging12a"/>
      </w:pPr>
      <w:r w:rsidRPr="00276440">
        <w:t>25.</w:t>
      </w:r>
      <w:r w:rsidRPr="00276440">
        <w:tab/>
        <w:t xml:space="preserve">invită membrii OMC să asigure legitimitatea democratică și transparența prin întărirea dimensiunii parlamentare a OMC și a Conferinței parlamentare privind OMC; laudă activitatea importantă a Conferinței parlamentare comune a Parlamentului European și a Uniunii Interparlamentare privind OMC; subliniază că este necesar să se asigure un acces mai bun al parlamentarilor la toate negocierile comerciale și să se garanteze implicarea lor în elaborarea și punerea în aplicare a deciziilor OMC; încurajează liderii să sprijine un nou discurs privind comerțul, prin care comerțul să fie considerat un </w:t>
      </w:r>
      <w:r w:rsidRPr="00276440">
        <w:lastRenderedPageBreak/>
        <w:t>factor favorizant pentru a asigura sustenabilitatea, securitatea și incluziunea, și nu un obstacol în calea lor;</w:t>
      </w:r>
    </w:p>
    <w:p w14:paraId="32814954" w14:textId="77777777" w:rsidR="007B1268" w:rsidRPr="00276440" w:rsidRDefault="007B1268" w:rsidP="007B1268">
      <w:pPr>
        <w:pStyle w:val="NormalHanging12a"/>
      </w:pPr>
      <w:r w:rsidRPr="00276440">
        <w:t>26.</w:t>
      </w:r>
      <w:r w:rsidRPr="00276440">
        <w:tab/>
        <w:t>invită membrii OMC să intensifice discuțiile cu toate părțile interesate, inclusiv cu societatea civilă, întreprinderile și sindicatele, și să consolideze cooperarea cu alte organizații internaționale, cum ar fi Camera Internațională de Comerț, Organizația Internațională a Muncii și sistemul ONU în sens mai larg; se așteaptă din partea liderilor să comunice mai mult la toate nivelurile cu privire la beneficiile comerțului bazat pe norme;</w:t>
      </w:r>
    </w:p>
    <w:p w14:paraId="24E6DBE2" w14:textId="77777777" w:rsidR="007B1268" w:rsidRPr="00276440" w:rsidRDefault="007B1268" w:rsidP="007B1268">
      <w:pPr>
        <w:pStyle w:val="NormalHanging12a"/>
        <w:jc w:val="center"/>
      </w:pPr>
      <w:r w:rsidRPr="00276440">
        <w:t>°</w:t>
      </w:r>
    </w:p>
    <w:p w14:paraId="478E21B3" w14:textId="77777777" w:rsidR="007B1268" w:rsidRPr="00276440" w:rsidRDefault="007B1268" w:rsidP="007B1268">
      <w:pPr>
        <w:pStyle w:val="NormalHanging12a"/>
        <w:jc w:val="center"/>
      </w:pPr>
      <w:r w:rsidRPr="00276440">
        <w:t>°</w:t>
      </w:r>
      <w:r w:rsidRPr="00276440">
        <w:tab/>
        <w:t>°</w:t>
      </w:r>
    </w:p>
    <w:p w14:paraId="13D6C95F" w14:textId="0FE3B0C4" w:rsidR="00E365E1" w:rsidRPr="00276440" w:rsidRDefault="007B1268" w:rsidP="00276440">
      <w:pPr>
        <w:ind w:left="567" w:hanging="567"/>
      </w:pPr>
      <w:r w:rsidRPr="00276440">
        <w:t>27.</w:t>
      </w:r>
      <w:r w:rsidRPr="00276440">
        <w:tab/>
        <w:t>încredințează Președintei sarcina de a transmite prezenta rezoluție Consiliului, Comisiei și guvernelor și parlamentelor statelor membre, precum și directoarei generale a Organizației Mondiale a Comerțului și secretarului general al Uniunii Interparlamentare.</w:t>
      </w:r>
    </w:p>
    <w:sectPr w:rsidR="00E365E1" w:rsidRPr="00276440" w:rsidSect="003438B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61EB1" w14:textId="77777777" w:rsidR="005373B5" w:rsidRPr="003438B4" w:rsidRDefault="005373B5">
      <w:r w:rsidRPr="003438B4">
        <w:separator/>
      </w:r>
    </w:p>
  </w:endnote>
  <w:endnote w:type="continuationSeparator" w:id="0">
    <w:p w14:paraId="328DAF19" w14:textId="77777777" w:rsidR="005373B5" w:rsidRPr="003438B4" w:rsidRDefault="005373B5">
      <w:r w:rsidRPr="003438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E49C8" w14:textId="77777777" w:rsidR="00064002" w:rsidRPr="003438B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6C5AD" w14:textId="77777777" w:rsidR="00064002" w:rsidRPr="003438B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9CDA3" w14:textId="77777777" w:rsidR="00064002" w:rsidRPr="003438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75BC5" w14:textId="77777777" w:rsidR="005373B5" w:rsidRPr="003438B4" w:rsidRDefault="005373B5">
      <w:r w:rsidRPr="003438B4">
        <w:separator/>
      </w:r>
    </w:p>
  </w:footnote>
  <w:footnote w:type="continuationSeparator" w:id="0">
    <w:p w14:paraId="611F096C" w14:textId="77777777" w:rsidR="005373B5" w:rsidRPr="003438B4" w:rsidRDefault="005373B5">
      <w:r w:rsidRPr="003438B4">
        <w:continuationSeparator/>
      </w:r>
    </w:p>
  </w:footnote>
  <w:footnote w:id="1">
    <w:p w14:paraId="1B059971" w14:textId="7DDEEC0D" w:rsidR="007B1268" w:rsidRPr="003438B4" w:rsidRDefault="007B1268" w:rsidP="003438B4">
      <w:pPr>
        <w:pStyle w:val="FootnoteText"/>
        <w:ind w:left="567" w:hanging="567"/>
        <w:rPr>
          <w:sz w:val="24"/>
          <w:lang w:val="ro-RO"/>
        </w:rPr>
      </w:pPr>
      <w:r w:rsidRPr="003438B4">
        <w:rPr>
          <w:rStyle w:val="FootnoteReference"/>
          <w:sz w:val="24"/>
          <w:lang w:val="ro-RO"/>
        </w:rPr>
        <w:footnoteRef/>
      </w:r>
      <w:r w:rsidR="003438B4" w:rsidRPr="003438B4">
        <w:rPr>
          <w:sz w:val="24"/>
          <w:lang w:val="ro-RO"/>
        </w:rPr>
        <w:t xml:space="preserve"> </w:t>
      </w:r>
      <w:r w:rsidR="003438B4" w:rsidRPr="003438B4">
        <w:rPr>
          <w:sz w:val="24"/>
          <w:lang w:val="ro-RO"/>
        </w:rPr>
        <w:tab/>
      </w:r>
      <w:r w:rsidRPr="003438B4">
        <w:rPr>
          <w:sz w:val="24"/>
          <w:lang w:val="ro-RO"/>
        </w:rPr>
        <w:t xml:space="preserve">JO C, C/2024/6342, 7.11.2024, ELI: </w:t>
      </w:r>
      <w:hyperlink r:id="rId1" w:history="1">
        <w:r w:rsidRPr="003438B4">
          <w:rPr>
            <w:rStyle w:val="Hyperlink"/>
            <w:sz w:val="24"/>
            <w:lang w:val="ro-RO"/>
          </w:rPr>
          <w:t>http://data.europa.eu/eli/C/2024/6342/oj</w:t>
        </w:r>
      </w:hyperlink>
      <w:r w:rsidRPr="003438B4">
        <w:rPr>
          <w:sz w:val="24"/>
          <w:lang w:val="ro-RO"/>
        </w:rPr>
        <w:t>.</w:t>
      </w:r>
    </w:p>
  </w:footnote>
  <w:footnote w:id="2">
    <w:p w14:paraId="40DC3188" w14:textId="22469D6F" w:rsidR="007B1268" w:rsidRPr="003438B4" w:rsidRDefault="007B1268" w:rsidP="003438B4">
      <w:pPr>
        <w:pStyle w:val="FootnoteText"/>
        <w:ind w:left="567" w:hanging="567"/>
        <w:rPr>
          <w:sz w:val="24"/>
          <w:lang w:val="ro-RO"/>
        </w:rPr>
      </w:pPr>
      <w:r w:rsidRPr="003438B4">
        <w:rPr>
          <w:rStyle w:val="FootnoteReference"/>
          <w:sz w:val="24"/>
          <w:lang w:val="ro-RO"/>
        </w:rPr>
        <w:footnoteRef/>
      </w:r>
      <w:r w:rsidR="003438B4" w:rsidRPr="003438B4">
        <w:rPr>
          <w:sz w:val="24"/>
          <w:lang w:val="ro-RO"/>
        </w:rPr>
        <w:t xml:space="preserve"> </w:t>
      </w:r>
      <w:r w:rsidR="003438B4" w:rsidRPr="003438B4">
        <w:rPr>
          <w:sz w:val="24"/>
          <w:lang w:val="ro-RO"/>
        </w:rPr>
        <w:tab/>
      </w:r>
      <w:r w:rsidRPr="003438B4">
        <w:rPr>
          <w:sz w:val="24"/>
          <w:lang w:val="ro-RO"/>
        </w:rPr>
        <w:t>JO C 224, 8.6.2022, p. 89.</w:t>
      </w:r>
    </w:p>
  </w:footnote>
  <w:footnote w:id="3">
    <w:p w14:paraId="5A65120F" w14:textId="02497C6B" w:rsidR="007B1268" w:rsidRPr="003438B4" w:rsidRDefault="007B1268" w:rsidP="003438B4">
      <w:pPr>
        <w:pStyle w:val="FootnoteText"/>
        <w:ind w:left="567" w:hanging="567"/>
        <w:rPr>
          <w:sz w:val="24"/>
          <w:lang w:val="ro-RO"/>
        </w:rPr>
      </w:pPr>
      <w:r w:rsidRPr="003438B4">
        <w:rPr>
          <w:rStyle w:val="FootnoteReference"/>
          <w:sz w:val="24"/>
          <w:lang w:val="ro-RO"/>
        </w:rPr>
        <w:footnoteRef/>
      </w:r>
      <w:r w:rsidR="003438B4" w:rsidRPr="003438B4">
        <w:rPr>
          <w:sz w:val="24"/>
          <w:lang w:val="ro-RO"/>
        </w:rPr>
        <w:t xml:space="preserve"> </w:t>
      </w:r>
      <w:r w:rsidR="003438B4" w:rsidRPr="003438B4">
        <w:rPr>
          <w:sz w:val="24"/>
          <w:lang w:val="ro-RO"/>
        </w:rPr>
        <w:tab/>
      </w:r>
      <w:r w:rsidRPr="003438B4">
        <w:rPr>
          <w:sz w:val="24"/>
          <w:lang w:val="ro-RO"/>
        </w:rPr>
        <w:t>JO C 363, 28.10.2020, p. 113.</w:t>
      </w:r>
    </w:p>
  </w:footnote>
  <w:footnote w:id="4">
    <w:p w14:paraId="7272B99D" w14:textId="48CD8EB6" w:rsidR="007B1268" w:rsidRPr="003438B4" w:rsidRDefault="007B1268" w:rsidP="003438B4">
      <w:pPr>
        <w:pStyle w:val="FootnoteText"/>
        <w:ind w:left="567" w:hanging="567"/>
        <w:rPr>
          <w:sz w:val="24"/>
          <w:lang w:val="ro-RO"/>
        </w:rPr>
      </w:pPr>
      <w:r w:rsidRPr="003438B4">
        <w:rPr>
          <w:rStyle w:val="FootnoteReference"/>
          <w:sz w:val="24"/>
          <w:lang w:val="ro-RO"/>
        </w:rPr>
        <w:footnoteRef/>
      </w:r>
      <w:r w:rsidR="003438B4" w:rsidRPr="003438B4">
        <w:rPr>
          <w:sz w:val="24"/>
          <w:lang w:val="ro-RO"/>
        </w:rPr>
        <w:t xml:space="preserve"> </w:t>
      </w:r>
      <w:r w:rsidR="003438B4" w:rsidRPr="003438B4">
        <w:rPr>
          <w:sz w:val="24"/>
          <w:lang w:val="ro-RO"/>
        </w:rPr>
        <w:tab/>
      </w:r>
      <w:r w:rsidRPr="003438B4">
        <w:rPr>
          <w:sz w:val="24"/>
          <w:lang w:val="ro-RO"/>
        </w:rPr>
        <w:t>JO C 232, 16.6.2021, p. 62.</w:t>
      </w:r>
    </w:p>
  </w:footnote>
  <w:footnote w:id="5">
    <w:p w14:paraId="3647B904" w14:textId="4D8D47AA" w:rsidR="007B1268" w:rsidRPr="003438B4" w:rsidRDefault="007B1268" w:rsidP="003438B4">
      <w:pPr>
        <w:pStyle w:val="FootnoteText"/>
        <w:ind w:left="567" w:hanging="567"/>
        <w:rPr>
          <w:sz w:val="24"/>
          <w:szCs w:val="16"/>
          <w:lang w:val="ro-RO"/>
        </w:rPr>
      </w:pPr>
      <w:r w:rsidRPr="003438B4">
        <w:rPr>
          <w:rStyle w:val="FootnoteReference"/>
          <w:sz w:val="24"/>
          <w:szCs w:val="16"/>
          <w:lang w:val="ro-RO"/>
        </w:rPr>
        <w:footnoteRef/>
      </w:r>
      <w:r w:rsidR="003438B4" w:rsidRPr="003438B4">
        <w:rPr>
          <w:sz w:val="24"/>
          <w:lang w:val="ro-RO"/>
        </w:rPr>
        <w:t xml:space="preserve"> </w:t>
      </w:r>
      <w:r w:rsidR="003438B4" w:rsidRPr="003438B4">
        <w:rPr>
          <w:sz w:val="24"/>
          <w:lang w:val="ro-RO"/>
        </w:rPr>
        <w:tab/>
      </w:r>
      <w:r w:rsidRPr="003438B4">
        <w:rPr>
          <w:sz w:val="24"/>
          <w:lang w:val="ro-RO"/>
        </w:rPr>
        <w:t xml:space="preserve">Conferința Organizației Națiunilor Unite pentru Comerț și Dezvoltare, „Indirect </w:t>
      </w:r>
      <w:proofErr w:type="spellStart"/>
      <w:r w:rsidRPr="003438B4">
        <w:rPr>
          <w:sz w:val="24"/>
          <w:lang w:val="ro-RO"/>
        </w:rPr>
        <w:t>taxation</w:t>
      </w:r>
      <w:proofErr w:type="spellEnd"/>
      <w:r w:rsidRPr="003438B4">
        <w:rPr>
          <w:sz w:val="24"/>
          <w:lang w:val="ro-RO"/>
        </w:rPr>
        <w:t xml:space="preserve"> of e-</w:t>
      </w:r>
      <w:proofErr w:type="spellStart"/>
      <w:r w:rsidRPr="003438B4">
        <w:rPr>
          <w:sz w:val="24"/>
          <w:lang w:val="ro-RO"/>
        </w:rPr>
        <w:t>commerce</w:t>
      </w:r>
      <w:proofErr w:type="spellEnd"/>
      <w:r w:rsidRPr="003438B4">
        <w:rPr>
          <w:sz w:val="24"/>
          <w:lang w:val="ro-RO"/>
        </w:rPr>
        <w:t xml:space="preserve"> </w:t>
      </w:r>
      <w:proofErr w:type="spellStart"/>
      <w:r w:rsidRPr="003438B4">
        <w:rPr>
          <w:sz w:val="24"/>
          <w:lang w:val="ro-RO"/>
        </w:rPr>
        <w:t>and</w:t>
      </w:r>
      <w:proofErr w:type="spellEnd"/>
      <w:r w:rsidRPr="003438B4">
        <w:rPr>
          <w:sz w:val="24"/>
          <w:lang w:val="ro-RO"/>
        </w:rPr>
        <w:t xml:space="preserve"> digital trade – </w:t>
      </w:r>
      <w:proofErr w:type="spellStart"/>
      <w:r w:rsidRPr="003438B4">
        <w:rPr>
          <w:sz w:val="24"/>
          <w:lang w:val="ro-RO"/>
        </w:rPr>
        <w:t>Implications</w:t>
      </w:r>
      <w:proofErr w:type="spellEnd"/>
      <w:r w:rsidRPr="003438B4">
        <w:rPr>
          <w:sz w:val="24"/>
          <w:lang w:val="ro-RO"/>
        </w:rPr>
        <w:t xml:space="preserve"> for </w:t>
      </w:r>
      <w:proofErr w:type="spellStart"/>
      <w:r w:rsidRPr="003438B4">
        <w:rPr>
          <w:sz w:val="24"/>
          <w:lang w:val="ro-RO"/>
        </w:rPr>
        <w:t>developing</w:t>
      </w:r>
      <w:proofErr w:type="spellEnd"/>
      <w:r w:rsidRPr="003438B4">
        <w:rPr>
          <w:sz w:val="24"/>
          <w:lang w:val="ro-RO"/>
        </w:rPr>
        <w:t xml:space="preserve"> </w:t>
      </w:r>
      <w:proofErr w:type="spellStart"/>
      <w:r w:rsidRPr="003438B4">
        <w:rPr>
          <w:sz w:val="24"/>
          <w:lang w:val="ro-RO"/>
        </w:rPr>
        <w:t>countries</w:t>
      </w:r>
      <w:proofErr w:type="spellEnd"/>
      <w:r w:rsidRPr="003438B4">
        <w:rPr>
          <w:sz w:val="24"/>
          <w:lang w:val="ro-RO"/>
        </w:rPr>
        <w:t xml:space="preserve">” (Impozitarea indirectă a comerțului electronic și a comerțului digital – implicații pentru țările în curs de dezvoltare),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1AA15" w14:textId="77777777" w:rsidR="00064002" w:rsidRPr="003438B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67748" w14:textId="77777777" w:rsidR="00064002" w:rsidRPr="003438B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CD0CE" w14:textId="77777777" w:rsidR="00064002" w:rsidRPr="003438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6112111">
    <w:abstractNumId w:val="9"/>
  </w:num>
  <w:num w:numId="2" w16cid:durableId="1251088398">
    <w:abstractNumId w:val="9"/>
  </w:num>
  <w:num w:numId="3" w16cid:durableId="1343750430">
    <w:abstractNumId w:val="7"/>
  </w:num>
  <w:num w:numId="4" w16cid:durableId="2046446975">
    <w:abstractNumId w:val="7"/>
  </w:num>
  <w:num w:numId="5" w16cid:durableId="190412406">
    <w:abstractNumId w:val="6"/>
  </w:num>
  <w:num w:numId="6" w16cid:durableId="889729067">
    <w:abstractNumId w:val="6"/>
  </w:num>
  <w:num w:numId="7" w16cid:durableId="36316873">
    <w:abstractNumId w:val="5"/>
  </w:num>
  <w:num w:numId="8" w16cid:durableId="2125490303">
    <w:abstractNumId w:val="5"/>
  </w:num>
  <w:num w:numId="9" w16cid:durableId="2045714557">
    <w:abstractNumId w:val="4"/>
  </w:num>
  <w:num w:numId="10" w16cid:durableId="1977366976">
    <w:abstractNumId w:val="4"/>
  </w:num>
  <w:num w:numId="11" w16cid:durableId="1992371828">
    <w:abstractNumId w:val="8"/>
  </w:num>
  <w:num w:numId="12" w16cid:durableId="1287662847">
    <w:abstractNumId w:val="8"/>
  </w:num>
  <w:num w:numId="13" w16cid:durableId="1484277626">
    <w:abstractNumId w:val="3"/>
  </w:num>
  <w:num w:numId="14" w16cid:durableId="790128026">
    <w:abstractNumId w:val="3"/>
  </w:num>
  <w:num w:numId="15" w16cid:durableId="271937938">
    <w:abstractNumId w:val="2"/>
  </w:num>
  <w:num w:numId="16" w16cid:durableId="338973927">
    <w:abstractNumId w:val="2"/>
  </w:num>
  <w:num w:numId="17" w16cid:durableId="1974479106">
    <w:abstractNumId w:val="1"/>
  </w:num>
  <w:num w:numId="18" w16cid:durableId="1625889046">
    <w:abstractNumId w:val="1"/>
  </w:num>
  <w:num w:numId="19" w16cid:durableId="1354838607">
    <w:abstractNumId w:val="0"/>
  </w:num>
  <w:num w:numId="20" w16cid:durableId="1064991901">
    <w:abstractNumId w:val="0"/>
  </w:num>
  <w:num w:numId="21" w16cid:durableId="546062728">
    <w:abstractNumId w:val="9"/>
  </w:num>
  <w:num w:numId="22" w16cid:durableId="1971474550">
    <w:abstractNumId w:val="7"/>
  </w:num>
  <w:num w:numId="23" w16cid:durableId="54400062">
    <w:abstractNumId w:val="6"/>
  </w:num>
  <w:num w:numId="24" w16cid:durableId="177160975">
    <w:abstractNumId w:val="5"/>
  </w:num>
  <w:num w:numId="25" w16cid:durableId="312637999">
    <w:abstractNumId w:val="4"/>
  </w:num>
  <w:num w:numId="26" w16cid:durableId="6257151">
    <w:abstractNumId w:val="8"/>
  </w:num>
  <w:num w:numId="27" w16cid:durableId="674264359">
    <w:abstractNumId w:val="3"/>
  </w:num>
  <w:num w:numId="28" w16cid:durableId="681470092">
    <w:abstractNumId w:val="2"/>
  </w:num>
  <w:num w:numId="29" w16cid:durableId="804935206">
    <w:abstractNumId w:val="1"/>
  </w:num>
  <w:num w:numId="30" w16cid:durableId="156191897">
    <w:abstractNumId w:val="0"/>
  </w:num>
  <w:num w:numId="31" w16cid:durableId="1033002328">
    <w:abstractNumId w:val="9"/>
  </w:num>
  <w:num w:numId="32" w16cid:durableId="1690253259">
    <w:abstractNumId w:val="7"/>
  </w:num>
  <w:num w:numId="33" w16cid:durableId="1846162078">
    <w:abstractNumId w:val="6"/>
  </w:num>
  <w:num w:numId="34" w16cid:durableId="505024102">
    <w:abstractNumId w:val="5"/>
  </w:num>
  <w:num w:numId="35" w16cid:durableId="1102215760">
    <w:abstractNumId w:val="4"/>
  </w:num>
  <w:num w:numId="36" w16cid:durableId="1646812361">
    <w:abstractNumId w:val="8"/>
  </w:num>
  <w:num w:numId="37" w16cid:durableId="704256698">
    <w:abstractNumId w:val="3"/>
  </w:num>
  <w:num w:numId="38" w16cid:durableId="263535312">
    <w:abstractNumId w:val="2"/>
  </w:num>
  <w:num w:numId="39" w16cid:durableId="340667765">
    <w:abstractNumId w:val="1"/>
  </w:num>
  <w:num w:numId="40" w16cid:durableId="805004171">
    <w:abstractNumId w:val="0"/>
  </w:num>
  <w:num w:numId="41" w16cid:durableId="1051612251">
    <w:abstractNumId w:val="10"/>
  </w:num>
  <w:num w:numId="42" w16cid:durableId="732046224">
    <w:abstractNumId w:val="10"/>
  </w:num>
  <w:num w:numId="43" w16cid:durableId="1036469325">
    <w:abstractNumId w:val="10"/>
  </w:num>
  <w:num w:numId="44" w16cid:durableId="19236793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5/2026"/>
    <w:docVar w:name="dvlangue" w:val="RO"/>
    <w:docVar w:name="dvnumam" w:val="0"/>
    <w:docVar w:name="dvpe" w:val="781.228"/>
    <w:docVar w:name="dvtitre" w:val="Rezoluția Parlamentului European din ... martie  2026 referitoare la negocierile multilaterale în vederea celei de a 14-a Conferințe ministeriale a OMC de la Yaoundé, 26-29 martie 2026 (2025/2875(RSP))"/>
  </w:docVars>
  <w:rsids>
    <w:rsidRoot w:val="005373B5"/>
    <w:rsid w:val="00002272"/>
    <w:rsid w:val="00064002"/>
    <w:rsid w:val="000677B9"/>
    <w:rsid w:val="000831BA"/>
    <w:rsid w:val="000A42CC"/>
    <w:rsid w:val="000E7DD9"/>
    <w:rsid w:val="0010095E"/>
    <w:rsid w:val="00125B37"/>
    <w:rsid w:val="00187494"/>
    <w:rsid w:val="001F32AE"/>
    <w:rsid w:val="00227CA4"/>
    <w:rsid w:val="00276440"/>
    <w:rsid w:val="002767FF"/>
    <w:rsid w:val="002B18FE"/>
    <w:rsid w:val="002B5493"/>
    <w:rsid w:val="00343214"/>
    <w:rsid w:val="003438B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73B5"/>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1268"/>
    <w:rsid w:val="007D1690"/>
    <w:rsid w:val="007E22AD"/>
    <w:rsid w:val="007E5F11"/>
    <w:rsid w:val="00817416"/>
    <w:rsid w:val="00842779"/>
    <w:rsid w:val="00865F67"/>
    <w:rsid w:val="00881A7B"/>
    <w:rsid w:val="008840E5"/>
    <w:rsid w:val="008848DE"/>
    <w:rsid w:val="00887B3E"/>
    <w:rsid w:val="008C2AC6"/>
    <w:rsid w:val="00930C23"/>
    <w:rsid w:val="0093193B"/>
    <w:rsid w:val="009509D8"/>
    <w:rsid w:val="00950B64"/>
    <w:rsid w:val="00981893"/>
    <w:rsid w:val="00A1687D"/>
    <w:rsid w:val="00A43E52"/>
    <w:rsid w:val="00A4678D"/>
    <w:rsid w:val="00A74482"/>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067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11FE2"/>
  <w15:chartTrackingRefBased/>
  <w15:docId w15:val="{D7B66739-BFF6-4093-A587-BEBA5F5B5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B1268"/>
    <w:pPr>
      <w:spacing w:after="240"/>
      <w:ind w:left="567" w:hanging="567"/>
    </w:pPr>
  </w:style>
  <w:style w:type="character" w:styleId="Hyperlink">
    <w:name w:val="Hyperlink"/>
    <w:basedOn w:val="DefaultParagraphFont"/>
    <w:uiPriority w:val="99"/>
    <w:unhideWhenUsed/>
    <w:rsid w:val="007B1268"/>
    <w:rPr>
      <w:color w:val="0563C1" w:themeColor="hyperlink"/>
      <w:u w:val="single"/>
    </w:rPr>
  </w:style>
  <w:style w:type="character" w:customStyle="1" w:styleId="NormalHanging12aChar">
    <w:name w:val="NormalHanging12a Char"/>
    <w:basedOn w:val="DefaultParagraphFont"/>
    <w:link w:val="NormalHanging12a"/>
    <w:rsid w:val="007B1268"/>
    <w:rPr>
      <w:sz w:val="24"/>
      <w:lang w:val="ro-RO"/>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7B1268"/>
    <w:pPr>
      <w:widowControl/>
      <w:spacing w:after="160" w:line="240" w:lineRule="exact"/>
    </w:pPr>
    <w:rPr>
      <w:sz w:val="20"/>
      <w:vertAlign w:val="superscript"/>
      <w:lang w:val="en-GB"/>
    </w:rPr>
  </w:style>
  <w:style w:type="paragraph" w:customStyle="1" w:styleId="Corps">
    <w:name w:val="Corps"/>
    <w:link w:val="CorpsChar"/>
    <w:rsid w:val="007B1268"/>
    <w:pPr>
      <w:pBdr>
        <w:top w:val="nil"/>
        <w:left w:val="nil"/>
        <w:bottom w:val="nil"/>
        <w:right w:val="nil"/>
        <w:between w:val="nil"/>
        <w:bar w:val="nil"/>
      </w:pBdr>
    </w:pPr>
    <w:rPr>
      <w:rFonts w:eastAsia="Arial Unicode MS" w:cs="Arial Unicode MS"/>
      <w:color w:val="000000"/>
      <w:sz w:val="24"/>
      <w:szCs w:val="24"/>
      <w:u w:color="000000"/>
      <w:bdr w:val="nil"/>
      <w:lang w:val="ro-RO"/>
      <w14:textOutline w14:w="0" w14:cap="flat" w14:cmpd="sng" w14:algn="ctr">
        <w14:noFill/>
        <w14:prstDash w14:val="solid"/>
        <w14:bevel/>
      </w14:textOutline>
    </w:rPr>
  </w:style>
  <w:style w:type="character" w:customStyle="1" w:styleId="CorpsChar">
    <w:name w:val="Corps Char"/>
    <w:basedOn w:val="DefaultParagraphFont"/>
    <w:link w:val="Corps"/>
    <w:rsid w:val="007B1268"/>
    <w:rPr>
      <w:rFonts w:eastAsia="Arial Unicode MS" w:cs="Arial Unicode MS"/>
      <w:color w:val="000000"/>
      <w:sz w:val="24"/>
      <w:szCs w:val="24"/>
      <w:u w:color="000000"/>
      <w:bdr w:val="nil"/>
      <w:lang w:val="ro-RO"/>
      <w14:textOutline w14:w="0" w14:cap="flat" w14:cmpd="sng" w14:algn="ctr">
        <w14:noFill/>
        <w14:prstDash w14:val="solid"/>
        <w14:bevel/>
      </w14:textOutline>
    </w:rPr>
  </w:style>
  <w:style w:type="paragraph" w:styleId="Revision">
    <w:name w:val="Revision"/>
    <w:hidden/>
    <w:uiPriority w:val="99"/>
    <w:semiHidden/>
    <w:rsid w:val="00A74482"/>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34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3853</Words>
  <Characters>22882</Characters>
  <Application>Microsoft Office Word</Application>
  <DocSecurity>0</DocSecurity>
  <Lines>486</Lines>
  <Paragraphs>232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GHERMAN Laura-Mirona</cp:lastModifiedBy>
  <cp:revision>2</cp:revision>
  <cp:lastPrinted>2004-11-19T15:42:00Z</cp:lastPrinted>
  <dcterms:created xsi:type="dcterms:W3CDTF">2026-03-12T13:29:00Z</dcterms:created>
  <dcterms:modified xsi:type="dcterms:W3CDTF">2026-03-12T13:29:00Z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B10-0155/2026</vt:lpwstr>
  </property>
  <property fmtid="{D5CDD505-2E9C-101B-9397-08002B2CF9AE}" pid="4" name="&lt;Type&gt;">
    <vt:lpwstr>RR</vt:lpwstr>
  </property>
</Properties>
</file>