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C56A28" w14:paraId="4BE55450" w14:textId="77777777" w:rsidTr="0010095E">
        <w:trPr>
          <w:trHeight w:hRule="exact" w:val="1418"/>
        </w:trPr>
        <w:tc>
          <w:tcPr>
            <w:tcW w:w="6804" w:type="dxa"/>
            <w:shd w:val="clear" w:color="auto" w:fill="auto"/>
            <w:vAlign w:val="center"/>
          </w:tcPr>
          <w:p w14:paraId="5AF96519" w14:textId="77777777" w:rsidR="00751A4A" w:rsidRPr="00C56A28" w:rsidRDefault="003D27BA" w:rsidP="0010095E">
            <w:pPr>
              <w:pStyle w:val="EPName"/>
            </w:pPr>
            <w:r w:rsidRPr="00C56A28">
              <w:t>Európsky parlament</w:t>
            </w:r>
          </w:p>
          <w:p w14:paraId="2CA84FFE" w14:textId="77777777" w:rsidR="00751A4A" w:rsidRPr="00C56A28" w:rsidRDefault="005F1B17" w:rsidP="005F1B17">
            <w:pPr>
              <w:pStyle w:val="EPTerm"/>
              <w:rPr>
                <w:rStyle w:val="HideTWBExt"/>
                <w:noProof w:val="0"/>
                <w:vanish w:val="0"/>
                <w:color w:val="auto"/>
              </w:rPr>
            </w:pPr>
            <w:r w:rsidRPr="00C56A28">
              <w:t>2024</w:t>
            </w:r>
            <w:r w:rsidR="00817416" w:rsidRPr="00C56A28">
              <w:t>-202</w:t>
            </w:r>
            <w:r w:rsidRPr="00C56A28">
              <w:t>9</w:t>
            </w:r>
          </w:p>
        </w:tc>
        <w:tc>
          <w:tcPr>
            <w:tcW w:w="2268" w:type="dxa"/>
            <w:shd w:val="clear" w:color="auto" w:fill="auto"/>
          </w:tcPr>
          <w:p w14:paraId="501189EE" w14:textId="77777777" w:rsidR="00751A4A" w:rsidRPr="00C56A28" w:rsidRDefault="00187494" w:rsidP="0010095E">
            <w:pPr>
              <w:pStyle w:val="EPLogo"/>
            </w:pPr>
            <w:r w:rsidRPr="00C56A28">
              <w:rPr>
                <w:noProof/>
                <w:lang w:eastAsia="ja-JP"/>
              </w:rPr>
              <w:drawing>
                <wp:inline distT="0" distB="0" distL="0" distR="0" wp14:anchorId="6005BCD3" wp14:editId="5729CA56">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7E06DA2" w14:textId="77777777" w:rsidR="00D058B8" w:rsidRPr="00C56A28" w:rsidRDefault="00D058B8" w:rsidP="004C5D52">
      <w:pPr>
        <w:pStyle w:val="LineTop"/>
      </w:pPr>
    </w:p>
    <w:p w14:paraId="37DAC142" w14:textId="77777777" w:rsidR="00680577" w:rsidRPr="00C56A28" w:rsidRDefault="003D27BA" w:rsidP="00680577">
      <w:pPr>
        <w:pStyle w:val="EPBodyTA1"/>
      </w:pPr>
      <w:r w:rsidRPr="00C56A28">
        <w:t>PRIJATÉ TEXTY</w:t>
      </w:r>
    </w:p>
    <w:p w14:paraId="5E34DFE9" w14:textId="77777777" w:rsidR="00D058B8" w:rsidRPr="00C56A28" w:rsidRDefault="00D058B8" w:rsidP="00D058B8">
      <w:pPr>
        <w:pStyle w:val="LineBottom"/>
      </w:pPr>
    </w:p>
    <w:p w14:paraId="2D7ECCCE" w14:textId="6E397FF5" w:rsidR="003D27BA" w:rsidRPr="00C56A28" w:rsidRDefault="003D27BA" w:rsidP="003D27BA">
      <w:pPr>
        <w:pStyle w:val="ATHeading1"/>
      </w:pPr>
      <w:bookmarkStart w:id="0" w:name="TANumber"/>
      <w:r w:rsidRPr="00C56A28">
        <w:t>P10_TA(2026)00</w:t>
      </w:r>
      <w:r w:rsidR="00400352">
        <w:t>86</w:t>
      </w:r>
      <w:bookmarkEnd w:id="0"/>
    </w:p>
    <w:p w14:paraId="7EB11777" w14:textId="48142812" w:rsidR="003D27BA" w:rsidRPr="00C56A28" w:rsidRDefault="003D27BA" w:rsidP="003D27BA">
      <w:pPr>
        <w:pStyle w:val="ATHeading2"/>
      </w:pPr>
      <w:bookmarkStart w:id="1" w:name="title"/>
      <w:r w:rsidRPr="00C56A28">
        <w:t>Multilaterálne rokovania pred blížiacou sa 14. ministerskou konferenciou WTO v Yaoundé v</w:t>
      </w:r>
      <w:r w:rsidR="009328D4" w:rsidRPr="00C56A28">
        <w:t> </w:t>
      </w:r>
      <w:r w:rsidRPr="00C56A28">
        <w:t>dňoch</w:t>
      </w:r>
      <w:r w:rsidR="009328D4" w:rsidRPr="00C56A28">
        <w:t xml:space="preserve"> </w:t>
      </w:r>
      <w:r w:rsidRPr="00C56A28">
        <w:t>26. – 29. marca 2026</w:t>
      </w:r>
      <w:bookmarkEnd w:id="1"/>
    </w:p>
    <w:p w14:paraId="6ADE3F6B" w14:textId="77777777" w:rsidR="003D27BA" w:rsidRPr="00C56A28" w:rsidRDefault="003D27BA" w:rsidP="003D27BA">
      <w:pPr>
        <w:rPr>
          <w:i/>
          <w:vanish/>
        </w:rPr>
      </w:pPr>
      <w:r w:rsidRPr="00C56A28">
        <w:rPr>
          <w:i/>
        </w:rPr>
        <w:fldChar w:fldCharType="begin"/>
      </w:r>
      <w:r w:rsidRPr="00C56A28">
        <w:rPr>
          <w:i/>
        </w:rPr>
        <w:instrText xml:space="preserve"> TC"(</w:instrText>
      </w:r>
      <w:bookmarkStart w:id="2" w:name="DocNumber"/>
      <w:r w:rsidRPr="00C56A28">
        <w:rPr>
          <w:i/>
        </w:rPr>
        <w:instrText>B10-0155/2026</w:instrText>
      </w:r>
      <w:bookmarkEnd w:id="2"/>
      <w:r w:rsidRPr="00C56A28">
        <w:rPr>
          <w:i/>
        </w:rPr>
        <w:instrText xml:space="preserve">)"\l3 \n&gt; \* MERGEFORMAT </w:instrText>
      </w:r>
      <w:r w:rsidRPr="00C56A28">
        <w:rPr>
          <w:i/>
        </w:rPr>
        <w:fldChar w:fldCharType="end"/>
      </w:r>
    </w:p>
    <w:p w14:paraId="6B33CA34" w14:textId="77777777" w:rsidR="003D27BA" w:rsidRPr="00C56A28" w:rsidRDefault="003D27BA" w:rsidP="003D27BA">
      <w:pPr>
        <w:rPr>
          <w:vanish/>
        </w:rPr>
      </w:pPr>
      <w:bookmarkStart w:id="3" w:name="PE"/>
      <w:r w:rsidRPr="00C56A28">
        <w:rPr>
          <w:vanish/>
        </w:rPr>
        <w:t>PE781.228</w:t>
      </w:r>
      <w:bookmarkEnd w:id="3"/>
    </w:p>
    <w:p w14:paraId="3CE1211B" w14:textId="4B9CB2C5" w:rsidR="003D27BA" w:rsidRPr="00C56A28" w:rsidRDefault="003D27BA" w:rsidP="003D27BA">
      <w:pPr>
        <w:pStyle w:val="ATHeading3"/>
      </w:pPr>
      <w:bookmarkStart w:id="4" w:name="Sujet"/>
      <w:r w:rsidRPr="00C56A28">
        <w:t>Uznesenie Európskeho parlamentu z</w:t>
      </w:r>
      <w:r w:rsidR="00B270FB" w:rsidRPr="00C56A28">
        <w:t xml:space="preserve"> 12</w:t>
      </w:r>
      <w:r w:rsidRPr="00C56A28">
        <w:t xml:space="preserve">. </w:t>
      </w:r>
      <w:r w:rsidR="00B270FB" w:rsidRPr="00C56A28">
        <w:t>marca</w:t>
      </w:r>
      <w:r w:rsidRPr="00C56A28">
        <w:t xml:space="preserve"> 2026 o multilaterálnych rokovaniach pred blížiacou sa 14. Konferenciou ministrov WTO v Yaoundé v dňoch 26. až 29. marca 2026 </w:t>
      </w:r>
      <w:bookmarkStart w:id="5" w:name="References"/>
      <w:bookmarkEnd w:id="4"/>
      <w:r w:rsidRPr="00C56A28">
        <w:t>(2025/2875(RSP))</w:t>
      </w:r>
      <w:bookmarkEnd w:id="5"/>
    </w:p>
    <w:p w14:paraId="1CECCA5D" w14:textId="77777777" w:rsidR="00B34461" w:rsidRPr="00C56A28" w:rsidRDefault="00B34461" w:rsidP="00C56A28">
      <w:pPr>
        <w:pStyle w:val="Corps"/>
        <w:spacing w:before="480" w:after="240"/>
        <w:rPr>
          <w:rFonts w:eastAsia="Times New Roman"/>
          <w:i/>
          <w:iCs/>
          <w:bdr w:val="none" w:sz="0" w:space="0" w:color="auto"/>
        </w:rPr>
      </w:pPr>
      <w:bookmarkStart w:id="6" w:name="TextBodyBegin"/>
      <w:bookmarkEnd w:id="6"/>
      <w:r w:rsidRPr="00C56A28">
        <w:rPr>
          <w:i/>
          <w:bdr w:val="none" w:sz="0" w:space="0" w:color="auto"/>
        </w:rPr>
        <w:t>Európsky parlament,</w:t>
      </w:r>
    </w:p>
    <w:p w14:paraId="257B6795" w14:textId="77777777" w:rsidR="00B34461" w:rsidRPr="00C56A28" w:rsidRDefault="00B34461" w:rsidP="00B34461">
      <w:pPr>
        <w:pStyle w:val="NormalHanging12a"/>
      </w:pPr>
      <w:r w:rsidRPr="00C56A28">
        <w:t>–</w:t>
      </w:r>
      <w:r w:rsidRPr="00C56A28">
        <w:tab/>
        <w:t>so zreteľom na Dohodu z Marrákešu z 15. apríla 1994 o založení Svetovej obchodnej organizácie (ďalej len „WTO“),</w:t>
      </w:r>
    </w:p>
    <w:p w14:paraId="0A4184E4" w14:textId="77777777" w:rsidR="00B34461" w:rsidRPr="00C56A28" w:rsidRDefault="00B34461" w:rsidP="00B34461">
      <w:pPr>
        <w:pStyle w:val="NormalHanging12a"/>
      </w:pPr>
      <w:r w:rsidRPr="00C56A28">
        <w:t>–</w:t>
      </w:r>
      <w:r w:rsidRPr="00C56A28">
        <w:tab/>
        <w:t>so zreteľom na ministerské vyhlásenie prijaté 14. novembra 2001 na Konferencii ministrov WTO v Dauhe,</w:t>
      </w:r>
    </w:p>
    <w:p w14:paraId="0E93D66E" w14:textId="77777777" w:rsidR="00B34461" w:rsidRPr="00C56A28" w:rsidRDefault="00B34461" w:rsidP="00B34461">
      <w:pPr>
        <w:pStyle w:val="NormalHanging12a"/>
      </w:pPr>
      <w:r w:rsidRPr="00C56A28">
        <w:t>–</w:t>
      </w:r>
      <w:r w:rsidRPr="00C56A28">
        <w:tab/>
        <w:t>so zreteľom na svoje predchádzajúce uznesenia o WTO, najmä na svoje uznesenia z 8. februára 2024 o multilaterálnych rokovaniach pred blížiacou sa 13. Konferenciou ministrov WTO v Abú Zabí</w:t>
      </w:r>
      <w:r w:rsidRPr="00C56A28">
        <w:rPr>
          <w:vertAlign w:val="superscript"/>
        </w:rPr>
        <w:footnoteReference w:id="1"/>
      </w:r>
      <w:r w:rsidRPr="00C56A28">
        <w:t>, z 25. novembra 2021 o multilaterálnych rokovaniach pred blížiacou sa 12. Konferenciou ministrov WTO v Ženeve</w:t>
      </w:r>
      <w:r w:rsidRPr="00C56A28">
        <w:rPr>
          <w:vertAlign w:val="superscript"/>
        </w:rPr>
        <w:footnoteReference w:id="2"/>
      </w:r>
      <w:r w:rsidRPr="00C56A28">
        <w:t>, z 29. novembra 2018 s názvom WTO: ďalší postup</w:t>
      </w:r>
      <w:r w:rsidRPr="00C56A28">
        <w:rPr>
          <w:vertAlign w:val="superscript"/>
        </w:rPr>
        <w:footnoteReference w:id="3"/>
      </w:r>
      <w:r w:rsidRPr="00C56A28">
        <w:t xml:space="preserve"> a z 28. novembra 2019 o kríze Odvolacieho orgánu WTO</w:t>
      </w:r>
      <w:r w:rsidRPr="00C56A28">
        <w:rPr>
          <w:vertAlign w:val="superscript"/>
        </w:rPr>
        <w:footnoteReference w:id="4"/>
      </w:r>
      <w:r w:rsidRPr="00C56A28">
        <w:t>,</w:t>
      </w:r>
    </w:p>
    <w:p w14:paraId="5895E4E5" w14:textId="77777777" w:rsidR="00B34461" w:rsidRPr="00C56A28" w:rsidRDefault="00B34461" w:rsidP="00B34461">
      <w:pPr>
        <w:pStyle w:val="NormalHanging12a"/>
      </w:pPr>
      <w:r w:rsidRPr="00C56A28">
        <w:t>–</w:t>
      </w:r>
      <w:r w:rsidRPr="00C56A28">
        <w:tab/>
        <w:t>so zreteľom na výsledné dokumenty prijaté konsenzom na výročných zasadnutiach Parlamentnej konferencie o WTO 25. februára 2024 v Abú Zabí, 7. decembra 2018 v Ženeve a 10. decembra 2017 v Buenos Aires,</w:t>
      </w:r>
    </w:p>
    <w:p w14:paraId="097B021B" w14:textId="77777777" w:rsidR="00B34461" w:rsidRPr="00C56A28" w:rsidRDefault="00B34461" w:rsidP="00B34461">
      <w:pPr>
        <w:pStyle w:val="NormalHanging12a"/>
      </w:pPr>
      <w:r w:rsidRPr="00C56A28">
        <w:t>–</w:t>
      </w:r>
      <w:r w:rsidRPr="00C56A28">
        <w:tab/>
        <w:t>so zreteľom na výsledky 13. Konferencie ministrov WTO, ktorá sa konala vo februári 2024 v Abú Zabí a ktorá zahŕňala prijatie ministerského vyhlásenia z Abú Zabí, v ktorom sa spája obchod s Agendou OSN do roku 2030, a pristúpenie Komor a Východného Timoru k WTO, ale nezahŕňala dohody o kľúčových oblastiach, ako sú rybolovné dotácie, poľnohospodárstvo a reforma riešenia sporov,</w:t>
      </w:r>
    </w:p>
    <w:p w14:paraId="4F0C8246" w14:textId="77777777" w:rsidR="00B34461" w:rsidRPr="00C56A28" w:rsidRDefault="00B34461" w:rsidP="00B34461">
      <w:pPr>
        <w:pStyle w:val="NormalHanging12a"/>
      </w:pPr>
      <w:r w:rsidRPr="00C56A28">
        <w:t>–</w:t>
      </w:r>
      <w:r w:rsidRPr="00C56A28">
        <w:tab/>
        <w:t xml:space="preserve">so zreteľom na to, že 15. septembra 2025 nadobudla platnosť Dohoda WTO o </w:t>
      </w:r>
      <w:r w:rsidRPr="00C56A28">
        <w:lastRenderedPageBreak/>
        <w:t>rybolovných dotáciách, ktorá zaväzuje členov k obmedzeniu ročných výdavkov vo výške miliárd dolárov na najškodlivejšie dotácie, ktoré prispievajú k vyčerpaniu zásob morských populácií rýb,</w:t>
      </w:r>
    </w:p>
    <w:p w14:paraId="2DEEA7AC" w14:textId="77777777" w:rsidR="00B34461" w:rsidRPr="00C56A28" w:rsidRDefault="00B34461" w:rsidP="00B34461">
      <w:pPr>
        <w:pStyle w:val="NormalHanging12a"/>
      </w:pPr>
      <w:r w:rsidRPr="00C56A28">
        <w:t>–</w:t>
      </w:r>
      <w:r w:rsidRPr="00C56A28">
        <w:tab/>
        <w:t>so zreteľom na ciele OSN v oblasti udržateľného rozvoja,</w:t>
      </w:r>
    </w:p>
    <w:p w14:paraId="37A34F12" w14:textId="77777777" w:rsidR="00B34461" w:rsidRPr="00C56A28" w:rsidRDefault="00B34461" w:rsidP="00B34461">
      <w:pPr>
        <w:pStyle w:val="NormalHanging12a"/>
      </w:pPr>
      <w:r w:rsidRPr="00C56A28">
        <w:t>–</w:t>
      </w:r>
      <w:r w:rsidRPr="00C56A28">
        <w:tab/>
        <w:t>so zreteľom na Parížsku dohodu prijatú na základe Rámcového dohovoru Organizácie Spojených národov o zmene klímy, ktorá je v platnosti od novembra 2016,</w:t>
      </w:r>
    </w:p>
    <w:p w14:paraId="0F1D3A5C" w14:textId="77777777" w:rsidR="00B34461" w:rsidRPr="00C56A28" w:rsidRDefault="00B34461" w:rsidP="00B34461">
      <w:pPr>
        <w:pStyle w:val="NormalHanging12a"/>
      </w:pPr>
      <w:r w:rsidRPr="00C56A28">
        <w:t>–</w:t>
      </w:r>
      <w:r w:rsidRPr="00C56A28">
        <w:tab/>
        <w:t>so zreteľom na oznámenie Komisie z 18. februára 2021 s názvom Preskúmanie obchodnej politiky – otvorená, udržateľná a asertívna obchodná politika a na jeho prílohu s názvom Reformovanie WTO: smerom k udržateľnému a účinnému multilaterálnemu obchodnému systému (COM(2021)0066),</w:t>
      </w:r>
    </w:p>
    <w:p w14:paraId="6F54A693" w14:textId="77777777" w:rsidR="00B34461" w:rsidRPr="00C56A28" w:rsidRDefault="00B34461" w:rsidP="00B34461">
      <w:pPr>
        <w:pStyle w:val="NormalHanging12a"/>
      </w:pPr>
      <w:r w:rsidRPr="00C56A28">
        <w:t>–</w:t>
      </w:r>
      <w:r w:rsidRPr="00C56A28">
        <w:tab/>
        <w:t>so zreteľom na článok 136 ods. 2 rokovacieho poriadku,</w:t>
      </w:r>
    </w:p>
    <w:p w14:paraId="1D87365D" w14:textId="77777777" w:rsidR="00B34461" w:rsidRPr="00C56A28" w:rsidRDefault="00B34461" w:rsidP="00B34461">
      <w:pPr>
        <w:pStyle w:val="NormalHanging12a"/>
      </w:pPr>
      <w:r w:rsidRPr="00C56A28">
        <w:t>–</w:t>
      </w:r>
      <w:r w:rsidRPr="00C56A28">
        <w:tab/>
        <w:t>so zreteľom na návrh uznesenia Výboru pre medzinárodný obchod,</w:t>
      </w:r>
    </w:p>
    <w:p w14:paraId="673D430F" w14:textId="77777777" w:rsidR="00B34461" w:rsidRPr="00C56A28" w:rsidRDefault="00B34461" w:rsidP="00B34461">
      <w:pPr>
        <w:pStyle w:val="NormalHanging12a"/>
      </w:pPr>
      <w:r w:rsidRPr="00C56A28">
        <w:t>A.</w:t>
      </w:r>
      <w:r w:rsidRPr="00C56A28">
        <w:tab/>
        <w:t xml:space="preserve">keďže WTO bola vytvorená s cieľom pokračovať v liberalizácii obchodu s tovarom a so službami, posilňovať </w:t>
      </w:r>
      <w:proofErr w:type="spellStart"/>
      <w:r w:rsidRPr="00C56A28">
        <w:t>multilateralizmus</w:t>
      </w:r>
      <w:proofErr w:type="spellEnd"/>
      <w:r w:rsidRPr="00C56A28">
        <w:t xml:space="preserve"> a podporovať spravodlivý, otvorený, inkluzívny, a nediskriminačný multilaterálny obchodný systém založený na pravidlách s cieľom uľahčiť výmenu tovaru a služieb, poskytnúť príležitosti na zamestnanosť, rast a prosperitu a zlepšiť blahobyt ľudí na celom svete; keďže celkovým cieľom obchodnej politiky EÚ je prispievať k harmonickému rozvoju svetového obchodu, k postupnému odstraňovaniu obmedzení v medzinárodnom obchode a v oblasti priamych zahraničných investícií, ako aj k znižovaniu colných a iných prekážok; keďže hlavným mandátom WTO je zabezpečiť prístup na trh, predvídateľnosť a právnu istotu v medzinárodnom obchode a táto organizácia by sa nemala premeniť na všeobecné politické fórum nad rámec svojich hlavných obchodných funkcií; keďže obchod je životne dôležitý a kľúčový nástroj na podporu a doplnenie úsilia o presadzovanie udržateľného rastu a zlepšovanie životnej úrovne, pričom zabezpečuje plnú a kvalitnejšiu zamestnanosť a veľký a neprestajne rastúci objem reálneho príjmu v súlade s cieľom udržateľného rozvoja;</w:t>
      </w:r>
    </w:p>
    <w:p w14:paraId="344275E9" w14:textId="77777777" w:rsidR="00B34461" w:rsidRPr="00C56A28" w:rsidRDefault="00B34461" w:rsidP="00B34461">
      <w:pPr>
        <w:pStyle w:val="NormalHanging12a"/>
      </w:pPr>
      <w:r w:rsidRPr="00C56A28">
        <w:t>B.</w:t>
      </w:r>
      <w:r w:rsidRPr="00C56A28">
        <w:tab/>
        <w:t xml:space="preserve">keďže multilaterálny obchodný systém čelí vážnym politickým a inštitucionálnym výzvam; keďže tieto výzvy vyplývajú nielen z inštitucionálnych nedostatkov, ale ak zo šírenia jednostranných a protekcionistických opatrení vrátane vývozných obmedzení, diskriminačných dotácií a nespravodlivých obchodných praktík, ktoré oslabujú dôveru, </w:t>
      </w:r>
      <w:proofErr w:type="spellStart"/>
      <w:r w:rsidRPr="00C56A28">
        <w:t>fragmentujú</w:t>
      </w:r>
      <w:proofErr w:type="spellEnd"/>
      <w:r w:rsidRPr="00C56A28">
        <w:t xml:space="preserve"> globálne hodnotové reťazce a poškodzujú svetové hospodárstvo a prosperitu; keďže súčasné otrasy v globálnom obchode spôsobujú obrovskú neistotu a hospodárske náklady na celom svete, čo jasne dokazuje, že predvídateľné, stabilné a spravodlivé pravidlá sú nevyhnutné na rozvoj obchodu;</w:t>
      </w:r>
    </w:p>
    <w:p w14:paraId="74B22EDA" w14:textId="130BEB8E" w:rsidR="00B34461" w:rsidRPr="00C56A28" w:rsidRDefault="00B34461" w:rsidP="00B34461">
      <w:pPr>
        <w:pStyle w:val="NormalHanging12a"/>
        <w:rPr>
          <w:bCs/>
          <w:iCs/>
        </w:rPr>
      </w:pPr>
      <w:r w:rsidRPr="00C56A28">
        <w:t>C.</w:t>
      </w:r>
      <w:r w:rsidRPr="00C56A28">
        <w:tab/>
        <w:t>keďže multilaterálny obchodný systém je stále veľmi živý a aktívny, pričom 72</w:t>
      </w:r>
      <w:r w:rsidR="00B270FB" w:rsidRPr="00C56A28">
        <w:t> </w:t>
      </w:r>
      <w:r w:rsidRPr="00C56A28">
        <w:t>% globálneho obchodu sa v súčasnosti stále uskutočňuje podľa pravidiel týkajúcich sa štatútu doložky najvyšších výhod; keďže to dokazuje, že WTO naďalej poskytuje životne dôležitý rámec predvídateľnosti a stability svetového obchodu a že ochrana jej základných zásad a pravidiel je aj naďalej kľúčová;</w:t>
      </w:r>
    </w:p>
    <w:p w14:paraId="72BC5EC6" w14:textId="77777777" w:rsidR="00B34461" w:rsidRPr="00C56A28" w:rsidRDefault="00B34461" w:rsidP="00B34461">
      <w:pPr>
        <w:pStyle w:val="NormalHanging12a"/>
      </w:pPr>
      <w:r w:rsidRPr="00C56A28">
        <w:t>D.</w:t>
      </w:r>
      <w:r w:rsidRPr="00C56A28">
        <w:tab/>
        <w:t xml:space="preserve">keďže spolupráca a angažovanosť s rozvojovými krajinami je nevyhnutná na zachovanie multilaterálneho poriadku založeného na pravidlách; keďže takáto </w:t>
      </w:r>
      <w:r w:rsidRPr="00C56A28">
        <w:lastRenderedPageBreak/>
        <w:t>spolupráca by mala byť založená na vzájomnom rešpekte a skutočnom záväzku podporovať medzinárodnú spoluprácu;</w:t>
      </w:r>
    </w:p>
    <w:p w14:paraId="3F8CBC41" w14:textId="77777777" w:rsidR="00B34461" w:rsidRPr="00C56A28" w:rsidRDefault="00B34461" w:rsidP="00B34461">
      <w:pPr>
        <w:pStyle w:val="NormalHanging12a"/>
      </w:pPr>
      <w:r w:rsidRPr="00C56A28">
        <w:t>E.</w:t>
      </w:r>
      <w:r w:rsidRPr="00C56A28">
        <w:tab/>
        <w:t>keďže za posledných 30 rokov sa zmenilo prostredie globálneho obchodu, a to aj vďaka hospodárskemu pokroku kľúčových krajín G20 a zmenám ich relatívnej váhy v celosvetovom obchode, ako aj vďaka zvýšenému a rôznorodému členstvu vo WTO; keďže WTO sa snažila zachytiť novú hospodársku a obchodnú realitu, a preto nebola schopná realizovať ambiciózny program vzhľadom na široké členstvo a rôznorodosť záujmov; keďže globálny obchodný systém je vystavený vážnemu tlaku, ktorý vyplýva z rastúceho protekcionizmu obchodných politík USA, ale aj z netrhových politík a postupov Číny, ktoré vytvárajú nadmernú kapacitu a deformácie trhu v systéme;</w:t>
      </w:r>
    </w:p>
    <w:p w14:paraId="151ED9DD" w14:textId="77777777" w:rsidR="00B34461" w:rsidRPr="00C56A28" w:rsidRDefault="00B34461" w:rsidP="00B34461">
      <w:pPr>
        <w:pStyle w:val="NormalHanging12a"/>
        <w:rPr>
          <w:bCs/>
          <w:iCs/>
        </w:rPr>
      </w:pPr>
      <w:r w:rsidRPr="00C56A28">
        <w:t>F.</w:t>
      </w:r>
      <w:r w:rsidRPr="00C56A28">
        <w:tab/>
        <w:t>keďže WTO je jedinečná multilaterálna organizácia v tom zmysle, že každý člen sa zúčastňuje za rovnakých podmienok, vytvára a riadi záväzné pravidlá obchodu medzi svojimi členmi a je založená na právne záväznom systéme urovnávania sporov; keďže dobre fungujúci multilaterálny obchodný systém založený na pravidlách je nevyhnutný na zabezpečenie konkurencieschopnosti európskeho hospodárstva, posilnenie odolnosti dodávateľského reťazca a podporu strategickej odolnosti EÚ všeobecne;</w:t>
      </w:r>
    </w:p>
    <w:p w14:paraId="5B98BB5D" w14:textId="77777777" w:rsidR="00B34461" w:rsidRPr="00C56A28" w:rsidRDefault="00B34461" w:rsidP="00B34461">
      <w:pPr>
        <w:pStyle w:val="NormalHanging12a"/>
      </w:pPr>
      <w:r w:rsidRPr="00C56A28">
        <w:t>G.</w:t>
      </w:r>
      <w:r w:rsidRPr="00C56A28">
        <w:tab/>
        <w:t>keďže súčasné pravidlá WTO o subvenciách neboli prispôsobené meniacim sa podmienkam v globálnom obchode; keďže zastarané pravidlá neboli schopné obmedziť deformujúce zásahy štátu; keďže spravodlivá hospodárska súťaž a obmedzenie externých vplyvov priemyselných politík sú kľúčovými predpokladmi na dosiahnutie cieľov industrializácie rozvojových krajín;</w:t>
      </w:r>
    </w:p>
    <w:p w14:paraId="0D58D4F3" w14:textId="77777777" w:rsidR="00B34461" w:rsidRPr="00C56A28" w:rsidRDefault="00B34461" w:rsidP="00B34461">
      <w:pPr>
        <w:pStyle w:val="NormalHanging12a"/>
      </w:pPr>
      <w:r w:rsidRPr="00C56A28">
        <w:t>H.</w:t>
      </w:r>
      <w:r w:rsidRPr="00C56A28">
        <w:tab/>
        <w:t>keďže WTO sa musí prispôsobiť týmto novým skutočnostiam a zmodernizovať, aby bola vhodná pre 21. storočie a riešila nové výzvy súvisiace so zelenou a digitálnou transformáciou;</w:t>
      </w:r>
    </w:p>
    <w:p w14:paraId="23EE32EA" w14:textId="77777777" w:rsidR="00B34461" w:rsidRPr="00C56A28" w:rsidRDefault="00B34461" w:rsidP="00B34461">
      <w:pPr>
        <w:pStyle w:val="NormalHanging12a"/>
        <w:rPr>
          <w:bCs/>
          <w:iCs/>
        </w:rPr>
      </w:pPr>
      <w:r w:rsidRPr="00C56A28">
        <w:t>I.</w:t>
      </w:r>
      <w:r w:rsidRPr="00C56A28">
        <w:tab/>
        <w:t>keďže v správe Konferencie Organizácie Spojených národov pre obchod a rozvoj</w:t>
      </w:r>
      <w:r w:rsidRPr="00C56A28">
        <w:rPr>
          <w:bCs/>
          <w:iCs/>
          <w:vertAlign w:val="superscript"/>
        </w:rPr>
        <w:footnoteReference w:id="5"/>
      </w:r>
      <w:r w:rsidRPr="00C56A28">
        <w:t xml:space="preserve"> z roku 2025 sa preukázalo, že na rozdiel od argumentov odporcov moratória na clo z elektronického obchodu by príjmy zo zdaňovania digitálneho hospodárstva boli obmedzené a hrozilo by, že sa tak oslabí konkurencieschopnosť a obchod;</w:t>
      </w:r>
    </w:p>
    <w:p w14:paraId="0423FD2C" w14:textId="77777777" w:rsidR="00B34461" w:rsidRPr="00C56A28" w:rsidRDefault="00B34461" w:rsidP="00B34461">
      <w:pPr>
        <w:pStyle w:val="NormalHanging12a"/>
      </w:pPr>
      <w:r w:rsidRPr="00C56A28">
        <w:t>J.</w:t>
      </w:r>
      <w:r w:rsidRPr="00C56A28">
        <w:tab/>
        <w:t>keďže Dohoda WTO o rybolovných dotáciách, ktorá bola schválená na 12. Konferencii ministrov a nadobudla platnosť v septembri 2025, je vôbec prvou multilaterálnou obchodnou dohodou, ktorej jadrom je environmentálna udržateľnosť, a stanovuje sa v nej záväzný súbor globálnych pravidiel, ktoré majú pomôcť obmedziť škodlivé dotácie vo výške približne 22 miliárd USD ročne, ktoré vlády poskytujú sektoru rybolovu, ako sa ukladá podľa cieľa udržateľného rozvoja 14.6;</w:t>
      </w:r>
    </w:p>
    <w:p w14:paraId="73B4435E" w14:textId="77777777" w:rsidR="00B34461" w:rsidRPr="00C56A28" w:rsidRDefault="00B34461" w:rsidP="00B34461">
      <w:pPr>
        <w:pStyle w:val="NormalHanging12a"/>
      </w:pPr>
      <w:r w:rsidRPr="00C56A28">
        <w:t>K.</w:t>
      </w:r>
      <w:r w:rsidRPr="00C56A28">
        <w:tab/>
        <w:t xml:space="preserve">keďže potravinová bezpečnosť zostáva výzvou, keďže v roku 2022 bolo 258 miliónov ľudí klasifikovaných ako osoby v kríze alebo v ťažších fázach akútnej potravinovej neistoty, pričom v roku 2021 ich bolo 193 miliónov; keďže v Dohode WTO o poľnohospodárstve v rámci Uruguajského kola sa výslovne uznáva dôležitosť zohľadnenia potravinovej bezpečnosti v prebiehajúcich rokovaniach; keďže obchod má </w:t>
      </w:r>
      <w:r w:rsidRPr="00C56A28">
        <w:lastRenderedPageBreak/>
        <w:t>potenciál zlepšiť dostupnosť potravín v regiónoch, kde je obmedzená, a môže tiež prispieť k zlepšeniu ekonomického prístupu k potravinám vytvorením pracovných príležitostí a zvýšením príjmov;</w:t>
      </w:r>
    </w:p>
    <w:p w14:paraId="65896ACD" w14:textId="77777777" w:rsidR="00B34461" w:rsidRPr="00C56A28" w:rsidRDefault="00B34461" w:rsidP="00B34461">
      <w:pPr>
        <w:pStyle w:val="NormalHanging12a"/>
      </w:pPr>
      <w:r w:rsidRPr="00C56A28">
        <w:t>L.</w:t>
      </w:r>
      <w:r w:rsidRPr="00C56A28">
        <w:tab/>
        <w:t>keďže od 11. decembra 2019 už Odvolací orgán WTO nie je funkčný, čo prinieslo zastavenie funkčnej, nezávislej a nestrannej fázy odvolania v procese urovnávania sporov; keďže diskusia o reforme urovnávania sporov vedená sprostredkovateľom od 13. Konferencie ministrov zatiaľ neviedla k uspokojivému výsledku;</w:t>
      </w:r>
    </w:p>
    <w:p w14:paraId="63D32BD6" w14:textId="77777777" w:rsidR="00B34461" w:rsidRPr="00C56A28" w:rsidRDefault="00B34461" w:rsidP="00B34461">
      <w:pPr>
        <w:pStyle w:val="NormalHanging12a"/>
      </w:pPr>
      <w:r w:rsidRPr="00C56A28">
        <w:t>M.</w:t>
      </w:r>
      <w:r w:rsidRPr="00C56A28">
        <w:tab/>
        <w:t>keďže Európsky parlament spolu s Medziparlamentnou úniou zohráva už viac ako 20 rokov kľúčovú úlohu pri vytváraní parlamentného rozmeru WTO prostredníctvom Parlamentnej konferencie o WTO;</w:t>
      </w:r>
    </w:p>
    <w:p w14:paraId="3745AA20" w14:textId="77777777" w:rsidR="00B34461" w:rsidRPr="00C56A28" w:rsidRDefault="00B34461" w:rsidP="00B34461">
      <w:pPr>
        <w:pStyle w:val="NormalHanging12a"/>
      </w:pPr>
      <w:r w:rsidRPr="00C56A28">
        <w:t>N.</w:t>
      </w:r>
      <w:r w:rsidRPr="00C56A28">
        <w:tab/>
        <w:t>keďže počas Verejného fóra WTO, ktoré sa konalo 17. a 18. septembra 2025, zvolávatelia aktívne podporovali väčšie a štruktúrované zapojenie súkromného sektora, pričom uznali jeho zásadnú úlohu pri podpore otvoreného, predvídateľného a inkluzívneho multilaterálneho obchodného systému;</w:t>
      </w:r>
    </w:p>
    <w:p w14:paraId="069C715C" w14:textId="77777777" w:rsidR="00B34461" w:rsidRPr="00C56A28" w:rsidRDefault="00B34461" w:rsidP="00B34461">
      <w:pPr>
        <w:pStyle w:val="NormalHanging12a"/>
      </w:pPr>
      <w:r w:rsidRPr="00C56A28">
        <w:t>O.</w:t>
      </w:r>
      <w:r w:rsidRPr="00C56A28">
        <w:tab/>
        <w:t>keďže 14. Konferencia ministrov WTO sa bude konať od 26. do 29. marca 2026 v Yaoundé v Kamerune;</w:t>
      </w:r>
    </w:p>
    <w:p w14:paraId="3AB580D5" w14:textId="77777777" w:rsidR="00B34461" w:rsidRPr="00C56A28" w:rsidRDefault="00B34461" w:rsidP="00B34461">
      <w:pPr>
        <w:pStyle w:val="NormalHanging12a"/>
      </w:pPr>
      <w:r w:rsidRPr="00C56A28">
        <w:t>1.</w:t>
      </w:r>
      <w:r w:rsidRPr="00C56A28">
        <w:tab/>
        <w:t xml:space="preserve">opakuje svoje plné odhodlanie presadzovať trvalú hodnotu </w:t>
      </w:r>
      <w:proofErr w:type="spellStart"/>
      <w:r w:rsidRPr="00C56A28">
        <w:t>multilateralizmu</w:t>
      </w:r>
      <w:proofErr w:type="spellEnd"/>
      <w:r w:rsidRPr="00C56A28">
        <w:t xml:space="preserve"> a zdôrazňuje, že je nevyhnutný modernizovaný multilaterálny systém na riadenie obchodu; požaduje obchodnú agendu, ktorej základom bude otvorený a spravodlivý obchod založený na pravidlách v prospech všetkých a ktorá prispeje k udržateľnému hospodárskemu rozvoju, čo povedie k posilneniu mieru a bezpečnosti; zdôrazňuje, že WTO by mala podporovať plnenie sociálnych a environmentálnych práv vrátane cieľov udržateľného rozvoja a mala by zabezpečiť, aby multilaterálne dohodnuté a harmonizované pravidlá uplatňovali všetci;</w:t>
      </w:r>
    </w:p>
    <w:p w14:paraId="601C3DE0" w14:textId="77777777" w:rsidR="00B34461" w:rsidRPr="00C56A28" w:rsidRDefault="00B34461" w:rsidP="00B34461">
      <w:pPr>
        <w:pStyle w:val="NormalHanging12a"/>
      </w:pPr>
      <w:r w:rsidRPr="00C56A28">
        <w:t>2.</w:t>
      </w:r>
      <w:r w:rsidRPr="00C56A28">
        <w:tab/>
        <w:t>naliehavo vyzýva všetkých členov WTO, aby sa zaviazali k úspešnému výsledku 14. Konferencie ministrov vzhľadom na existenčné ohrozenie multilaterálneho obchodného systému; domnieva sa, že 14. Konferencia ministrov by mala byť východiskovým bodom pre pokrok a modernizáciu WTO, aby mohla zohrávať úlohu pri riešení výziev 21. storočia; vyzýva WTO, aby namiesto súčasného dvojročného cyklu začala zvolávať výročné Konferencie ministrov, čím by sa posilnilo politické riadenie, zodpovednosť a schopnosť WTO včas reagovať na výzvy globálneho obchodu;</w:t>
      </w:r>
    </w:p>
    <w:p w14:paraId="367E93B1" w14:textId="77777777" w:rsidR="00B34461" w:rsidRPr="00C56A28" w:rsidRDefault="00B34461" w:rsidP="00B34461">
      <w:pPr>
        <w:pStyle w:val="NormalHanging12a"/>
        <w:rPr>
          <w:bCs/>
          <w:i/>
          <w:iCs/>
        </w:rPr>
      </w:pPr>
      <w:r w:rsidRPr="00C56A28">
        <w:rPr>
          <w:b/>
          <w:i/>
        </w:rPr>
        <w:t>Modernizácia WTO</w:t>
      </w:r>
    </w:p>
    <w:p w14:paraId="30F4B48F" w14:textId="77777777" w:rsidR="00B34461" w:rsidRPr="00C56A28" w:rsidRDefault="00B34461" w:rsidP="00B34461">
      <w:pPr>
        <w:pStyle w:val="NormalHanging12a"/>
      </w:pPr>
      <w:r w:rsidRPr="00C56A28">
        <w:t>3.</w:t>
      </w:r>
      <w:r w:rsidRPr="00C56A28">
        <w:tab/>
        <w:t>vyzýva členov WTO, aby prijali komplexný balík na preskúmanie monitorovacích, rokovacích a rozhodovacích funkcií WTO a funkcie urovnávania sporov; plne podporuje proces modernizácie WTO pod vedením sprostredkovateľa a jeho program na 14. Konferenciu ministrov týkajúci sa komplexnej modernizácie a súhlasí s tromi okruhmi navrhnutými sprostredkovateľom, konkrétne s riadením, so spravodlivosťou (rovnaké podmienky a vyvážený obchod) a s „problémami našej doby“; vyzýva na schválenie jasného plánu reforiem počas 14. Konferencie ministrov, aby sa zabezpečilo, že modernizácia bude môcť byť schválená na 15. Konferencii ministrov;</w:t>
      </w:r>
    </w:p>
    <w:p w14:paraId="36BFA1D3" w14:textId="77777777" w:rsidR="00B34461" w:rsidRPr="00C56A28" w:rsidRDefault="00B34461" w:rsidP="00B34461">
      <w:pPr>
        <w:pStyle w:val="NormalHanging12a"/>
      </w:pPr>
      <w:r w:rsidRPr="00C56A28">
        <w:t>4.</w:t>
      </w:r>
      <w:r w:rsidRPr="00C56A28">
        <w:tab/>
        <w:t xml:space="preserve">zdôrazňuje, že predvídateľnosť zostáva základným kameňom multilaterálneho obchodného systému a že základné pravidlá WTO vrátane pravidiel týkajúcich sa </w:t>
      </w:r>
      <w:r w:rsidRPr="00C56A28">
        <w:lastRenderedPageBreak/>
        <w:t>určovania colnej hodnoty, sanitárnych a rastlinolekárskych opatrení, technických prekážok obchodu, uľahčenia obchodu a duševného vlastníctva naďalej poskytujú vládam a podnikom na celom svete základnú právnu istotu;</w:t>
      </w:r>
    </w:p>
    <w:p w14:paraId="70AFE741" w14:textId="77777777" w:rsidR="00B34461" w:rsidRPr="00C56A28" w:rsidRDefault="00B34461" w:rsidP="00B34461">
      <w:pPr>
        <w:pStyle w:val="NormalHanging12a"/>
      </w:pPr>
      <w:r w:rsidRPr="00C56A28">
        <w:t>5.</w:t>
      </w:r>
      <w:r w:rsidRPr="00C56A28">
        <w:tab/>
        <w:t>domnieva sa, že prax stotožňovania konsenzu s jednomyseľnosťou v rozhodovaní 166 členov WTO prispela k paralýze; trvá na tom, že WTO sa musí poučiť od iných medzinárodných organizácií a zaviesť rôzne prístupy v rozhodovaní, ako aj viesť konštruktívnu diskusiu o praxi konsenzu a rozlišovať ho od jednomyseľnosti; zdôrazňuje, že WTO by mala preskúmať možnosť účinnejšieho a pružnejšieho rozhodovania vrátane uplatňovania koncepcie „zodpovedného konsenzu“, v rámci ktorej by sa členovia vyzývali, aby uplatňovali právo veta len v nevyhnutných prípadoch a poskytovali jasné odôvodnenie, čím by sa podporila zodpovednosť a konštruktívna účasť; ďalej zdôrazňuje, že WTO by mala preskúmať aj možnosť zriadenia riadiaceho alebo výkonného orgánu, ktorý by mal osobitnú úlohu pri tvorbe agendy alebo plnil kontrolné funkcie, podobne ako výkonné rady Medzinárodného menového fondu a Svetovej banky;</w:t>
      </w:r>
    </w:p>
    <w:p w14:paraId="27478D05" w14:textId="77777777" w:rsidR="00B34461" w:rsidRPr="00C56A28" w:rsidRDefault="00B34461" w:rsidP="00B34461">
      <w:pPr>
        <w:pStyle w:val="NormalHanging12a"/>
      </w:pPr>
      <w:r w:rsidRPr="00C56A28">
        <w:t>6.</w:t>
      </w:r>
      <w:r w:rsidRPr="00C56A28">
        <w:tab/>
        <w:t>podporuje napredovanie v rokovaniach o mnohostranných dohodách, pričom zároveň zdôrazňuje, že je potrebné vytvoriť jednoduchšiu cestu pre začlenenie viacstranných dohôd do multilaterálnej štruktúry s cieľom zabezpečiť pokrok v oblastiach, ktoré nie sú dostatočne rozvinuté pre všetkých členov; zdôrazňuje, že otvorené viacstranné iniciatívy by mali umožniť všetkým ochotným členom pokračovať; opakovane preto zdôrazňuje svoju výzvu členom WTO, aby zvážili spôsob vytvorenia nového systému, v rámci ktorého by jeden člen alebo skupina nezúčastnených členov nemohli blokovať užšiu spoluprácu z viacstrannej iniciatívy, najmä ak je založená na doložke najvyšších výhod, a jej výhody sa teda vzťahujú na celé členstvo, a na tomto základe vytvorili jednoduchý mechanizmus, ktorý by umožnil začlenenie výsledných dohôd do štruktúry WTO;</w:t>
      </w:r>
    </w:p>
    <w:p w14:paraId="7EF9BB93" w14:textId="77777777" w:rsidR="00B34461" w:rsidRPr="00C56A28" w:rsidRDefault="00B34461" w:rsidP="00B34461">
      <w:pPr>
        <w:pStyle w:val="NormalHanging12a"/>
        <w:rPr>
          <w:i/>
        </w:rPr>
      </w:pPr>
      <w:r w:rsidRPr="00C56A28">
        <w:t>7.</w:t>
      </w:r>
      <w:r w:rsidRPr="00C56A28">
        <w:tab/>
        <w:t>vyjadruje poľutovanie nad nárastom protekcionistických obchodných politík na celom svete, a nad rozhodnutím USA zaviesť dodatočné clá na dovoz od obchodných partnerov vrátane EÚ, čo je odklon od zásady doložky najvyšších výhod bez akéhokoľvek odôvodnenia; vyzýva USA, aby konštruktívne spolupracovali s členmi WTO na posilňovaní, namiesto oslabovania, multilaterálneho obchodného systému, čím preukážu celosvetové vedúce postavenie, a aby dosiahli konkrétne výsledky na 14. Konferencii ministrov; víta skutočnosť, že USA vymenovali veľvyslanca do WTO;</w:t>
      </w:r>
    </w:p>
    <w:p w14:paraId="4D9DF089" w14:textId="77777777" w:rsidR="00B34461" w:rsidRPr="00C56A28" w:rsidRDefault="00B34461" w:rsidP="00B34461">
      <w:pPr>
        <w:pStyle w:val="NormalHanging12a"/>
        <w:rPr>
          <w:bCs/>
          <w:iCs/>
        </w:rPr>
      </w:pPr>
      <w:r w:rsidRPr="00C56A28">
        <w:t>8.</w:t>
      </w:r>
      <w:r w:rsidRPr="00C56A28">
        <w:tab/>
        <w:t>opätovne potvrdzuje, že zásada doložky najvyšších výhod predstavuje základný kameň multilaterálneho obchodného systému; zdôrazňuje jej ústrednú úlohu pri zabezpečovaní nediskriminácie, predvídateľnosti a spravodlivosti v medzinárodnom obchode; zdôrazňuje, že akákoľvek modernizácia WTO by sa mala uskutočniť skôr zmenou systému a nie jeho nerešpektovaním;</w:t>
      </w:r>
    </w:p>
    <w:p w14:paraId="3F21949B" w14:textId="77777777" w:rsidR="00B34461" w:rsidRPr="00C56A28" w:rsidRDefault="00B34461" w:rsidP="00B34461">
      <w:pPr>
        <w:pStyle w:val="NormalHanging12a"/>
        <w:rPr>
          <w:bCs/>
          <w:iCs/>
        </w:rPr>
      </w:pPr>
      <w:r w:rsidRPr="00C56A28">
        <w:t>9.</w:t>
      </w:r>
      <w:r w:rsidRPr="00C56A28">
        <w:tab/>
        <w:t xml:space="preserve">uznáva ambície Indie riešiť dlhodobú otázku verejných zásob na účely potravinovej bezpečnosti, ale vyjadruje poľutovanie nad nesúladom Indie s pozíciami EÚ k moratóriu na elektronický obchod, k rokovaniam o rybolovných dotáciách a všeobecnému pokroku v mnohostranných rokovaniach; vyzýva Indiu, aby umožnila ostatným členom WTO dosiahnuť pokrok vo všetkých týchto otázkach; okrem toho vyjadruje poľutovanie nad skutočnosťou, že India sa postavila proti rozšíreniu mandátu WTO o nové otázky týkajúce sa klímy, práce a rodovej rovnosti; vyzýva Komisiu, aby sa týmito otázkami zaoberala aj v nedávno uzavretej obchodnej dohode medzi EÚ a </w:t>
      </w:r>
      <w:r w:rsidRPr="00C56A28">
        <w:lastRenderedPageBreak/>
        <w:t>Indiou;</w:t>
      </w:r>
    </w:p>
    <w:p w14:paraId="064EDA2D" w14:textId="77777777" w:rsidR="00B34461" w:rsidRPr="00C56A28" w:rsidRDefault="00B34461" w:rsidP="00B34461">
      <w:pPr>
        <w:pStyle w:val="NormalHanging12a"/>
      </w:pPr>
      <w:r w:rsidRPr="00C56A28">
        <w:t>10.</w:t>
      </w:r>
      <w:r w:rsidRPr="00C56A28">
        <w:tab/>
        <w:t>berie na vedomie rozhodnutie Číny vzdať sa výhod osobitného a diferencovaného zaobchádzania v rámci budúcich dohôd WTO, ako to už urobili iní veľkí rozvojoví členovia; vyzýva Čínu, aby zabezpečila, že tento záväzok sa spätne premietne aj do vykonávania platných dohôd WTO;</w:t>
      </w:r>
    </w:p>
    <w:p w14:paraId="1A1497FD" w14:textId="77777777" w:rsidR="00B34461" w:rsidRPr="00C56A28" w:rsidRDefault="00B34461" w:rsidP="00B34461">
      <w:pPr>
        <w:pStyle w:val="NormalHanging12a"/>
      </w:pPr>
      <w:r w:rsidRPr="00C56A28">
        <w:t>11.</w:t>
      </w:r>
      <w:r w:rsidRPr="00C56A28">
        <w:tab/>
        <w:t>pripomína, že rozsiahle využívanie štátom vlastnených podnikov, netransparentných dotácií a štátom vedených priemyselných politík Čínou naďalej vytvára významné nadmerné kapacity a narušenia svetového obchodu; vyjadruje poľutovanie nad tým, že Čína využíva obchod a závislosti ako zbraň, a nad jej systémom kontrol vývozu, ktorý nemá odôvodnenie dvojakého použitia; vyzýva Čínu, aby svoje záväzky vo WTO zosúladila so svojou ekonomickou váhou a aby sa usilovala o vyrovnanie podmienok, riešenie týchto otázok a pomoc pri modernizácii WTO;</w:t>
      </w:r>
    </w:p>
    <w:p w14:paraId="23177BC2" w14:textId="77777777" w:rsidR="00B34461" w:rsidRPr="00C56A28" w:rsidRDefault="00B34461" w:rsidP="00B34461">
      <w:pPr>
        <w:pStyle w:val="NormalHanging12a"/>
      </w:pPr>
      <w:r w:rsidRPr="00C56A28">
        <w:t>12.</w:t>
      </w:r>
      <w:r w:rsidRPr="00C56A28">
        <w:tab/>
        <w:t>zdôrazňuje, že je potrebné, aby podobne zmýšľajúci partneri, ktorí sú odhodlaní udržiavať a posilňovať multilaterálny obchodný poriadok založený na pravidlách, ktorého jadrom je WTO, ešte užšie spolupracovali; trvá na tom, že v tomto náročnom kontexte musí EÚ zostať spoľahlivým partnerom a podporovať obchod založený na pravidlách;</w:t>
      </w:r>
    </w:p>
    <w:p w14:paraId="56F399D1" w14:textId="77777777" w:rsidR="00B34461" w:rsidRPr="00C56A28" w:rsidRDefault="00B34461" w:rsidP="00B34461">
      <w:pPr>
        <w:pStyle w:val="NormalHanging12a"/>
      </w:pPr>
      <w:r w:rsidRPr="00C56A28">
        <w:t>13.</w:t>
      </w:r>
      <w:r w:rsidRPr="00C56A28">
        <w:tab/>
        <w:t>vyzýva členov WTO, aby obnovili plne funkčný, nezávislý, záväzný a dvojstupňový systém riešenia sporov ako nevyhnutný pilier predvídateľnosti, čo zabezpečí, aby sa pravidlá presadzovali prostredníctvom právnych predpisov, a nie jednostrannými opatreniami, bez ohľadu na hospodársku veľkosť alebo moc členov;</w:t>
      </w:r>
    </w:p>
    <w:p w14:paraId="5A60C6AF" w14:textId="77777777" w:rsidR="00B34461" w:rsidRPr="00C56A28" w:rsidRDefault="00B34461" w:rsidP="00B34461">
      <w:pPr>
        <w:pStyle w:val="NormalHanging12a"/>
      </w:pPr>
      <w:r w:rsidRPr="00C56A28">
        <w:t>14.</w:t>
      </w:r>
      <w:r w:rsidRPr="00C56A28">
        <w:tab/>
        <w:t>víta skutočnosť, že 58 členov WTO (pokrývajúcich takmer 60 % svetového obchodu) sa pripojilo k dočasnej dohode o rozhodcovskom konaní o odvolaní (MPIA), ktorá je dočasným opatrením, kým sa opäť nespustí plne funkčný systém riešenia sporov WTO; vyzýva ostatných členov, aby sa pripojili k MPIA a preukázali tak svoj záväzok k spravodlivému a funkčnému systému urovnávania sporov; zdôrazňuje, že dočasná dohoda o rozhodcovskom konaní o odvolaní je dočasným a dobrovoľným riešením a nesmie sa stať trvalou náhradou mnohostranného odvolacieho mechanizmu uplatniteľného na všetkých členov WTO;</w:t>
      </w:r>
    </w:p>
    <w:p w14:paraId="4DB306A8" w14:textId="77777777" w:rsidR="00B34461" w:rsidRPr="00C56A28" w:rsidRDefault="00B34461" w:rsidP="00B34461">
      <w:pPr>
        <w:pStyle w:val="NormalHanging12a"/>
        <w:rPr>
          <w:bCs/>
          <w:i/>
          <w:iCs/>
        </w:rPr>
      </w:pPr>
      <w:r w:rsidRPr="00C56A28">
        <w:rPr>
          <w:b/>
          <w:i/>
        </w:rPr>
        <w:t>Rovnaké podmienky</w:t>
      </w:r>
    </w:p>
    <w:p w14:paraId="68134820" w14:textId="77777777" w:rsidR="00B34461" w:rsidRPr="00C56A28" w:rsidRDefault="00B34461" w:rsidP="00B34461">
      <w:pPr>
        <w:pStyle w:val="NormalHanging12a"/>
      </w:pPr>
      <w:r w:rsidRPr="00C56A28">
        <w:t>15.</w:t>
      </w:r>
      <w:r w:rsidRPr="00C56A28">
        <w:tab/>
        <w:t>trvá na tom, že základom trvalého a dôveryhodného systému je spravodlivosť; konštatuje, že súčasné deformačné zásahy štátu vrátane rozsiahlych priemyselných dotácií a netrhových praktík, ktoré viedli k napätiam medzi členmi a k nákladným pretekom v poskytovaní dotácií, preukázali, že súčasné pravidlá poskytovania dotácií neboli prispôsobené meniacim sa podmienkam v globálnom obchode; trvá na tom, že reforma pravidiel WTO týkajúcich sa priemyselných dotácií a štátnych zásahov musí byť založená na troch vzájomne sa dopĺňajúcich pilieroch: zvýšené požiadavky na transparentnosť a oznamovanie, posilnené a objasnené pravidlá a účinnejšie prostriedky nápravy na riešenie negatívnych účinkov presahovania a nadmernej kapacity; žiada, aby sa tieto témy riešili ako ústredná súčasť modernizácie WTO, rovnako ako iné témy modernizácie; vyjadruje podporu procesu neformálnych diskusií ako prostriedku na zvýšenie spoločného porozumenia medzi členmi WTO a prípravu pôdy na tvorbu pravidiel;</w:t>
      </w:r>
    </w:p>
    <w:p w14:paraId="46C2DF72" w14:textId="77777777" w:rsidR="00B34461" w:rsidRPr="00C56A28" w:rsidRDefault="00B34461" w:rsidP="00B34461">
      <w:pPr>
        <w:pStyle w:val="NormalHanging12a"/>
        <w:rPr>
          <w:bCs/>
          <w:iCs/>
        </w:rPr>
      </w:pPr>
      <w:r w:rsidRPr="00C56A28">
        <w:lastRenderedPageBreak/>
        <w:t>16.</w:t>
      </w:r>
      <w:r w:rsidRPr="00C56A28">
        <w:tab/>
        <w:t>zdôrazňuje, že pravidlá WTO a budúce pravidlá musia byť zlučiteľné s cieľmi Parížskej dohody a iných príslušných mnohostranných environmentálnych dohôd a podporovať prechod na klimaticky neutrálne hospodárstva a takisto účinne riešiť negatívne účinky presahovania, ako sú nadmerná kapacita a uhlíkovo náročné dodávateľské reťazce, a zároveň zabrániť neodôvodneným obchodným obmedzeniam;</w:t>
      </w:r>
    </w:p>
    <w:p w14:paraId="3D0300DD" w14:textId="77777777" w:rsidR="00B34461" w:rsidRPr="00C56A28" w:rsidRDefault="00B34461" w:rsidP="00B34461">
      <w:pPr>
        <w:pStyle w:val="NormalHanging12a"/>
        <w:rPr>
          <w:bCs/>
          <w:i/>
          <w:iCs/>
        </w:rPr>
      </w:pPr>
      <w:r w:rsidRPr="00C56A28">
        <w:rPr>
          <w:b/>
          <w:i/>
        </w:rPr>
        <w:t>Rozvojový rozmer</w:t>
      </w:r>
    </w:p>
    <w:p w14:paraId="37450011" w14:textId="77777777" w:rsidR="00B34461" w:rsidRPr="00C56A28" w:rsidRDefault="00B34461" w:rsidP="00B34461">
      <w:pPr>
        <w:pStyle w:val="NormalHanging12a"/>
      </w:pPr>
      <w:r w:rsidRPr="00C56A28">
        <w:t>17.</w:t>
      </w:r>
      <w:r w:rsidRPr="00C56A28">
        <w:tab/>
        <w:t>víta nadobudnutie platnosti prvej dohody o rybolovných dotáciách v septembri 2025; zdôrazňuje, že je mimoriadne dôležité urýchlene dosiahnuť dohodu aj o pravidlách týkajúcich sa rybolovných dotácií, ktoré prispievajú k nadmernej kapacite a nadmernému rybolovu a ktoré predstavujú viac ako polovicu všetkých dotácií na rybolov, aby sa zabránilo vyčerpaniu morských biologických zdrojov a umožnilo sa ich udržateľné riadenie, pričom sa rešpektuje potreba osobitného a diferencovaného zaobchádzania v súlade s cieľom udržateľného rozvoja 14.6;</w:t>
      </w:r>
    </w:p>
    <w:p w14:paraId="6D206796" w14:textId="77777777" w:rsidR="00B34461" w:rsidRPr="00C56A28" w:rsidRDefault="00B34461" w:rsidP="00B34461">
      <w:pPr>
        <w:pStyle w:val="NormalHanging12a"/>
        <w:rPr>
          <w:bCs/>
          <w:iCs/>
        </w:rPr>
      </w:pPr>
      <w:r w:rsidRPr="00C56A28">
        <w:t>18.</w:t>
      </w:r>
      <w:r w:rsidRPr="00C56A28">
        <w:tab/>
        <w:t>zdôrazňuje potrebu posilniť začleniť rozvojový rozmer WTO, a to aj prostredníctvom procesu modernizácie WTO, uznaním rozmanitosti hospodárskej situácie rozvojových krajín a zabránenia sa univerzálnemu uplatňovaniu osobitného a diferencovaného zaobchádzania a tým, že sa ustanovenia o osobitnom a diferencovanom zaobchádzaní stanú podrobnejšími a budú viac založené na dôkazoch a potrebách, podliehať pravidelnému preskúmaniu vrátane jasných mechanizmov odstupňovania, aby mohli lepšie spĺňať potreby rozvojových krajín vrátane najmenej rozvinutých krajín; okrem toho zdôrazňuje, že sebaurčenie štatútu rozvoja členov nemôže zostať jediným kritériom osobitného a diferencovaného zaobchádzania, a požaduje objektívne, transparentné a pravidelne revidované kritériá, pričom sa zabezpečí primeraná flexibilita pre najchudobnejšie a najzraniteľnejšie krajiny;</w:t>
      </w:r>
    </w:p>
    <w:p w14:paraId="0F32D66A" w14:textId="77777777" w:rsidR="00B34461" w:rsidRPr="00C56A28" w:rsidRDefault="00B34461" w:rsidP="00B34461">
      <w:pPr>
        <w:pStyle w:val="NormalHanging12a"/>
      </w:pPr>
      <w:r w:rsidRPr="00C56A28">
        <w:t>19.</w:t>
      </w:r>
      <w:r w:rsidRPr="00C56A28">
        <w:tab/>
        <w:t>víta ukončenie rokovaní o dohode o uľahčení investovania pre rozvoj s cieľom vytvoriť spravodlivejšie, transparentnejšie, efektívnejšie a predvídateľnejšie prostredie na uľahčenie cezhraničných investícií a účasti rozvojových krajín na globálnych investičných tokoch; víta podporu 128 členov (zo 166) vrátane 91 rozvojových ekonomík (z toho 27 najmenej rozvinutých krajín) a naliehavo žiada zostávajúcich členov, aby zrušili svoj nesúhlas a začlenili túto dohodu do súboru pravidiel WTO do prílohy 4: mnohostranné obchodné dohody</w:t>
      </w:r>
    </w:p>
    <w:p w14:paraId="2C5849CB" w14:textId="77777777" w:rsidR="00B34461" w:rsidRPr="00C56A28" w:rsidRDefault="00B34461" w:rsidP="00B34461">
      <w:pPr>
        <w:pStyle w:val="NormalHanging12a"/>
      </w:pPr>
      <w:r w:rsidRPr="00C56A28">
        <w:t>20.</w:t>
      </w:r>
      <w:r w:rsidRPr="00C56A28">
        <w:tab/>
        <w:t>zdôrazňuje potrebu dosiahnuť pokrok v rokovaniach o poľnohospodárstve s cieľom dosiahnuť dôveryhodné výsledky v otázkach, ako je verejné skladové hospodárstvo na účely potravinovej bezpečnosti, domáca podpora, prístup na trh, bavlna, vývozné obmedzenia a hospodárska súťaž v oblasti vývozu a posilnenie poľnohospodárskeho odvetvia s cieľom reagovať na súčasné výzvy vrátane živobytia na vidieku a environmentálnej udržateľnosti; zdôrazňuje, že diskusie by sa nemali zameriavať len na zníženie domácej podpory, ktorá narúša obchod, ale aj na začlenenie príslušných globálnych výziev vrátane potravinovej bezpečnosti a udržateľnosti do diskusií o poľnohospodárstve;</w:t>
      </w:r>
    </w:p>
    <w:p w14:paraId="5213CDCE" w14:textId="77777777" w:rsidR="00B34461" w:rsidRPr="00C56A28" w:rsidRDefault="00B34461" w:rsidP="00B34461">
      <w:pPr>
        <w:pStyle w:val="NormalHanging12a"/>
        <w:rPr>
          <w:bCs/>
          <w:i/>
          <w:iCs/>
        </w:rPr>
      </w:pPr>
      <w:r w:rsidRPr="00C56A28">
        <w:rPr>
          <w:b/>
          <w:i/>
        </w:rPr>
        <w:t>Digitálny rozmer</w:t>
      </w:r>
    </w:p>
    <w:p w14:paraId="5CCB489A" w14:textId="77777777" w:rsidR="00B34461" w:rsidRPr="00C56A28" w:rsidRDefault="00B34461" w:rsidP="00B34461">
      <w:pPr>
        <w:pStyle w:val="NormalHanging12a"/>
      </w:pPr>
      <w:r w:rsidRPr="00C56A28">
        <w:t>21.</w:t>
      </w:r>
      <w:r w:rsidRPr="00C56A28">
        <w:tab/>
        <w:t xml:space="preserve">vyzýva členov WTO, aby na 14. Konferencii ministrov obnovili pracovný program o elektronickom obchode a moratórium na clá na elektronické prenosy; domnieva sa, že nájdenie trvalého riešenia, pokiaľ ide o nezavádzanie ciel na elektronické prenosy, je </w:t>
      </w:r>
      <w:r w:rsidRPr="00C56A28">
        <w:lastRenderedPageBreak/>
        <w:t>kľúčové pre podniky na celom svete vrátane podnikov v rozvojových krajinách;</w:t>
      </w:r>
    </w:p>
    <w:p w14:paraId="7DAD23F1" w14:textId="77777777" w:rsidR="00B34461" w:rsidRPr="00C56A28" w:rsidRDefault="00B34461" w:rsidP="00B34461">
      <w:pPr>
        <w:pStyle w:val="NormalHanging12a"/>
      </w:pPr>
      <w:r w:rsidRPr="00C56A28">
        <w:t>22.</w:t>
      </w:r>
      <w:r w:rsidRPr="00C56A28">
        <w:tab/>
        <w:t xml:space="preserve">vyzýva členov WTO, aby prioritne podporovali začlenenie Dohody o elektronickom obchode do rámca WTO; poukazuje na to, že v dohode sa stanovujú prvé globálne pravidlá pre digitálny obchod a vytvára sa spravodlivý, predvídateľný a transparentný rámec, ktorý prináša výhody spotrebiteľom a podnikom tým, že uľahčuje cezhraničné transakcie, znižuje prekážky a podporuje inovácie a dôveru; zdôrazňuje, že dohoda je navrhnutá tak, aby prinášala prospech rozvojovým a najmenej rozvinutým krajinám rovnako ako vyspelým ekonomikám; víta iniciatívy a programy dohody na budovanie kapacít, ktoré podporujú úsilie rozvojových a najmenej rozvinutých krajín využiť príležitosti, ktoré ponúka digitálny obchod; pripomína význam dohody v záujme podpory </w:t>
      </w:r>
      <w:proofErr w:type="spellStart"/>
      <w:r w:rsidRPr="00C56A28">
        <w:t>mikropodnikov</w:t>
      </w:r>
      <w:proofErr w:type="spellEnd"/>
      <w:r w:rsidRPr="00C56A28">
        <w:t xml:space="preserve"> a malých a stredných podnikov; podporuje úsilie ostatných zvolávateľov o dosiahnutie rýchleho vykonávania dohody;</w:t>
      </w:r>
    </w:p>
    <w:p w14:paraId="7648D93F" w14:textId="77777777" w:rsidR="00B34461" w:rsidRPr="00C56A28" w:rsidRDefault="00B34461" w:rsidP="00B34461">
      <w:pPr>
        <w:pStyle w:val="NormalHanging12a"/>
        <w:rPr>
          <w:bCs/>
          <w:iCs/>
        </w:rPr>
      </w:pPr>
      <w:r w:rsidRPr="00C56A28">
        <w:t>23.</w:t>
      </w:r>
      <w:r w:rsidRPr="00C56A28">
        <w:tab/>
        <w:t>zdôrazňuje rastúci význam systémov umelej inteligencie (AI) v medzinárodnom obchode; v tejto súvislosti vyzýva na intenzívnejšiu medzinárodnú spoluprácu v oblasti predpisov a politík v oblasti AI pri súčasnom rešpektovaní práva členov WTO na reguláciu; zdôrazňuje, že WTO by mala zmysluplne prispievať k rozvoju spoľahlivého, bezpečného, inkluzívneho a dôveryhodného rámca riadenia umelej inteligencie pre obchod, a to aj zriadením špecializovanej pracovnej skupiny WTO pre umelú inteligenciu s cieľom uľahčiť dialóg, výmenu poznatkov a spoluprácu medzi členmi na regulácii a politikách AI;</w:t>
      </w:r>
    </w:p>
    <w:p w14:paraId="63C33A19" w14:textId="77777777" w:rsidR="00B34461" w:rsidRPr="00C56A28" w:rsidRDefault="00B34461" w:rsidP="00B34461">
      <w:pPr>
        <w:pStyle w:val="NormalHanging12a"/>
        <w:rPr>
          <w:bCs/>
          <w:i/>
          <w:iCs/>
        </w:rPr>
      </w:pPr>
      <w:r w:rsidRPr="00C56A28">
        <w:rPr>
          <w:b/>
          <w:i/>
        </w:rPr>
        <w:t>Zapojenie Európskeho parlamentu</w:t>
      </w:r>
    </w:p>
    <w:p w14:paraId="5398C6CB" w14:textId="77777777" w:rsidR="00B34461" w:rsidRPr="00C56A28" w:rsidRDefault="00B34461" w:rsidP="00B34461">
      <w:pPr>
        <w:pStyle w:val="NormalHanging12a"/>
      </w:pPr>
      <w:r w:rsidRPr="00C56A28">
        <w:t>24.</w:t>
      </w:r>
      <w:r w:rsidRPr="00C56A28">
        <w:tab/>
        <w:t>žiada Komisiu a Radu, aby zabezpečili, že Európsky parlament bude aj naďalej úzko zapojený do príprav 14. Konferencie ministrov a promptne informovaný o najnovšom vývoji a že sa s ním budú viesť konzultácie v priebehu 14. Konferencie ministrov;</w:t>
      </w:r>
    </w:p>
    <w:p w14:paraId="270F414D" w14:textId="77777777" w:rsidR="00B34461" w:rsidRPr="00C56A28" w:rsidRDefault="00B34461" w:rsidP="00B34461">
      <w:pPr>
        <w:pStyle w:val="NormalHanging12a"/>
      </w:pPr>
      <w:r w:rsidRPr="00C56A28">
        <w:t>25.</w:t>
      </w:r>
      <w:r w:rsidRPr="00C56A28">
        <w:tab/>
        <w:t xml:space="preserve">vyzýva členov WTO, aby zabezpečili demokratickú legitimitu a transparentnosť posilnením parlamentného rozmeru WTO a parlamentnej konferencie o WTO; oceňuje významnú prácu spoločnej parlamentnej konferencie Európskeho parlamentu a Medziparlamentnej únie o WTO; zdôrazňuje potrebu zabezpečiť, aby mali poslanci lepší prístup ku všetkým obchodným rokovaniam a aby boli zapojení do navrhovania a vykonávania rozhodnutí WTO; nabáda vedúcich predstaviteľov, aby podporili nový </w:t>
      </w:r>
      <w:proofErr w:type="spellStart"/>
      <w:r w:rsidRPr="00C56A28">
        <w:t>naratív</w:t>
      </w:r>
      <w:proofErr w:type="spellEnd"/>
      <w:r w:rsidRPr="00C56A28">
        <w:t xml:space="preserve"> týkajúci sa obchodu, v ktorom sa obchod považuje za podporujúci faktor, a nie za prekážku pri dosahovaní udržateľnosti, bezpečnosti a </w:t>
      </w:r>
      <w:proofErr w:type="spellStart"/>
      <w:r w:rsidRPr="00C56A28">
        <w:t>inkluzívnosti</w:t>
      </w:r>
      <w:proofErr w:type="spellEnd"/>
      <w:r w:rsidRPr="00C56A28">
        <w:t>;</w:t>
      </w:r>
    </w:p>
    <w:p w14:paraId="0F48DB80" w14:textId="77777777" w:rsidR="00B34461" w:rsidRPr="00C56A28" w:rsidRDefault="00B34461" w:rsidP="00B34461">
      <w:pPr>
        <w:pStyle w:val="NormalHanging12a"/>
      </w:pPr>
      <w:r w:rsidRPr="00C56A28">
        <w:t>26.</w:t>
      </w:r>
      <w:r w:rsidRPr="00C56A28">
        <w:tab/>
        <w:t>vyzýva členov WTO, aby zintenzívnili diskusie so všetkými zainteresovanými stranami vrátane občianskej spoločnosti, podnikov a odborových zväzov a aby zintenzívnili spoluprácu s inými medzinárodnými organizáciami, ako je Medzinárodná obchodná komora, Medzinárodná organizácia práce a systém OSN v širšom zmysle; očakáva, že vedúci predstavitelia budú viac informovať na každej úrovni o výhodách obchodu založeného na pravidlách;</w:t>
      </w:r>
    </w:p>
    <w:p w14:paraId="79197DA3" w14:textId="77777777" w:rsidR="00B34461" w:rsidRPr="00C56A28" w:rsidRDefault="00B34461" w:rsidP="00B34461">
      <w:pPr>
        <w:pStyle w:val="NormalHanging12a"/>
        <w:jc w:val="center"/>
      </w:pPr>
      <w:r w:rsidRPr="00C56A28">
        <w:t>°</w:t>
      </w:r>
    </w:p>
    <w:p w14:paraId="61F5C2A2" w14:textId="77777777" w:rsidR="00B34461" w:rsidRPr="00C56A28" w:rsidRDefault="00B34461" w:rsidP="00B34461">
      <w:pPr>
        <w:pStyle w:val="NormalHanging12a"/>
        <w:jc w:val="center"/>
      </w:pPr>
      <w:r w:rsidRPr="00C56A28">
        <w:t>°</w:t>
      </w:r>
      <w:r w:rsidRPr="00C56A28">
        <w:tab/>
        <w:t>°</w:t>
      </w:r>
    </w:p>
    <w:p w14:paraId="1B2A2685" w14:textId="6861EF24" w:rsidR="00E365E1" w:rsidRPr="00C56A28" w:rsidRDefault="00B34461" w:rsidP="00C56A28">
      <w:pPr>
        <w:pStyle w:val="NormalHanging12a"/>
      </w:pPr>
      <w:r w:rsidRPr="00C56A28">
        <w:t>27.</w:t>
      </w:r>
      <w:r w:rsidRPr="00C56A28">
        <w:tab/>
        <w:t xml:space="preserve">poveruje svoju predsedníčku, aby postúpila toto uznesenie Rade, Komisii, vládam a parlamentom členských štátov, generálnej riaditeľke Svetovej obchodnej organizácie a </w:t>
      </w:r>
      <w:r w:rsidRPr="00C56A28">
        <w:lastRenderedPageBreak/>
        <w:t>generálnemu sekretárovi Medziparlamentnej únie.</w:t>
      </w:r>
    </w:p>
    <w:sectPr w:rsidR="00E365E1" w:rsidRPr="00C56A28" w:rsidSect="002930ED">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A274CE" w14:textId="77777777" w:rsidR="003D27BA" w:rsidRPr="002930ED" w:rsidRDefault="003D27BA">
      <w:r w:rsidRPr="002930ED">
        <w:separator/>
      </w:r>
    </w:p>
  </w:endnote>
  <w:endnote w:type="continuationSeparator" w:id="0">
    <w:p w14:paraId="439BEECE" w14:textId="77777777" w:rsidR="003D27BA" w:rsidRPr="002930ED" w:rsidRDefault="003D27BA">
      <w:r w:rsidRPr="002930E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BA0334" w14:textId="77777777" w:rsidR="00064002" w:rsidRPr="002930ED"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6B51221" w14:textId="77777777" w:rsidR="00064002" w:rsidRPr="002930ED"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23DDA7" w14:textId="77777777" w:rsidR="00064002" w:rsidRPr="002930E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271D46" w14:textId="77777777" w:rsidR="003D27BA" w:rsidRPr="002930ED" w:rsidRDefault="003D27BA">
      <w:r w:rsidRPr="002930ED">
        <w:separator/>
      </w:r>
    </w:p>
  </w:footnote>
  <w:footnote w:type="continuationSeparator" w:id="0">
    <w:p w14:paraId="3B40EA38" w14:textId="77777777" w:rsidR="003D27BA" w:rsidRPr="002930ED" w:rsidRDefault="003D27BA">
      <w:r w:rsidRPr="002930ED">
        <w:continuationSeparator/>
      </w:r>
    </w:p>
  </w:footnote>
  <w:footnote w:id="1">
    <w:p w14:paraId="176192A0" w14:textId="0A2C45AC" w:rsidR="00B34461" w:rsidRPr="002930ED" w:rsidRDefault="00B34461" w:rsidP="002930ED">
      <w:pPr>
        <w:pStyle w:val="FootnoteText"/>
        <w:ind w:left="567" w:hanging="567"/>
        <w:rPr>
          <w:sz w:val="24"/>
          <w:szCs w:val="16"/>
          <w:lang w:val="sk-SK"/>
        </w:rPr>
      </w:pPr>
      <w:r w:rsidRPr="002930ED">
        <w:rPr>
          <w:rStyle w:val="FootnoteReference"/>
          <w:sz w:val="24"/>
          <w:szCs w:val="16"/>
          <w:lang w:val="sk-SK"/>
        </w:rPr>
        <w:footnoteRef/>
      </w:r>
      <w:r w:rsidR="002930ED" w:rsidRPr="002930ED">
        <w:rPr>
          <w:sz w:val="24"/>
          <w:lang w:val="sk-SK"/>
        </w:rPr>
        <w:t xml:space="preserve"> </w:t>
      </w:r>
      <w:r w:rsidR="002930ED" w:rsidRPr="002930ED">
        <w:rPr>
          <w:sz w:val="24"/>
          <w:lang w:val="sk-SK"/>
        </w:rPr>
        <w:tab/>
      </w:r>
      <w:r w:rsidRPr="002930ED">
        <w:rPr>
          <w:sz w:val="24"/>
          <w:lang w:val="sk-SK"/>
        </w:rPr>
        <w:t xml:space="preserve">Ú. v. EÚ C, C/2024/6342, 7.11.2024, ELI: </w:t>
      </w:r>
      <w:hyperlink r:id="rId1" w:history="1">
        <w:r w:rsidRPr="002930ED">
          <w:rPr>
            <w:rStyle w:val="Hyperlink"/>
            <w:sz w:val="24"/>
            <w:lang w:val="sk-SK"/>
          </w:rPr>
          <w:t>http://data.europa.eu/eli/C/2024/6342/oj</w:t>
        </w:r>
      </w:hyperlink>
      <w:r w:rsidRPr="002930ED">
        <w:rPr>
          <w:sz w:val="24"/>
          <w:lang w:val="sk-SK"/>
        </w:rPr>
        <w:t>.</w:t>
      </w:r>
    </w:p>
  </w:footnote>
  <w:footnote w:id="2">
    <w:p w14:paraId="1542B80E" w14:textId="580AEC0D" w:rsidR="00B34461" w:rsidRPr="002930ED" w:rsidRDefault="00B34461" w:rsidP="002930ED">
      <w:pPr>
        <w:pStyle w:val="FootnoteText"/>
        <w:ind w:left="567" w:hanging="567"/>
        <w:rPr>
          <w:sz w:val="24"/>
          <w:szCs w:val="16"/>
          <w:lang w:val="sk-SK"/>
        </w:rPr>
      </w:pPr>
      <w:r w:rsidRPr="002930ED">
        <w:rPr>
          <w:rStyle w:val="FootnoteReference"/>
          <w:sz w:val="24"/>
          <w:szCs w:val="16"/>
          <w:lang w:val="sk-SK"/>
        </w:rPr>
        <w:footnoteRef/>
      </w:r>
      <w:r w:rsidR="002930ED" w:rsidRPr="002930ED">
        <w:rPr>
          <w:sz w:val="24"/>
          <w:lang w:val="sk-SK"/>
        </w:rPr>
        <w:t xml:space="preserve"> </w:t>
      </w:r>
      <w:r w:rsidR="002930ED" w:rsidRPr="002930ED">
        <w:rPr>
          <w:sz w:val="24"/>
          <w:lang w:val="sk-SK"/>
        </w:rPr>
        <w:tab/>
      </w:r>
      <w:r w:rsidRPr="002930ED">
        <w:rPr>
          <w:sz w:val="24"/>
          <w:lang w:val="sk-SK"/>
        </w:rPr>
        <w:t>Ú. v. EÚ C 224, 8.6.2022, s. 89.</w:t>
      </w:r>
    </w:p>
  </w:footnote>
  <w:footnote w:id="3">
    <w:p w14:paraId="3B9B9FD7" w14:textId="6820BC65" w:rsidR="00B34461" w:rsidRPr="002930ED" w:rsidRDefault="00B34461" w:rsidP="002930ED">
      <w:pPr>
        <w:pStyle w:val="FootnoteText"/>
        <w:ind w:left="567" w:hanging="567"/>
        <w:rPr>
          <w:sz w:val="24"/>
          <w:szCs w:val="16"/>
          <w:lang w:val="sk-SK"/>
        </w:rPr>
      </w:pPr>
      <w:r w:rsidRPr="002930ED">
        <w:rPr>
          <w:rStyle w:val="FootnoteReference"/>
          <w:sz w:val="24"/>
          <w:szCs w:val="16"/>
          <w:lang w:val="sk-SK"/>
        </w:rPr>
        <w:footnoteRef/>
      </w:r>
      <w:r w:rsidR="002930ED" w:rsidRPr="002930ED">
        <w:rPr>
          <w:sz w:val="24"/>
          <w:lang w:val="sk-SK"/>
        </w:rPr>
        <w:t xml:space="preserve"> </w:t>
      </w:r>
      <w:r w:rsidR="002930ED" w:rsidRPr="002930ED">
        <w:rPr>
          <w:sz w:val="24"/>
          <w:lang w:val="sk-SK"/>
        </w:rPr>
        <w:tab/>
      </w:r>
      <w:r w:rsidRPr="002930ED">
        <w:rPr>
          <w:sz w:val="24"/>
          <w:lang w:val="sk-SK"/>
        </w:rPr>
        <w:t>Ú. v. EÚ C 363, 28.10.2020, s. 113.</w:t>
      </w:r>
    </w:p>
  </w:footnote>
  <w:footnote w:id="4">
    <w:p w14:paraId="5C4FE221" w14:textId="4E6101FD" w:rsidR="00B34461" w:rsidRPr="002930ED" w:rsidRDefault="00B34461" w:rsidP="002930ED">
      <w:pPr>
        <w:pStyle w:val="FootnoteText"/>
        <w:ind w:left="567" w:hanging="567"/>
        <w:rPr>
          <w:sz w:val="24"/>
          <w:lang w:val="sk-SK"/>
        </w:rPr>
      </w:pPr>
      <w:r w:rsidRPr="002930ED">
        <w:rPr>
          <w:rStyle w:val="FootnoteReference"/>
          <w:sz w:val="24"/>
          <w:szCs w:val="16"/>
          <w:lang w:val="sk-SK"/>
        </w:rPr>
        <w:footnoteRef/>
      </w:r>
      <w:r w:rsidR="002930ED" w:rsidRPr="002930ED">
        <w:rPr>
          <w:sz w:val="24"/>
          <w:lang w:val="sk-SK"/>
        </w:rPr>
        <w:t xml:space="preserve"> </w:t>
      </w:r>
      <w:r w:rsidR="002930ED" w:rsidRPr="002930ED">
        <w:rPr>
          <w:sz w:val="24"/>
          <w:lang w:val="sk-SK"/>
        </w:rPr>
        <w:tab/>
      </w:r>
      <w:r w:rsidRPr="002930ED">
        <w:rPr>
          <w:sz w:val="24"/>
          <w:lang w:val="sk-SK"/>
        </w:rPr>
        <w:t>Ú. v. EÚ C 232, 16.6.2021, s. 62.</w:t>
      </w:r>
    </w:p>
  </w:footnote>
  <w:footnote w:id="5">
    <w:p w14:paraId="7FA302D2" w14:textId="6D4DAD97" w:rsidR="00B34461" w:rsidRPr="002930ED" w:rsidRDefault="00B34461" w:rsidP="002930ED">
      <w:pPr>
        <w:pStyle w:val="FootnoteText"/>
        <w:ind w:left="567" w:hanging="567"/>
        <w:rPr>
          <w:sz w:val="24"/>
          <w:szCs w:val="16"/>
          <w:lang w:val="sk-SK"/>
        </w:rPr>
      </w:pPr>
      <w:r w:rsidRPr="002930ED">
        <w:rPr>
          <w:rStyle w:val="FootnoteReference"/>
          <w:sz w:val="24"/>
          <w:szCs w:val="16"/>
          <w:lang w:val="sk-SK"/>
        </w:rPr>
        <w:footnoteRef/>
      </w:r>
      <w:r w:rsidR="002930ED" w:rsidRPr="002930ED">
        <w:rPr>
          <w:sz w:val="24"/>
          <w:lang w:val="sk-SK"/>
        </w:rPr>
        <w:t xml:space="preserve"> </w:t>
      </w:r>
      <w:r w:rsidR="002930ED" w:rsidRPr="002930ED">
        <w:rPr>
          <w:sz w:val="24"/>
          <w:lang w:val="sk-SK"/>
        </w:rPr>
        <w:tab/>
      </w:r>
      <w:r w:rsidRPr="002930ED">
        <w:rPr>
          <w:sz w:val="24"/>
          <w:lang w:val="sk-SK"/>
        </w:rPr>
        <w:t xml:space="preserve">Konferencia Organizácie Spojených národov pre obchod a rozvoj, </w:t>
      </w:r>
      <w:proofErr w:type="spellStart"/>
      <w:r w:rsidRPr="00C56A28">
        <w:rPr>
          <w:i/>
          <w:iCs/>
          <w:sz w:val="24"/>
          <w:lang w:val="sk-SK"/>
        </w:rPr>
        <w:t>Indirect</w:t>
      </w:r>
      <w:proofErr w:type="spellEnd"/>
      <w:r w:rsidRPr="00C56A28">
        <w:rPr>
          <w:i/>
          <w:iCs/>
          <w:sz w:val="24"/>
          <w:lang w:val="sk-SK"/>
        </w:rPr>
        <w:t xml:space="preserve"> </w:t>
      </w:r>
      <w:proofErr w:type="spellStart"/>
      <w:r w:rsidRPr="00C56A28">
        <w:rPr>
          <w:i/>
          <w:iCs/>
          <w:sz w:val="24"/>
          <w:lang w:val="sk-SK"/>
        </w:rPr>
        <w:t>taxation</w:t>
      </w:r>
      <w:proofErr w:type="spellEnd"/>
      <w:r w:rsidRPr="00C56A28">
        <w:rPr>
          <w:i/>
          <w:iCs/>
          <w:sz w:val="24"/>
          <w:lang w:val="sk-SK"/>
        </w:rPr>
        <w:t xml:space="preserve"> of e-</w:t>
      </w:r>
      <w:proofErr w:type="spellStart"/>
      <w:r w:rsidRPr="00C56A28">
        <w:rPr>
          <w:i/>
          <w:iCs/>
          <w:sz w:val="24"/>
          <w:lang w:val="sk-SK"/>
        </w:rPr>
        <w:t>commerce</w:t>
      </w:r>
      <w:proofErr w:type="spellEnd"/>
      <w:r w:rsidRPr="00C56A28">
        <w:rPr>
          <w:i/>
          <w:iCs/>
          <w:sz w:val="24"/>
          <w:lang w:val="sk-SK"/>
        </w:rPr>
        <w:t xml:space="preserve"> and </w:t>
      </w:r>
      <w:proofErr w:type="spellStart"/>
      <w:r w:rsidRPr="00C56A28">
        <w:rPr>
          <w:i/>
          <w:iCs/>
          <w:sz w:val="24"/>
          <w:lang w:val="sk-SK"/>
        </w:rPr>
        <w:t>digital</w:t>
      </w:r>
      <w:proofErr w:type="spellEnd"/>
      <w:r w:rsidRPr="00C56A28">
        <w:rPr>
          <w:i/>
          <w:iCs/>
          <w:sz w:val="24"/>
          <w:lang w:val="sk-SK"/>
        </w:rPr>
        <w:t xml:space="preserve"> </w:t>
      </w:r>
      <w:proofErr w:type="spellStart"/>
      <w:r w:rsidRPr="00C56A28">
        <w:rPr>
          <w:i/>
          <w:iCs/>
          <w:sz w:val="24"/>
          <w:lang w:val="sk-SK"/>
        </w:rPr>
        <w:t>trade</w:t>
      </w:r>
      <w:proofErr w:type="spellEnd"/>
      <w:r w:rsidRPr="00C56A28">
        <w:rPr>
          <w:i/>
          <w:iCs/>
          <w:sz w:val="24"/>
          <w:lang w:val="sk-SK"/>
        </w:rPr>
        <w:t xml:space="preserve"> – </w:t>
      </w:r>
      <w:proofErr w:type="spellStart"/>
      <w:r w:rsidRPr="00C56A28">
        <w:rPr>
          <w:i/>
          <w:iCs/>
          <w:sz w:val="24"/>
          <w:lang w:val="sk-SK"/>
        </w:rPr>
        <w:t>Implications</w:t>
      </w:r>
      <w:proofErr w:type="spellEnd"/>
      <w:r w:rsidRPr="00C56A28">
        <w:rPr>
          <w:i/>
          <w:iCs/>
          <w:sz w:val="24"/>
          <w:lang w:val="sk-SK"/>
        </w:rPr>
        <w:t xml:space="preserve"> </w:t>
      </w:r>
      <w:proofErr w:type="spellStart"/>
      <w:r w:rsidRPr="00C56A28">
        <w:rPr>
          <w:i/>
          <w:iCs/>
          <w:sz w:val="24"/>
          <w:lang w:val="sk-SK"/>
        </w:rPr>
        <w:t>for</w:t>
      </w:r>
      <w:proofErr w:type="spellEnd"/>
      <w:r w:rsidRPr="00C56A28">
        <w:rPr>
          <w:i/>
          <w:iCs/>
          <w:sz w:val="24"/>
          <w:lang w:val="sk-SK"/>
        </w:rPr>
        <w:t xml:space="preserve"> </w:t>
      </w:r>
      <w:proofErr w:type="spellStart"/>
      <w:r w:rsidRPr="00C56A28">
        <w:rPr>
          <w:i/>
          <w:iCs/>
          <w:sz w:val="24"/>
          <w:lang w:val="sk-SK"/>
        </w:rPr>
        <w:t>developing</w:t>
      </w:r>
      <w:proofErr w:type="spellEnd"/>
      <w:r w:rsidRPr="00C56A28">
        <w:rPr>
          <w:i/>
          <w:iCs/>
          <w:sz w:val="24"/>
          <w:lang w:val="sk-SK"/>
        </w:rPr>
        <w:t xml:space="preserve"> </w:t>
      </w:r>
      <w:proofErr w:type="spellStart"/>
      <w:r w:rsidRPr="00C56A28">
        <w:rPr>
          <w:i/>
          <w:iCs/>
          <w:sz w:val="24"/>
          <w:lang w:val="sk-SK"/>
        </w:rPr>
        <w:t>countries</w:t>
      </w:r>
      <w:proofErr w:type="spellEnd"/>
      <w:r w:rsidRPr="002930ED">
        <w:rPr>
          <w:sz w:val="24"/>
          <w:lang w:val="sk-SK"/>
        </w:rPr>
        <w:t xml:space="preserve"> (Nepriame zdaňovanie elektronického obchodu a digitálneho obchodu – dôsledky pre rozvojové krajiny), 2025.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CD47EB" w14:textId="77777777" w:rsidR="00064002" w:rsidRPr="002930ED"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3E4E91" w14:textId="77777777" w:rsidR="00064002" w:rsidRPr="002930ED"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6207E9" w14:textId="77777777" w:rsidR="00064002" w:rsidRPr="002930E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683699693">
    <w:abstractNumId w:val="9"/>
  </w:num>
  <w:num w:numId="2" w16cid:durableId="929266954">
    <w:abstractNumId w:val="9"/>
  </w:num>
  <w:num w:numId="3" w16cid:durableId="1505896723">
    <w:abstractNumId w:val="7"/>
  </w:num>
  <w:num w:numId="4" w16cid:durableId="1245601791">
    <w:abstractNumId w:val="7"/>
  </w:num>
  <w:num w:numId="5" w16cid:durableId="1203399607">
    <w:abstractNumId w:val="6"/>
  </w:num>
  <w:num w:numId="6" w16cid:durableId="689069387">
    <w:abstractNumId w:val="6"/>
  </w:num>
  <w:num w:numId="7" w16cid:durableId="1878545784">
    <w:abstractNumId w:val="5"/>
  </w:num>
  <w:num w:numId="8" w16cid:durableId="904804603">
    <w:abstractNumId w:val="5"/>
  </w:num>
  <w:num w:numId="9" w16cid:durableId="1940139027">
    <w:abstractNumId w:val="4"/>
  </w:num>
  <w:num w:numId="10" w16cid:durableId="666909437">
    <w:abstractNumId w:val="4"/>
  </w:num>
  <w:num w:numId="11" w16cid:durableId="1179470828">
    <w:abstractNumId w:val="8"/>
  </w:num>
  <w:num w:numId="12" w16cid:durableId="1507595620">
    <w:abstractNumId w:val="8"/>
  </w:num>
  <w:num w:numId="13" w16cid:durableId="986277088">
    <w:abstractNumId w:val="3"/>
  </w:num>
  <w:num w:numId="14" w16cid:durableId="1829863390">
    <w:abstractNumId w:val="3"/>
  </w:num>
  <w:num w:numId="15" w16cid:durableId="414010921">
    <w:abstractNumId w:val="2"/>
  </w:num>
  <w:num w:numId="16" w16cid:durableId="1250040798">
    <w:abstractNumId w:val="2"/>
  </w:num>
  <w:num w:numId="17" w16cid:durableId="1313292218">
    <w:abstractNumId w:val="1"/>
  </w:num>
  <w:num w:numId="18" w16cid:durableId="859515466">
    <w:abstractNumId w:val="1"/>
  </w:num>
  <w:num w:numId="19" w16cid:durableId="1282034405">
    <w:abstractNumId w:val="0"/>
  </w:num>
  <w:num w:numId="20" w16cid:durableId="1733381622">
    <w:abstractNumId w:val="0"/>
  </w:num>
  <w:num w:numId="21" w16cid:durableId="1187597372">
    <w:abstractNumId w:val="9"/>
  </w:num>
  <w:num w:numId="22" w16cid:durableId="1999573908">
    <w:abstractNumId w:val="7"/>
  </w:num>
  <w:num w:numId="23" w16cid:durableId="445464897">
    <w:abstractNumId w:val="6"/>
  </w:num>
  <w:num w:numId="24" w16cid:durableId="859389402">
    <w:abstractNumId w:val="5"/>
  </w:num>
  <w:num w:numId="25" w16cid:durableId="616180453">
    <w:abstractNumId w:val="4"/>
  </w:num>
  <w:num w:numId="26" w16cid:durableId="1172721322">
    <w:abstractNumId w:val="8"/>
  </w:num>
  <w:num w:numId="27" w16cid:durableId="92556438">
    <w:abstractNumId w:val="3"/>
  </w:num>
  <w:num w:numId="28" w16cid:durableId="763650880">
    <w:abstractNumId w:val="2"/>
  </w:num>
  <w:num w:numId="29" w16cid:durableId="1108695333">
    <w:abstractNumId w:val="1"/>
  </w:num>
  <w:num w:numId="30" w16cid:durableId="870844865">
    <w:abstractNumId w:val="0"/>
  </w:num>
  <w:num w:numId="31" w16cid:durableId="2121562381">
    <w:abstractNumId w:val="9"/>
  </w:num>
  <w:num w:numId="32" w16cid:durableId="1239903149">
    <w:abstractNumId w:val="7"/>
  </w:num>
  <w:num w:numId="33" w16cid:durableId="657071382">
    <w:abstractNumId w:val="6"/>
  </w:num>
  <w:num w:numId="34" w16cid:durableId="1154297079">
    <w:abstractNumId w:val="5"/>
  </w:num>
  <w:num w:numId="35" w16cid:durableId="1712607013">
    <w:abstractNumId w:val="4"/>
  </w:num>
  <w:num w:numId="36" w16cid:durableId="1123574269">
    <w:abstractNumId w:val="8"/>
  </w:num>
  <w:num w:numId="37" w16cid:durableId="1470128343">
    <w:abstractNumId w:val="3"/>
  </w:num>
  <w:num w:numId="38" w16cid:durableId="536090637">
    <w:abstractNumId w:val="2"/>
  </w:num>
  <w:num w:numId="39" w16cid:durableId="207231021">
    <w:abstractNumId w:val="1"/>
  </w:num>
  <w:num w:numId="40" w16cid:durableId="86538504">
    <w:abstractNumId w:val="0"/>
  </w:num>
  <w:num w:numId="41" w16cid:durableId="1094788305">
    <w:abstractNumId w:val="10"/>
  </w:num>
  <w:num w:numId="42" w16cid:durableId="1782455760">
    <w:abstractNumId w:val="10"/>
  </w:num>
  <w:num w:numId="43" w16cid:durableId="1779635917">
    <w:abstractNumId w:val="10"/>
  </w:num>
  <w:num w:numId="44" w16cid:durableId="1856845086">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B10-0155/2026"/>
    <w:docVar w:name="dvlangue" w:val="SK"/>
    <w:docVar w:name="dvnumam" w:val="0"/>
    <w:docVar w:name="dvpe" w:val="781.228"/>
    <w:docVar w:name="dvtitre" w:val="Uznesenie Európskeho parlamentu z/zo xx. xxx 2026 o multilaterálnych rokovaniach pred blížiacou sa 14. Konferenciou ministrov WTO v Yaoundé v dňoch 26. až 29. marca 2026 (2025/2875(RSP))"/>
  </w:docVars>
  <w:rsids>
    <w:rsidRoot w:val="003D27BA"/>
    <w:rsid w:val="00002272"/>
    <w:rsid w:val="0006327A"/>
    <w:rsid w:val="00064002"/>
    <w:rsid w:val="000677B9"/>
    <w:rsid w:val="000831BA"/>
    <w:rsid w:val="000A42CC"/>
    <w:rsid w:val="000E7DD9"/>
    <w:rsid w:val="000F3763"/>
    <w:rsid w:val="0010095E"/>
    <w:rsid w:val="00125B37"/>
    <w:rsid w:val="00187494"/>
    <w:rsid w:val="001B6205"/>
    <w:rsid w:val="001F32AE"/>
    <w:rsid w:val="002767FF"/>
    <w:rsid w:val="002930ED"/>
    <w:rsid w:val="002B18FE"/>
    <w:rsid w:val="002B5493"/>
    <w:rsid w:val="00343214"/>
    <w:rsid w:val="00361C00"/>
    <w:rsid w:val="00395FA1"/>
    <w:rsid w:val="003D27BA"/>
    <w:rsid w:val="003E15D4"/>
    <w:rsid w:val="00400352"/>
    <w:rsid w:val="00411CCE"/>
    <w:rsid w:val="0041666E"/>
    <w:rsid w:val="00421060"/>
    <w:rsid w:val="00471C19"/>
    <w:rsid w:val="004867E3"/>
    <w:rsid w:val="00494A28"/>
    <w:rsid w:val="004C0004"/>
    <w:rsid w:val="004C5D52"/>
    <w:rsid w:val="0050519A"/>
    <w:rsid w:val="005072A1"/>
    <w:rsid w:val="00514517"/>
    <w:rsid w:val="00545827"/>
    <w:rsid w:val="00560270"/>
    <w:rsid w:val="005C2568"/>
    <w:rsid w:val="005F1B17"/>
    <w:rsid w:val="006037C0"/>
    <w:rsid w:val="0063672F"/>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328D4"/>
    <w:rsid w:val="009509D8"/>
    <w:rsid w:val="00950B64"/>
    <w:rsid w:val="00981893"/>
    <w:rsid w:val="00A1687D"/>
    <w:rsid w:val="00A43E52"/>
    <w:rsid w:val="00A4678D"/>
    <w:rsid w:val="00A778C7"/>
    <w:rsid w:val="00AB441E"/>
    <w:rsid w:val="00AB6293"/>
    <w:rsid w:val="00AE0928"/>
    <w:rsid w:val="00AF3B82"/>
    <w:rsid w:val="00B12E95"/>
    <w:rsid w:val="00B22876"/>
    <w:rsid w:val="00B270FB"/>
    <w:rsid w:val="00B34461"/>
    <w:rsid w:val="00B558F0"/>
    <w:rsid w:val="00BD48FE"/>
    <w:rsid w:val="00BD7BD8"/>
    <w:rsid w:val="00BE6ADC"/>
    <w:rsid w:val="00C05BFE"/>
    <w:rsid w:val="00C23CD4"/>
    <w:rsid w:val="00C56A28"/>
    <w:rsid w:val="00C61C0C"/>
    <w:rsid w:val="00C941CB"/>
    <w:rsid w:val="00CC2357"/>
    <w:rsid w:val="00CF071A"/>
    <w:rsid w:val="00D058B8"/>
    <w:rsid w:val="00D56C11"/>
    <w:rsid w:val="00D834A0"/>
    <w:rsid w:val="00D872DF"/>
    <w:rsid w:val="00D91E21"/>
    <w:rsid w:val="00DA7FCD"/>
    <w:rsid w:val="00E365E1"/>
    <w:rsid w:val="00E6598D"/>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459472"/>
  <w15:chartTrackingRefBased/>
  <w15:docId w15:val="{DA09E987-9089-476E-BE1B-8A78F332F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footnote reference"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sk-SK"/>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aliases w:val="16 Point,4_G,Appel note de bas de page,FZ,Fago Fu?notenzeichen,Fago Fußnotenzeichen,Fago Fuﬂnotenzeichen,Footnote,Footnote Ref,Footnote number,Footnotes refss,Ref,Ref FNs Char,Superscript 6 Point,[,[0],a Footnote Reference,ftref,text"/>
    <w:link w:val="ENFootnoteReference"/>
    <w:qFormat/>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B34461"/>
    <w:pPr>
      <w:spacing w:after="240"/>
      <w:ind w:left="567" w:hanging="567"/>
    </w:pPr>
  </w:style>
  <w:style w:type="character" w:styleId="Hyperlink">
    <w:name w:val="Hyperlink"/>
    <w:basedOn w:val="DefaultParagraphFont"/>
    <w:uiPriority w:val="99"/>
    <w:unhideWhenUsed/>
    <w:rsid w:val="00B34461"/>
    <w:rPr>
      <w:color w:val="0563C1" w:themeColor="hyperlink"/>
      <w:u w:val="single"/>
    </w:rPr>
  </w:style>
  <w:style w:type="character" w:customStyle="1" w:styleId="NormalHanging12aChar">
    <w:name w:val="NormalHanging12a Char"/>
    <w:basedOn w:val="DefaultParagraphFont"/>
    <w:link w:val="NormalHanging12a"/>
    <w:rsid w:val="00B34461"/>
    <w:rPr>
      <w:sz w:val="24"/>
      <w:lang w:val="sk-SK"/>
    </w:rPr>
  </w:style>
  <w:style w:type="paragraph" w:customStyle="1" w:styleId="ENFootnoteReference">
    <w:name w:val="EN Footnote Reference"/>
    <w:aliases w:val="-E Fußnotenzeichen,BVI fn,BVI fnr Car Car תו Char Char Char,BVI fnr Car תו Char Char Char,BVI fnr תו Char Char Char,SUPERS,number"/>
    <w:basedOn w:val="Normal"/>
    <w:link w:val="FootnoteReference"/>
    <w:rsid w:val="00B34461"/>
    <w:pPr>
      <w:widowControl/>
      <w:spacing w:after="160" w:line="240" w:lineRule="exact"/>
    </w:pPr>
    <w:rPr>
      <w:sz w:val="20"/>
      <w:vertAlign w:val="superscript"/>
      <w:lang w:val="en-GB"/>
    </w:rPr>
  </w:style>
  <w:style w:type="paragraph" w:customStyle="1" w:styleId="Corps">
    <w:name w:val="Corps"/>
    <w:link w:val="CorpsChar"/>
    <w:rsid w:val="00B34461"/>
    <w:pPr>
      <w:pBdr>
        <w:top w:val="nil"/>
        <w:left w:val="nil"/>
        <w:bottom w:val="nil"/>
        <w:right w:val="nil"/>
        <w:between w:val="nil"/>
        <w:bar w:val="nil"/>
      </w:pBdr>
    </w:pPr>
    <w:rPr>
      <w:rFonts w:eastAsia="Arial Unicode MS" w:cs="Arial Unicode MS"/>
      <w:color w:val="000000"/>
      <w:sz w:val="24"/>
      <w:szCs w:val="24"/>
      <w:u w:color="000000"/>
      <w:bdr w:val="nil"/>
      <w:lang w:val="sk-SK"/>
      <w14:textOutline w14:w="0" w14:cap="flat" w14:cmpd="sng" w14:algn="ctr">
        <w14:noFill/>
        <w14:prstDash w14:val="solid"/>
        <w14:bevel/>
      </w14:textOutline>
    </w:rPr>
  </w:style>
  <w:style w:type="character" w:customStyle="1" w:styleId="CorpsChar">
    <w:name w:val="Corps Char"/>
    <w:basedOn w:val="DefaultParagraphFont"/>
    <w:link w:val="Corps"/>
    <w:rsid w:val="00B34461"/>
    <w:rPr>
      <w:rFonts w:eastAsia="Arial Unicode MS" w:cs="Arial Unicode MS"/>
      <w:color w:val="000000"/>
      <w:sz w:val="24"/>
      <w:szCs w:val="24"/>
      <w:u w:color="000000"/>
      <w:bdr w:val="nil"/>
      <w:lang w:val="sk-SK"/>
      <w14:textOutline w14:w="0" w14:cap="flat" w14:cmpd="sng" w14:algn="ctr">
        <w14:noFill/>
        <w14:prstDash w14:val="solid"/>
        <w14:bevel/>
      </w14:textOutline>
    </w:rPr>
  </w:style>
  <w:style w:type="paragraph" w:styleId="Revision">
    <w:name w:val="Revision"/>
    <w:hidden/>
    <w:uiPriority w:val="99"/>
    <w:semiHidden/>
    <w:rsid w:val="00B270FB"/>
    <w:rPr>
      <w:sz w:val="24"/>
      <w:lang w:val="sk-SK"/>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34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3237</Words>
  <Characters>20575</Characters>
  <Application>Microsoft Office Word</Application>
  <DocSecurity>0</DocSecurity>
  <Lines>171</Lines>
  <Paragraphs>47</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23765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SUCHANOVA Monika</dc:creator>
  <cp:keywords/>
  <cp:lastModifiedBy>SOLTYSOVA Zuzana</cp:lastModifiedBy>
  <cp:revision>2</cp:revision>
  <cp:lastPrinted>2004-11-19T15:42:00Z</cp:lastPrinted>
  <dcterms:created xsi:type="dcterms:W3CDTF">2026-03-12T13:09:00Z</dcterms:created>
  <dcterms:modified xsi:type="dcterms:W3CDTF">2026-03-12T13:09:00Z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SK</vt:lpwstr>
  </property>
  <property fmtid="{D5CDD505-2E9C-101B-9397-08002B2CF9AE}" pid="3" name="&lt;FdR&gt;">
    <vt:lpwstr>B10-0155/2026</vt:lpwstr>
  </property>
  <property fmtid="{D5CDD505-2E9C-101B-9397-08002B2CF9AE}" pid="4" name="&lt;Type&gt;">
    <vt:lpwstr>RR</vt:lpwstr>
  </property>
</Properties>
</file>