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7A94" w14:paraId="50759EF7" w14:textId="77777777" w:rsidTr="0010095E">
        <w:trPr>
          <w:trHeight w:hRule="exact" w:val="1418"/>
        </w:trPr>
        <w:tc>
          <w:tcPr>
            <w:tcW w:w="6804" w:type="dxa"/>
            <w:shd w:val="clear" w:color="auto" w:fill="auto"/>
            <w:vAlign w:val="center"/>
          </w:tcPr>
          <w:p w14:paraId="1743D9CC" w14:textId="77777777" w:rsidR="00751A4A" w:rsidRPr="00D57A94" w:rsidRDefault="00E20995" w:rsidP="0010095E">
            <w:pPr>
              <w:pStyle w:val="EPName"/>
            </w:pPr>
            <w:r w:rsidRPr="00D57A94">
              <w:t>Europaparlamentet</w:t>
            </w:r>
          </w:p>
          <w:p w14:paraId="21072813" w14:textId="77777777" w:rsidR="00751A4A" w:rsidRPr="00D57A94" w:rsidRDefault="005F1B17" w:rsidP="005F1B17">
            <w:pPr>
              <w:pStyle w:val="EPTerm"/>
              <w:rPr>
                <w:rStyle w:val="HideTWBExt"/>
                <w:noProof w:val="0"/>
                <w:vanish w:val="0"/>
                <w:color w:val="auto"/>
              </w:rPr>
            </w:pPr>
            <w:r w:rsidRPr="00D57A94">
              <w:t>2024</w:t>
            </w:r>
            <w:r w:rsidR="00817416" w:rsidRPr="00D57A94">
              <w:t>-202</w:t>
            </w:r>
            <w:r w:rsidRPr="00D57A94">
              <w:t>9</w:t>
            </w:r>
          </w:p>
        </w:tc>
        <w:tc>
          <w:tcPr>
            <w:tcW w:w="2268" w:type="dxa"/>
            <w:shd w:val="clear" w:color="auto" w:fill="auto"/>
          </w:tcPr>
          <w:p w14:paraId="2A9926E3" w14:textId="77777777" w:rsidR="00751A4A" w:rsidRPr="00D57A94" w:rsidRDefault="00187494" w:rsidP="0010095E">
            <w:pPr>
              <w:pStyle w:val="EPLogo"/>
            </w:pPr>
            <w:r w:rsidRPr="00D57A94">
              <w:rPr>
                <w:noProof/>
                <w:lang w:eastAsia="ja-JP"/>
              </w:rPr>
              <w:drawing>
                <wp:inline distT="0" distB="0" distL="0" distR="0" wp14:anchorId="6620B32F" wp14:editId="0F86F6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605507" w14:textId="77777777" w:rsidR="00D058B8" w:rsidRPr="00D57A94" w:rsidRDefault="00D058B8" w:rsidP="004C5D52">
      <w:pPr>
        <w:pStyle w:val="LineTop"/>
      </w:pPr>
    </w:p>
    <w:p w14:paraId="49AACB94" w14:textId="77777777" w:rsidR="00680577" w:rsidRPr="00D57A94" w:rsidRDefault="00E20995" w:rsidP="00680577">
      <w:pPr>
        <w:pStyle w:val="EPBodyTA1"/>
      </w:pPr>
      <w:r w:rsidRPr="00D57A94">
        <w:t>ANTAGNA TEXTER</w:t>
      </w:r>
    </w:p>
    <w:p w14:paraId="3850C508" w14:textId="77777777" w:rsidR="00D058B8" w:rsidRPr="00D57A94" w:rsidRDefault="00D058B8" w:rsidP="00D058B8">
      <w:pPr>
        <w:pStyle w:val="LineBottom"/>
      </w:pPr>
    </w:p>
    <w:p w14:paraId="0DA39CB3" w14:textId="432CDD23" w:rsidR="00E20995" w:rsidRPr="00D57A94" w:rsidRDefault="00E20995" w:rsidP="00E20995">
      <w:pPr>
        <w:pStyle w:val="ATHeading1"/>
      </w:pPr>
      <w:bookmarkStart w:id="0" w:name="TANumber"/>
      <w:r w:rsidRPr="00D57A94">
        <w:t>P10_TA(2026)00</w:t>
      </w:r>
      <w:bookmarkEnd w:id="0"/>
      <w:r w:rsidR="007F5D3F">
        <w:t>86</w:t>
      </w:r>
    </w:p>
    <w:p w14:paraId="58BF3BDE" w14:textId="77777777" w:rsidR="00E20995" w:rsidRPr="00D57A94" w:rsidRDefault="00E20995" w:rsidP="00E20995">
      <w:pPr>
        <w:pStyle w:val="ATHeading2"/>
      </w:pPr>
      <w:bookmarkStart w:id="1" w:name="title"/>
      <w:r w:rsidRPr="00D57A94">
        <w:t>Multilaterala förhandlingar inför WTO:s 14:e ministerkonferens i Yaoundé den 26–29 mars 2026</w:t>
      </w:r>
      <w:bookmarkEnd w:id="1"/>
    </w:p>
    <w:p w14:paraId="3B68A05F" w14:textId="77777777" w:rsidR="00E20995" w:rsidRPr="00D57A94" w:rsidRDefault="00E20995" w:rsidP="00E20995">
      <w:pPr>
        <w:rPr>
          <w:i/>
          <w:vanish/>
        </w:rPr>
      </w:pPr>
      <w:r w:rsidRPr="00D57A94">
        <w:rPr>
          <w:i/>
        </w:rPr>
        <w:fldChar w:fldCharType="begin"/>
      </w:r>
      <w:r w:rsidRPr="00D57A94">
        <w:rPr>
          <w:i/>
        </w:rPr>
        <w:instrText xml:space="preserve"> TC"(</w:instrText>
      </w:r>
      <w:bookmarkStart w:id="2" w:name="DocNumber"/>
      <w:r w:rsidRPr="00D57A94">
        <w:rPr>
          <w:i/>
        </w:rPr>
        <w:instrText>B10-0155/2026</w:instrText>
      </w:r>
      <w:bookmarkEnd w:id="2"/>
      <w:r w:rsidRPr="00D57A94">
        <w:rPr>
          <w:i/>
        </w:rPr>
        <w:instrText xml:space="preserve">)"\l3 \n&gt; \* MERGEFORMAT </w:instrText>
      </w:r>
      <w:r w:rsidRPr="00D57A94">
        <w:rPr>
          <w:i/>
        </w:rPr>
        <w:fldChar w:fldCharType="end"/>
      </w:r>
    </w:p>
    <w:p w14:paraId="37DD257E" w14:textId="77777777" w:rsidR="00E20995" w:rsidRPr="00D57A94" w:rsidRDefault="00E20995" w:rsidP="00E20995">
      <w:pPr>
        <w:rPr>
          <w:vanish/>
        </w:rPr>
      </w:pPr>
      <w:bookmarkStart w:id="3" w:name="PE"/>
      <w:r w:rsidRPr="00D57A94">
        <w:rPr>
          <w:vanish/>
        </w:rPr>
        <w:t>PE781.228</w:t>
      </w:r>
      <w:bookmarkEnd w:id="3"/>
    </w:p>
    <w:p w14:paraId="39F42977" w14:textId="33150B4B" w:rsidR="00E20995" w:rsidRPr="00D57A94" w:rsidRDefault="00E20995" w:rsidP="00E20995">
      <w:pPr>
        <w:pStyle w:val="ATHeading3"/>
      </w:pPr>
      <w:bookmarkStart w:id="4" w:name="Sujet"/>
      <w:r w:rsidRPr="00D57A94">
        <w:t xml:space="preserve">Europaparlamentets resolution av den </w:t>
      </w:r>
      <w:r w:rsidR="002D682F">
        <w:t>12</w:t>
      </w:r>
      <w:r w:rsidR="002D682F" w:rsidRPr="00D57A94">
        <w:t xml:space="preserve"> </w:t>
      </w:r>
      <w:r w:rsidR="002D682F">
        <w:t>mars</w:t>
      </w:r>
      <w:r w:rsidR="002D682F" w:rsidRPr="00D57A94">
        <w:t xml:space="preserve"> </w:t>
      </w:r>
      <w:r w:rsidRPr="00D57A94">
        <w:t xml:space="preserve">2026 om multilaterala förhandlingar inför WTO:s fjortonde ministerkonferens i Yaoundé den 26–29 mars 2026 </w:t>
      </w:r>
      <w:bookmarkStart w:id="5" w:name="References"/>
      <w:bookmarkEnd w:id="4"/>
      <w:r w:rsidRPr="00D57A94">
        <w:t>(2025/2875(RSP))</w:t>
      </w:r>
      <w:bookmarkEnd w:id="5"/>
    </w:p>
    <w:p w14:paraId="66E79A23" w14:textId="77777777" w:rsidR="00E20995" w:rsidRPr="00D57A94" w:rsidRDefault="00E20995" w:rsidP="00E20995"/>
    <w:p w14:paraId="57A86D20" w14:textId="77777777" w:rsidR="002B0724" w:rsidRPr="00D57A94" w:rsidRDefault="002B0724" w:rsidP="002B0724">
      <w:pPr>
        <w:pStyle w:val="Corps"/>
        <w:rPr>
          <w:rFonts w:eastAsia="Times New Roman"/>
          <w:i/>
          <w:iCs/>
          <w:bdr w:val="none" w:sz="0" w:space="0" w:color="auto"/>
        </w:rPr>
      </w:pPr>
      <w:bookmarkStart w:id="6" w:name="TextBodyBegin"/>
      <w:bookmarkEnd w:id="6"/>
      <w:r w:rsidRPr="00D57A94">
        <w:rPr>
          <w:i/>
          <w:bdr w:val="none" w:sz="0" w:space="0" w:color="auto"/>
        </w:rPr>
        <w:t>Europaparlamentet utfärdar denna resolution</w:t>
      </w:r>
    </w:p>
    <w:p w14:paraId="736F4D86" w14:textId="77777777" w:rsidR="002B0724" w:rsidRPr="00D57A94" w:rsidRDefault="002B0724" w:rsidP="002B0724">
      <w:pPr>
        <w:pStyle w:val="NormalHanging12a"/>
        <w:ind w:left="0" w:firstLine="0"/>
        <w:rPr>
          <w:rFonts w:eastAsia="Aptos"/>
          <w:lang w:eastAsia="en-US"/>
        </w:rPr>
      </w:pPr>
    </w:p>
    <w:p w14:paraId="0FFE09EA" w14:textId="77777777" w:rsidR="002B0724" w:rsidRPr="00D57A94" w:rsidRDefault="002B0724" w:rsidP="002B0724">
      <w:pPr>
        <w:pStyle w:val="NormalHanging12a"/>
      </w:pPr>
      <w:r w:rsidRPr="00D57A94">
        <w:t>–</w:t>
      </w:r>
      <w:r w:rsidRPr="00D57A94">
        <w:tab/>
        <w:t>med beaktande av Marrakechavtalet av den 15 april 1994, genom vilket Världshandelsorganisationen (WTO) inrättades,</w:t>
      </w:r>
    </w:p>
    <w:p w14:paraId="1FCF0FC8" w14:textId="77777777" w:rsidR="002B0724" w:rsidRPr="00D57A94" w:rsidRDefault="002B0724" w:rsidP="002B0724">
      <w:pPr>
        <w:pStyle w:val="NormalHanging12a"/>
      </w:pPr>
      <w:r w:rsidRPr="00D57A94">
        <w:t>–</w:t>
      </w:r>
      <w:r w:rsidRPr="00D57A94">
        <w:tab/>
        <w:t>med beaktande av den ministerförklaring som antogs den 14 november 2001 vid WTO:s ministerkonferens i Doha,</w:t>
      </w:r>
    </w:p>
    <w:p w14:paraId="659D20DA" w14:textId="77777777" w:rsidR="002B0724" w:rsidRPr="00D57A94" w:rsidRDefault="002B0724" w:rsidP="002B0724">
      <w:pPr>
        <w:pStyle w:val="NormalHanging12a"/>
      </w:pPr>
      <w:r w:rsidRPr="00D57A94">
        <w:t>–</w:t>
      </w:r>
      <w:r w:rsidRPr="00D57A94">
        <w:tab/>
        <w:t>med beaktande av sina tidigare resolutioner om WTO, särskilt resolutionerna av den 8 februari 2024 om multilaterala förhandlingar inför WTO:s trettonde ministerkonferens i Abu Dhabi</w:t>
      </w:r>
      <w:r w:rsidRPr="00D57A94">
        <w:rPr>
          <w:vertAlign w:val="superscript"/>
        </w:rPr>
        <w:footnoteReference w:id="1"/>
      </w:r>
      <w:r w:rsidRPr="00D57A94">
        <w:t>, av den 25 november 2021 om multilaterala förhandlingar inför WTO:s tolfte ministerkonferens i Genève</w:t>
      </w:r>
      <w:r w:rsidRPr="00D57A94">
        <w:rPr>
          <w:vertAlign w:val="superscript"/>
        </w:rPr>
        <w:footnoteReference w:id="2"/>
      </w:r>
      <w:r w:rsidRPr="00D57A94">
        <w:t>, av den 29 november 2018 om vägen framåt</w:t>
      </w:r>
      <w:r w:rsidRPr="00D57A94">
        <w:rPr>
          <w:vertAlign w:val="superscript"/>
        </w:rPr>
        <w:footnoteReference w:id="3"/>
      </w:r>
      <w:r w:rsidRPr="00D57A94">
        <w:t xml:space="preserve"> och av den 28 november 2019 om krisen i WTO:s överprövningsorgan</w:t>
      </w:r>
      <w:r w:rsidRPr="00D57A94">
        <w:rPr>
          <w:vertAlign w:val="superscript"/>
        </w:rPr>
        <w:footnoteReference w:id="4"/>
      </w:r>
      <w:r w:rsidRPr="00D57A94">
        <w:t>,</w:t>
      </w:r>
    </w:p>
    <w:p w14:paraId="58024A0C" w14:textId="77777777" w:rsidR="002B0724" w:rsidRPr="00D57A94" w:rsidRDefault="002B0724" w:rsidP="002B0724">
      <w:pPr>
        <w:pStyle w:val="NormalHanging12a"/>
      </w:pPr>
      <w:r w:rsidRPr="00D57A94">
        <w:t>–</w:t>
      </w:r>
      <w:r w:rsidRPr="00D57A94">
        <w:tab/>
        <w:t>med beaktande av de slutdokument som antogs enhälligt vid årsmötena för den parlamentariska konferensen om WTO den 25 februari 2024 i Abu Dhabi, den 7 december 2018 i Genève och den 10 december 2017 i Buenos Aires,</w:t>
      </w:r>
    </w:p>
    <w:p w14:paraId="6ADF9C0D" w14:textId="77777777" w:rsidR="002B0724" w:rsidRPr="00D57A94" w:rsidRDefault="002B0724" w:rsidP="002B0724">
      <w:pPr>
        <w:pStyle w:val="NormalHanging12a"/>
      </w:pPr>
      <w:r w:rsidRPr="00D57A94">
        <w:t>–</w:t>
      </w:r>
      <w:r w:rsidRPr="00D57A94">
        <w:tab/>
        <w:t>med beaktande av resultaten från WTO:s trettonde ministerkonferens som hölls i Abu Dhabi i februari 2024 och som inbegrep antagandet av ministerförklaringen från Abu Dhabi, som kopplar handeln till FN:s Agenda 2030, och Komorernas och Östtimors anslutning till WTO, men inte omfattade avtal om viktiga områden såsom fiskesubventioner, jordbruk och reform av tvistlösning,</w:t>
      </w:r>
    </w:p>
    <w:p w14:paraId="1F729BEE" w14:textId="77777777" w:rsidR="002B0724" w:rsidRPr="00D57A94" w:rsidRDefault="002B0724" w:rsidP="002B0724">
      <w:pPr>
        <w:pStyle w:val="NormalHanging12a"/>
      </w:pPr>
      <w:r w:rsidRPr="00D57A94">
        <w:lastRenderedPageBreak/>
        <w:t>–</w:t>
      </w:r>
      <w:r w:rsidRPr="00D57A94">
        <w:tab/>
        <w:t>med beaktande av ikraftträdandet den 15 september 2025 av WTO-avtalet om fiskesubventioner, som ålägger medlemmarna att begränsa de årliga utgifterna på flera miljarder dollar för de mest skadliga subventionerna som bidrar till utarmningen av de marina fiskbestånden,</w:t>
      </w:r>
    </w:p>
    <w:p w14:paraId="0AD4C105" w14:textId="77777777" w:rsidR="002B0724" w:rsidRPr="00D57A94" w:rsidRDefault="002B0724" w:rsidP="002B0724">
      <w:pPr>
        <w:pStyle w:val="NormalHanging12a"/>
      </w:pPr>
      <w:r w:rsidRPr="00D57A94">
        <w:t>–</w:t>
      </w:r>
      <w:r w:rsidRPr="00D57A94">
        <w:tab/>
        <w:t>med beaktande av FN:s mål för hållbar utveckling,</w:t>
      </w:r>
    </w:p>
    <w:p w14:paraId="1EFDA234" w14:textId="77777777" w:rsidR="002B0724" w:rsidRPr="00D57A94" w:rsidRDefault="002B0724" w:rsidP="002B0724">
      <w:pPr>
        <w:pStyle w:val="NormalHanging12a"/>
      </w:pPr>
      <w:r w:rsidRPr="00D57A94">
        <w:t>–</w:t>
      </w:r>
      <w:r w:rsidRPr="00D57A94">
        <w:tab/>
        <w:t>med beaktande av Parisavtalet inom ramen för FN:s ramkonvention om klimatförändringar, som trädde i kraft i november 2016,</w:t>
      </w:r>
    </w:p>
    <w:p w14:paraId="03446003" w14:textId="77777777" w:rsidR="002B0724" w:rsidRPr="00D57A94" w:rsidRDefault="002B0724" w:rsidP="002B0724">
      <w:pPr>
        <w:pStyle w:val="NormalHanging12a"/>
        <w:keepNext/>
        <w:keepLines/>
        <w:widowControl/>
      </w:pPr>
      <w:r w:rsidRPr="00D57A94">
        <w:t>–</w:t>
      </w:r>
      <w:r w:rsidRPr="00D57A94">
        <w:tab/>
        <w:t>med beaktande av kommissionens meddelande av den 18 februari 2021 Översyn av handelspolitiken – En öppen, hållbar och bestämd handelspolitik och dess bilaga Reformen av WTO – Mot ett hållbart och ändamålsenligt multilateralt handelssystem (COM(2021)0066),</w:t>
      </w:r>
    </w:p>
    <w:p w14:paraId="712412A0" w14:textId="77777777" w:rsidR="002B0724" w:rsidRPr="00D57A94" w:rsidRDefault="002B0724" w:rsidP="002B0724">
      <w:pPr>
        <w:pStyle w:val="NormalHanging12a"/>
      </w:pPr>
      <w:r w:rsidRPr="00D57A94">
        <w:t>–</w:t>
      </w:r>
      <w:r w:rsidRPr="00D57A94">
        <w:tab/>
        <w:t>med beaktande av artikel 136.2 i arbetsordningen,</w:t>
      </w:r>
    </w:p>
    <w:p w14:paraId="0FEB8588" w14:textId="77777777" w:rsidR="002B0724" w:rsidRPr="00D57A94" w:rsidRDefault="002B0724" w:rsidP="002B0724">
      <w:pPr>
        <w:pStyle w:val="NormalHanging12a"/>
      </w:pPr>
      <w:r w:rsidRPr="00D57A94">
        <w:t>–</w:t>
      </w:r>
      <w:r w:rsidRPr="00D57A94">
        <w:tab/>
        <w:t>med beaktande av förslaget till resolution från utskottet för internationell handel, och av följande skäl:</w:t>
      </w:r>
    </w:p>
    <w:p w14:paraId="596E711F" w14:textId="77777777" w:rsidR="002B0724" w:rsidRPr="00D57A94" w:rsidRDefault="002B0724" w:rsidP="002B0724">
      <w:pPr>
        <w:pStyle w:val="NormalHanging12a"/>
      </w:pPr>
      <w:r w:rsidRPr="00D57A94">
        <w:t>A.</w:t>
      </w:r>
      <w:r w:rsidRPr="00D57A94">
        <w:tab/>
        <w:t>WTO inrättades för att främja liberaliseringen av handeln med varor och tjänster, stärka multilateralismen och främja ett rättvist, öppet, inkluderande, regelbaserat och icke-diskriminerande multilateralt handelssystem, i syfte att underlätta utbytet av varor och tjänster, skapa möjligheter till sysselsättning, tillväxt och välstånd och förbättra välfärden för människor runt om i världen. Det övergripande målet för EU:s handelspolitik är att bidra till en harmonisk utveckling av världshandeln, det gradvisa avskaffandet av restriktioner för internationell handel och utländska direktinvesteringar samt en minskning av tullmurarna och andra hinder. WTO:s främsta uppdrag är att säkerställa marknadstillträde, förutsägbarhet och rättssäkerhet i den internationella handeln, och WTO bör inte utvecklas till ett allmänt politiskt forum utöver sina centrala handelsfunktioner. Handel är av avgörande betydelse och ett viktigt instrument för att stödja och komplettera insatserna för att främja hållbar tillväxt och höja levnadsstandarden samt säkerställa full sysselsättning av bättre kvalitet och en stor och stadigt växande volym av realinkomst, i enlighet med målet om hållbar utveckling.</w:t>
      </w:r>
    </w:p>
    <w:p w14:paraId="7CF68D5F" w14:textId="77777777" w:rsidR="002B0724" w:rsidRPr="00D57A94" w:rsidRDefault="002B0724" w:rsidP="002B0724">
      <w:pPr>
        <w:pStyle w:val="NormalHanging12a"/>
      </w:pPr>
      <w:r w:rsidRPr="00D57A94">
        <w:t>B.</w:t>
      </w:r>
      <w:r w:rsidRPr="00D57A94">
        <w:tab/>
        <w:t>Det multilaterala handelssystemet står inför allvarliga politiska och institutionella utmaningar. Dessa utmaningar härrör inte bara från institutionella brister, utan också från spridningen av ensidiga och protektionistiska åtgärder, inbegripet exportrestriktioner, diskriminerande subventioner och orättvisa handelsåtgärder, som undergräver förtroendet, fragmenterar de globala värdekedjorna och skadar världsekonomin och välståndet. Den aktuella oron i den globala handeln skapar enorm osäkerhet och ekonomiska kostnader över hela världen, vilket tydligt visar att förutsägbara, stabila och rättvisa regler är avgörande för att handeln ska kunna blomstra.</w:t>
      </w:r>
    </w:p>
    <w:p w14:paraId="199A70EC" w14:textId="77777777" w:rsidR="002B0724" w:rsidRPr="00D57A94" w:rsidRDefault="002B0724" w:rsidP="002B0724">
      <w:pPr>
        <w:pStyle w:val="NormalHanging12a"/>
        <w:rPr>
          <w:bCs/>
          <w:iCs/>
        </w:rPr>
      </w:pPr>
      <w:r w:rsidRPr="00D57A94">
        <w:t>C.</w:t>
      </w:r>
      <w:r w:rsidRPr="00D57A94">
        <w:tab/>
        <w:t>Det multilaterala handelssystemet är fortfarande mycket levande och aktivt, och 72 % av den globala handeln i dag sker fortfarande enligt reglerna om status som mest gynnad nation (MGN). Detta visar att WTO fortsätter att tillhandahålla en viktig ram för förutsägbarhet och stabilitet för den globala handeln, och att skyddet av dess grundläggande principer och regler förblir avgörande.</w:t>
      </w:r>
    </w:p>
    <w:p w14:paraId="54EAC781" w14:textId="77777777" w:rsidR="002B0724" w:rsidRPr="00D57A94" w:rsidRDefault="002B0724" w:rsidP="002B0724">
      <w:pPr>
        <w:pStyle w:val="NormalHanging12a"/>
      </w:pPr>
      <w:r w:rsidRPr="00D57A94">
        <w:t>D.</w:t>
      </w:r>
      <w:r w:rsidRPr="00D57A94">
        <w:tab/>
        <w:t xml:space="preserve">Samarbete med och engagemang för utvecklingsländerna är avgörande för att </w:t>
      </w:r>
      <w:r w:rsidRPr="00D57A94">
        <w:lastRenderedPageBreak/>
        <w:t>upprätthålla den regelbaserade världsordningen. Ett sådant samarbete bör bygga på ömsesidig respekt och ett genuint åtagande att främja internationellt samarbete.</w:t>
      </w:r>
    </w:p>
    <w:p w14:paraId="4DF47B6D" w14:textId="77777777" w:rsidR="002B0724" w:rsidRPr="00D57A94" w:rsidRDefault="002B0724" w:rsidP="002B0724">
      <w:pPr>
        <w:pStyle w:val="NormalHanging12a"/>
        <w:keepNext/>
        <w:keepLines/>
        <w:widowControl/>
      </w:pPr>
      <w:r w:rsidRPr="00D57A94">
        <w:t>E.</w:t>
      </w:r>
      <w:r w:rsidRPr="00D57A94">
        <w:tab/>
        <w:t>Det globala handelslandskapet har förändrats under de senaste 30 åren, bland annat genom de viktiga G20-ländernas ekonomiska framsteg och förändringar när det gäller deras relativa betydelse för den globala handeln, och även genom ett ökat och diversifierat WTO-medlemskap. WTO har haft svårt att ta hänsyn till den nya situationen när det gäller ekonomin och handeln och har därför inte kunnat lägga fram en ambitiös agenda på grund av sitt breda medlemskap och sina många olika intressen. Det globala handelssystemet utsätts för allvarliga påfrestningar till följd av den ökande protektionismen i USA:s handelspolitik, men också på grund av Kinas icke-marknadsmässiga politik och praxis, något som skapar överkapacitet och marknadssnedvridningar i systemet.</w:t>
      </w:r>
    </w:p>
    <w:p w14:paraId="372FDD17" w14:textId="77777777" w:rsidR="002B0724" w:rsidRPr="00D57A94" w:rsidRDefault="002B0724" w:rsidP="002B0724">
      <w:pPr>
        <w:pStyle w:val="NormalHanging12a"/>
        <w:rPr>
          <w:bCs/>
          <w:iCs/>
        </w:rPr>
      </w:pPr>
      <w:r w:rsidRPr="00D57A94">
        <w:t>F.</w:t>
      </w:r>
      <w:r w:rsidRPr="00D57A94">
        <w:tab/>
        <w:t>WTO är en unik multilateral organisation i den meningen att varje medlem deltar på lika villkor, att den skapar och styr bindande handelsregler mellan sina medlemmar och bygger på ett rättsligt bindande tvistlösningssystem. Ett välfungerande, regelbaserat multilateralt handelssystem är viktigt för att skydda den europeiska ekonomins konkurrenskraft, stärka motståndskraften i leveranskedjorna och stödja EU:s strategiska motståndskraft i allmänhet.</w:t>
      </w:r>
    </w:p>
    <w:p w14:paraId="424182B0" w14:textId="77777777" w:rsidR="002B0724" w:rsidRPr="00D57A94" w:rsidRDefault="002B0724" w:rsidP="002B0724">
      <w:pPr>
        <w:pStyle w:val="NormalHanging12a"/>
      </w:pPr>
      <w:r w:rsidRPr="00D57A94">
        <w:t>G.</w:t>
      </w:r>
      <w:r w:rsidRPr="00D57A94">
        <w:tab/>
        <w:t>WTO:s nuvarande subventionsregler har inte anpassats till de förändrade omständigheterna i den globala handeln. De föråldrade reglerna har inte kunnat begränsa snedvridande statliga ingripanden. Rättvis konkurrens och begränsning av industripolitikens spridningseffekter är avgörande förutsättningar för att utvecklingsländerna ska kunna uppnå sina industrialiseringsmål.</w:t>
      </w:r>
    </w:p>
    <w:p w14:paraId="663F70C7" w14:textId="77777777" w:rsidR="002B0724" w:rsidRPr="00D57A94" w:rsidRDefault="002B0724" w:rsidP="002B0724">
      <w:pPr>
        <w:pStyle w:val="NormalHanging12a"/>
      </w:pPr>
      <w:r w:rsidRPr="00D57A94">
        <w:t>H.</w:t>
      </w:r>
      <w:r w:rsidRPr="00D57A94">
        <w:tab/>
        <w:t>WTO måste anpassas till denna nya verklighet och moderniseras för att vara rustat för 2000-talet och ta itu med nya utmaningar i samband med den gröna och den digitala omställningen.</w:t>
      </w:r>
    </w:p>
    <w:p w14:paraId="2AD67024" w14:textId="77777777" w:rsidR="002B0724" w:rsidRPr="00D57A94" w:rsidRDefault="002B0724" w:rsidP="002B0724">
      <w:pPr>
        <w:pStyle w:val="NormalHanging12a"/>
        <w:rPr>
          <w:bCs/>
          <w:iCs/>
        </w:rPr>
      </w:pPr>
      <w:r w:rsidRPr="00D57A94">
        <w:t>I.</w:t>
      </w:r>
      <w:r w:rsidRPr="00D57A94">
        <w:tab/>
        <w:t>FN:s handels- och utvecklingsrapport</w:t>
      </w:r>
      <w:r w:rsidRPr="00D57A94">
        <w:rPr>
          <w:bCs/>
          <w:iCs/>
          <w:vertAlign w:val="superscript"/>
        </w:rPr>
        <w:footnoteReference w:id="5"/>
      </w:r>
      <w:r w:rsidRPr="00D57A94">
        <w:t xml:space="preserve"> från 2025 visade att intäkterna från digital beskattning, i motsats till argumenten från motståndarna till e-handelsmoratoriet, skulle vara begränsade och riskera att undergräva konkurrenskraften och handeln.</w:t>
      </w:r>
    </w:p>
    <w:p w14:paraId="7F98D37D" w14:textId="77777777" w:rsidR="002B0724" w:rsidRPr="00D57A94" w:rsidRDefault="002B0724" w:rsidP="002B0724">
      <w:pPr>
        <w:pStyle w:val="NormalHanging12a"/>
      </w:pPr>
      <w:r w:rsidRPr="00D57A94">
        <w:t>J.</w:t>
      </w:r>
      <w:r w:rsidRPr="00D57A94">
        <w:tab/>
        <w:t>WTO-avtalet om fiskesubventioner, som man enades om vid den tolfte ministerkonferensen och som trädde i kraft i september 2025, är det första multilaterala handelsavtalet någonsin där miljömässig hållbarhet står i centrum och fastställer en bindande uppsättning globala regler för att i enlighet med mål 14.6 för hållbar utveckling bidra till att begränsa de skadliga statssubventionerna till fiskerisektorn, vilka beräknas uppgå till 22 miljarder US-dollar per år.</w:t>
      </w:r>
    </w:p>
    <w:p w14:paraId="24F66E61" w14:textId="77777777" w:rsidR="002B0724" w:rsidRPr="00D57A94" w:rsidRDefault="002B0724" w:rsidP="00F6224E">
      <w:pPr>
        <w:pStyle w:val="NormalHanging12a"/>
      </w:pPr>
      <w:r w:rsidRPr="00D57A94">
        <w:t>K.</w:t>
      </w:r>
      <w:r w:rsidRPr="00D57A94">
        <w:tab/>
        <w:t xml:space="preserve">Livsmedelstrygghet är fortfarande en utmaning, eftersom 258 miljoner människor klassificerades som krisdrabbade eller i allvarligare faser av akut osäker livsmedelsförsörjning 2022, vilket är en ökning från 2021 års nivå på 193 miljoner. I WTO:s Uruguayrunda om jordbruk bekräftas uttryckligen vikten av att beakta livsmedelstrygghet i pågående förhandlingar. Handeln har potential att förbättra livsmedelstillgången i regioner där denna är begränsad, och kan också bidra till bättre </w:t>
      </w:r>
      <w:r w:rsidRPr="00D57A94">
        <w:lastRenderedPageBreak/>
        <w:t>ekonomisk tillgång till livsmedel genom att generera arbetstillfällen och ökade inkomster.</w:t>
      </w:r>
    </w:p>
    <w:p w14:paraId="1CF53E68" w14:textId="77777777" w:rsidR="002B0724" w:rsidRPr="00D57A94" w:rsidRDefault="002B0724" w:rsidP="002B0724">
      <w:pPr>
        <w:pStyle w:val="NormalHanging12a"/>
      </w:pPr>
      <w:r w:rsidRPr="00D57A94">
        <w:t>L.</w:t>
      </w:r>
      <w:r w:rsidRPr="00D57A94">
        <w:tab/>
        <w:t>Den 11 december 2019 upphörde WTO:s överprövningsorgan med sin verksamhet, vilket ledde till att möjligheterna till ett funktionellt, oberoende och opartiskt överklagande lades på is när det gäller tvistlösning. Den medlarledda diskussionen om tvistlösningsreformen sedan den trettonde ministerkonferensen har ännu inte lett till något tillfredsställande resultat.</w:t>
      </w:r>
    </w:p>
    <w:p w14:paraId="0767D3FB" w14:textId="77777777" w:rsidR="002B0724" w:rsidRPr="00D57A94" w:rsidRDefault="002B0724" w:rsidP="002B0724">
      <w:pPr>
        <w:pStyle w:val="NormalHanging12a"/>
      </w:pPr>
      <w:r w:rsidRPr="00D57A94">
        <w:t>M.</w:t>
      </w:r>
      <w:r w:rsidRPr="00D57A94">
        <w:tab/>
        <w:t>I över 20 år har Europaparlamentet tillsammans med Interparlamentariska unionen spelat en avgörande roll för att skapa en parlamentarisk dimension i WTO genom den parlamentariska konferensen om WTO.</w:t>
      </w:r>
    </w:p>
    <w:p w14:paraId="353C0080" w14:textId="77777777" w:rsidR="002B0724" w:rsidRPr="00D57A94" w:rsidRDefault="002B0724" w:rsidP="002B0724">
      <w:pPr>
        <w:pStyle w:val="NormalHanging12a"/>
      </w:pPr>
      <w:r w:rsidRPr="00D57A94">
        <w:t>N.</w:t>
      </w:r>
      <w:r w:rsidRPr="00D57A94">
        <w:tab/>
        <w:t>Vid WTO:s offentliga forum den 17–18 september 2025 uppmuntrade de sammankallande aktivt ett ökat och strukturerat engagemang från den privata sektorns sida och erkände dess viktiga roll när det gäller att stödja ett öppet, förutsägbart och inkluderande multilateralt handelssystem.</w:t>
      </w:r>
    </w:p>
    <w:p w14:paraId="59EC10CE" w14:textId="77777777" w:rsidR="002B0724" w:rsidRPr="00D57A94" w:rsidRDefault="002B0724" w:rsidP="002B0724">
      <w:pPr>
        <w:pStyle w:val="NormalHanging12a"/>
      </w:pPr>
      <w:r w:rsidRPr="00D57A94">
        <w:t>O.</w:t>
      </w:r>
      <w:r w:rsidRPr="00D57A94">
        <w:tab/>
        <w:t>WTO:s fjortonde ministerkonferens kommer att äga rum i Yaoundé i Kamerun den 26–29 mars 2026.</w:t>
      </w:r>
    </w:p>
    <w:p w14:paraId="504D94AA" w14:textId="77777777" w:rsidR="002B0724" w:rsidRPr="00D57A94" w:rsidRDefault="002B0724" w:rsidP="002B0724">
      <w:pPr>
        <w:pStyle w:val="NormalHanging12a"/>
      </w:pPr>
      <w:r w:rsidRPr="00D57A94">
        <w:t>1.</w:t>
      </w:r>
      <w:r w:rsidRPr="00D57A94">
        <w:tab/>
        <w:t>Europaparlamentet upprepar sitt fulla stöd för multilateralismens bestående värde och understryker att ett moderniserat multilateralt system för att styra handeln är av avgörande betydelse. Parlamentet efterlyser en handelsagenda som bygger på öppen och rättvis regelbaserad handel till gagn för alla, vilket bidrar till hållbar ekonomisk utveckling och därmed stärker freden och säkerheten. Parlamentet betonar att WTO bör främja genomförandet av sociala och miljömässiga rättigheter, inbegripet målen för hållbar utveckling, samt bör säkerställa att multilateralt överenskomna och harmoniserade regler tillämpas av alla.</w:t>
      </w:r>
    </w:p>
    <w:p w14:paraId="4B4D11D4" w14:textId="77777777" w:rsidR="002B0724" w:rsidRPr="00D57A94" w:rsidRDefault="002B0724" w:rsidP="002B0724">
      <w:pPr>
        <w:pStyle w:val="NormalHanging12a"/>
      </w:pPr>
      <w:r w:rsidRPr="00D57A94">
        <w:t>2.</w:t>
      </w:r>
      <w:r w:rsidRPr="00D57A94">
        <w:tab/>
        <w:t>Europaparlamentet uppmanar med kraft alla WTO-medlemmar att förbinda sig till ett framgångsrikt resultat för den fjortonde ministerkonferensen med tanke på att det multilaterala handelssystemets existens är hotad. Parlamentet anser att den fjortonde ministerkonferensen bör vara utgångspunkten för att främja och modernisera WTO, så att det säkerställs att organisationen kan spela en roll när det gäller att ta itu med 2000</w:t>
      </w:r>
      <w:r w:rsidRPr="00D57A94">
        <w:noBreakHyphen/>
        <w:t>talets utmaningar. Parlamentet uppmanar WTO att gå i riktning mot att sammankalla årliga ministerkonferenser, i stället för den nuvarande tvåårscykeln, för att stärka den politiska styrningen, ansvarsskyldigheten och WTO:s kapacitet att i god tid reagera på globala handelsutmaningar.</w:t>
      </w:r>
    </w:p>
    <w:p w14:paraId="66B1C436" w14:textId="77777777" w:rsidR="002B0724" w:rsidRPr="00D57A94" w:rsidRDefault="002B0724" w:rsidP="00F6224E">
      <w:pPr>
        <w:pStyle w:val="NormalHanging12a"/>
        <w:rPr>
          <w:bCs/>
          <w:i/>
          <w:iCs/>
        </w:rPr>
      </w:pPr>
      <w:r w:rsidRPr="00D57A94">
        <w:rPr>
          <w:b/>
          <w:i/>
        </w:rPr>
        <w:t>Moderniseringen av WTO</w:t>
      </w:r>
    </w:p>
    <w:p w14:paraId="4CC12F6C" w14:textId="77777777" w:rsidR="002B0724" w:rsidRPr="00D57A94" w:rsidRDefault="002B0724" w:rsidP="00F6224E">
      <w:pPr>
        <w:pStyle w:val="NormalHanging12a"/>
      </w:pPr>
      <w:r w:rsidRPr="00D57A94">
        <w:t>3.</w:t>
      </w:r>
      <w:r w:rsidRPr="00D57A94">
        <w:tab/>
        <w:t>Europaparlamentet uppmanar WTO-medlemmarna att anta ett omfattande paket med en översyn av WTO:s övervaknings-, förhandlings-, överläggnings- och tvistlösningsfunktioner. Parlamentet stöder till fullo den medlarledda processen för modernisering av WTO och dess agenda för den fjortonde ministerkonferensen om omfattande modernisering och instämmer i de tre spår som medlaren föreslagit, nämligen styrning, rättvisa (lika villkor och balanserad handel) och ”vår tids frågor”. Parlamentet efterlyser ett godkännande av en tydlig färdplan för reform under den fjortonde ministerkonferensen, i syfte att säkerställa att en överenskommelse om modernisering kan nås vid den femtonde ministerkonferensen.</w:t>
      </w:r>
    </w:p>
    <w:p w14:paraId="2A4519FA" w14:textId="77777777" w:rsidR="002B0724" w:rsidRPr="00D57A94" w:rsidRDefault="002B0724" w:rsidP="002B0724">
      <w:pPr>
        <w:pStyle w:val="NormalHanging12a"/>
      </w:pPr>
      <w:r w:rsidRPr="00D57A94">
        <w:lastRenderedPageBreak/>
        <w:t>4.</w:t>
      </w:r>
      <w:r w:rsidRPr="00D57A94">
        <w:tab/>
        <w:t>Europaparlamentet understryker att förutsägbarhet fortfarande är hörnstenen i det multilaterala handelssystemet och att centrala WTO-bestämmelser, bland annat om tullvärdeberäkning, sanitära och fytosanitära åtgärder, tekniska handelshinder, förenklade handelsprocedurer och immateriella rättigheter, fortsätter att bringa viktig klarhet om rättsläget för regeringar och företag i hela världen.</w:t>
      </w:r>
    </w:p>
    <w:p w14:paraId="38025A32" w14:textId="77777777" w:rsidR="002B0724" w:rsidRPr="00D57A94" w:rsidRDefault="002B0724" w:rsidP="002B0724">
      <w:pPr>
        <w:pStyle w:val="NormalHanging12a"/>
      </w:pPr>
      <w:r w:rsidRPr="00D57A94">
        <w:t>5.</w:t>
      </w:r>
      <w:r w:rsidRPr="00D57A94">
        <w:tab/>
        <w:t>Europaparlamentet anser att praxisen att likställa konsensus med enhällighet i beslutsfattandet bland WTO:s 166 medlemmar har bidragit till förlamning. Parlamentet insisterar på att WTO behöver lära sig av andra internationella organisationer, införa olika strategier i beslutsfattandet och föra en konstruktiv diskussion om användningen av samförstånd och skilja den från enhällighet. Parlamentet betonar att WTO bör undersöka möjligheterna till ett mer ändamålsenligt och flexibelt beslutsfattande, inbegripet genomförandet av begreppet ”ansvarsfullt samförstånd”, varigenom medlemmarna skulle uppmuntras att utöva vetorätt endast när det är nödvändigt och att lämna en tydlig motivering, och därigenom främja ansvarsskyldighet och konstruktivt deltagande. Parlamentet betonar vidare att WTO också bör undersöka möjligheten att inrätta ett ledningsorgan eller verkställande organ med en särskild roll när det gäller att fastställa dagordningen eller utöva tillsynsfunktioner, i likhet med Internationella valutafondens och Världsbankens styrelser.</w:t>
      </w:r>
    </w:p>
    <w:p w14:paraId="4D4B09DA" w14:textId="77777777" w:rsidR="002B0724" w:rsidRPr="00D57A94" w:rsidRDefault="002B0724" w:rsidP="002B0724">
      <w:pPr>
        <w:pStyle w:val="NormalHanging12a"/>
      </w:pPr>
      <w:r w:rsidRPr="00D57A94">
        <w:t>6.</w:t>
      </w:r>
      <w:r w:rsidRPr="00D57A94">
        <w:tab/>
        <w:t>Europaparlamentet uppmuntrar till framsteg i förhandlingarna om multilaterala avtal betonar behovet av att göra det lättare att integrera plurilaterala avtal i den multilaterala strukturen för att säkerställa framsteg på områden där alla medlemmar ännu inte nått hela vägen fram. Parlamentet understryker att öppna plurilaterala initiativ bör göra det möjligt för alla villiga medlemmar att gå vidare. Parlamentet upprepar därför sin uppmaning till WTO-medlemmarna att reflektera över ett sätt att utveckla ett nytt system som innebär att en enskild medlem eller en grupp av icke-deltagande medlemmar inte kan blockera ett fördjupat samarbete i ett plurilateralt initiativ, särskilt när det är baserat på behandling som mest gynnad nation och fördelarna med det gäller för medlemskapet som helhet, och att på grundval av detta inrätta en enkel mekanism som gör det möjligt att införliva sådana avtal i WTO-strukturen.</w:t>
      </w:r>
    </w:p>
    <w:p w14:paraId="52C5DA4B" w14:textId="77777777" w:rsidR="002B0724" w:rsidRPr="00D57A94" w:rsidRDefault="002B0724" w:rsidP="002B0724">
      <w:pPr>
        <w:pStyle w:val="NormalHanging12a"/>
        <w:keepNext/>
        <w:keepLines/>
        <w:widowControl/>
        <w:rPr>
          <w:i/>
        </w:rPr>
      </w:pPr>
      <w:r w:rsidRPr="00D57A94">
        <w:t>7.</w:t>
      </w:r>
      <w:r w:rsidRPr="00D57A94">
        <w:tab/>
        <w:t>Europaparlamentet beklagar den ökade protektionistiska handelspolitiken i hela världen och USA:s beslut att införa ytterligare tullar på import från handelspartner, inbegripet EU, vilket avviker från principen om mest gynnad nation utan någon motivering. Parlamentet uppmanar Förenta staterna att samarbeta med WTO-medlemmarna på ett konstruktivt sätt för att stärka snarare än undergräva det multilaterala handelssystemet och därigenom visa globalt ledarskap och att uppnå konkreta resultat vid den fjortonde ministerkonferensen. Parlamentet välkomnar att Förenta staterna har utsett en ambassadör vid WTO.</w:t>
      </w:r>
    </w:p>
    <w:p w14:paraId="0B5450E2" w14:textId="77777777" w:rsidR="002B0724" w:rsidRPr="00D57A94" w:rsidRDefault="002B0724" w:rsidP="002B0724">
      <w:pPr>
        <w:pStyle w:val="NormalHanging12a"/>
        <w:rPr>
          <w:bCs/>
          <w:iCs/>
        </w:rPr>
      </w:pPr>
      <w:r w:rsidRPr="00D57A94">
        <w:t>8.</w:t>
      </w:r>
      <w:r w:rsidRPr="00D57A94">
        <w:tab/>
        <w:t>Europaparlamentet bekräftar att principen om mest gynnad nation utgör en hörnsten i det multilaterala handelssystemet. Parlamentet understryker dess centrala roll för att säkerställa icke-diskriminering, förutsägbarhet och rättvisa i den internationella handeln, Parlamentet betonar att all modernisering av WTO bör ske genom att systemet ändras snarare än genom att det inte respekteras.</w:t>
      </w:r>
    </w:p>
    <w:p w14:paraId="3CAF9537" w14:textId="77777777" w:rsidR="002B0724" w:rsidRPr="00D57A94" w:rsidRDefault="002B0724" w:rsidP="002B0724">
      <w:pPr>
        <w:pStyle w:val="NormalHanging12a"/>
        <w:rPr>
          <w:bCs/>
          <w:iCs/>
        </w:rPr>
      </w:pPr>
      <w:r w:rsidRPr="00D57A94">
        <w:t>9.</w:t>
      </w:r>
      <w:r w:rsidRPr="00D57A94">
        <w:tab/>
        <w:t xml:space="preserve">Europaparlamentet erkänner Indiens ambitioner att ta itu med den långvariga frågan om offentlig lagerhållning för att trygga livsmedelsförsörjningen, men beklagar Indiens brist på anpassning till EU:s hållning i fråga om e-handelsmoratoriet, förhandlingarna </w:t>
      </w:r>
      <w:r w:rsidRPr="00D57A94">
        <w:lastRenderedPageBreak/>
        <w:t>om fiskesubventioner och de allmänna framstegen i plurilaterala förhandlingar. Parlamentet uppmanar Indien att låta andra WTO-medlemmar göra framsteg i alla dessa frågor. Parlamentet beklagar vidare att Indien har motsatt sig ett utökat mandat för WTO som skulle omfatta nya frågor avseende klimatet samt arbete och kön. Parlamentet uppmanar kommissionen att även ta upp dessa frågor i det nyligen ingångna handelsavtalet mellan EU och Indien.</w:t>
      </w:r>
    </w:p>
    <w:p w14:paraId="36FC31C7" w14:textId="77777777" w:rsidR="002B0724" w:rsidRPr="00D57A94" w:rsidRDefault="002B0724" w:rsidP="002B0724">
      <w:pPr>
        <w:pStyle w:val="NormalHanging12a"/>
      </w:pPr>
      <w:r w:rsidRPr="00D57A94">
        <w:t>10.</w:t>
      </w:r>
      <w:r w:rsidRPr="00D57A94">
        <w:tab/>
        <w:t>Europaparlamentet noterar Kinas beslut att avstå från WTO:s förmåner i form av särskild och differentierad behandling i framtida WTO-avtal, något som andra stora utvecklingsländer redan har gjort. Parlamentet uppmanar Kina att se till att detta åtagande också återspeglas retroaktivt i genomförandet av de nuvarande WTO-avtalen.</w:t>
      </w:r>
    </w:p>
    <w:p w14:paraId="040E6E1F" w14:textId="77777777" w:rsidR="002B0724" w:rsidRPr="00D57A94" w:rsidRDefault="002B0724" w:rsidP="002B0724">
      <w:pPr>
        <w:pStyle w:val="NormalHanging12a"/>
      </w:pPr>
      <w:r w:rsidRPr="00D57A94">
        <w:t>11.</w:t>
      </w:r>
      <w:r w:rsidRPr="00D57A94">
        <w:tab/>
        <w:t>Europaparlamentet påminner om att Kinas omfattande användning av statsägda företag, icke-transparenta subventioner och statligt ledda industripolitik fortsätter att skapa betydande överkapacitet och betydande snedvridningar i den globala handeln. Parlamentet beklagar djupt Kinas användning av handel och beroendeförhållanden som vapen och landets system för exportkontroll som inte är motiverat när det gäller dubbla användningsområden. Parlamentet uppmanar Kina att göra sina WTO-åtaganden förenliga med landets ekonomiska tyngd och att arbeta för att skapa lika villkor, ta itu med dessa frågor och bidra till en modernisering av WTO.</w:t>
      </w:r>
    </w:p>
    <w:p w14:paraId="38A35209" w14:textId="77777777" w:rsidR="002B0724" w:rsidRPr="00D57A94" w:rsidRDefault="002B0724" w:rsidP="002B0724">
      <w:pPr>
        <w:pStyle w:val="NormalHanging12a"/>
      </w:pPr>
      <w:r w:rsidRPr="00D57A94">
        <w:t>12.</w:t>
      </w:r>
      <w:r w:rsidRPr="00D57A94">
        <w:tab/>
        <w:t>Europaparlamentet understryker behovet av att likasinnade partner som är fast beslutna att upprätthålla och stärka den regelbaserade multilaterala handelsordningen, med WTO i centrum, samarbetar ännu mer. Parlamentet insisterar i den rådande situationen på att EU måste stå fast vid sitt åtagande att vara en tillförlitlig partner och stödja regelbaserad handel.</w:t>
      </w:r>
    </w:p>
    <w:p w14:paraId="6C8EF4A4" w14:textId="77777777" w:rsidR="002B0724" w:rsidRPr="00D57A94" w:rsidRDefault="002B0724" w:rsidP="002B0724">
      <w:pPr>
        <w:pStyle w:val="NormalHanging12a"/>
      </w:pPr>
      <w:r w:rsidRPr="00D57A94">
        <w:t>13.</w:t>
      </w:r>
      <w:r w:rsidRPr="00D57A94">
        <w:tab/>
        <w:t>Europaparlamentet uppmanar WTO-medlemmarna att återupprätta ett fullt fungerande, oberoende, bindande och tudelat tvistlösningssystem som en oumbärlig pelare för förutsägbarhet och säkerställa att reglerna tillämpas med hjälp av lagstiftning snarare än ensidiga åtgärder, oavsett medlemmarnas ekonomiska storlek eller makt.</w:t>
      </w:r>
    </w:p>
    <w:p w14:paraId="434C1B75" w14:textId="77777777" w:rsidR="002B0724" w:rsidRPr="00D57A94" w:rsidRDefault="002B0724" w:rsidP="002B0724">
      <w:pPr>
        <w:pStyle w:val="NormalHanging12a"/>
      </w:pPr>
      <w:r w:rsidRPr="00D57A94">
        <w:t>14.</w:t>
      </w:r>
      <w:r w:rsidRPr="00D57A94">
        <w:tab/>
        <w:t>Europaparlamentet välkomnar att 58 WTO-medlemmar (som täcker nästan 60 % av världshandeln) har anslutit sig till det tillfälliga flerpartsarrangemanget för skiljedomsförfaranden, som är en tillfällig åtgärd fram till dess att ett fullt fungerande WTO-system för tvistlösning är i drift igen. Parlamentet uppmanar andra medlemmar att ansluta sig till det tillfälliga arrangemanget för att visa sitt engagemang för ett rättvist och fungerande tvistlösningssystem. Parlamentet betonar att det tillfälliga arrangemanget är en tillfällig och frivillig lösning och inte får bli en permanent ersättning för en multilateral överprövningsmekanism som är tillämplig på alla WTO</w:t>
      </w:r>
      <w:r w:rsidRPr="00D57A94">
        <w:noBreakHyphen/>
        <w:t>medlemmar.</w:t>
      </w:r>
    </w:p>
    <w:p w14:paraId="59C63649" w14:textId="77777777" w:rsidR="002B0724" w:rsidRPr="00D57A94" w:rsidRDefault="002B0724" w:rsidP="002B0724">
      <w:pPr>
        <w:pStyle w:val="NormalHanging12a"/>
        <w:rPr>
          <w:bCs/>
          <w:i/>
          <w:iCs/>
        </w:rPr>
      </w:pPr>
      <w:r w:rsidRPr="00D57A94">
        <w:rPr>
          <w:b/>
          <w:i/>
        </w:rPr>
        <w:t>Lika villkor</w:t>
      </w:r>
    </w:p>
    <w:p w14:paraId="241D861B" w14:textId="77777777" w:rsidR="002B0724" w:rsidRPr="00D57A94" w:rsidRDefault="002B0724" w:rsidP="002B0724">
      <w:pPr>
        <w:pStyle w:val="NormalHanging12a"/>
      </w:pPr>
      <w:r w:rsidRPr="00D57A94">
        <w:t>15.</w:t>
      </w:r>
      <w:r w:rsidRPr="00D57A94">
        <w:tab/>
        <w:t xml:space="preserve">Europaparlamentet insisterar på att rättvisa är grunden för ett varaktigt och trovärdigt system. Parlamentet noterar att de nuvarande snedvridande statliga ingripandena, bland annat industrisubventioner i stor skala och icke-marknadsmässiga metoder, som har lett till spänningar mellan medlemmarna och kostsamma subventionskapplöpningar, har visat att de nuvarande subventionsreglerna inte har anpassats till de förändrade förhållandena i den globala handeln. Parlamentet insisterar på att reformen av WTO:s regler om industrisubventioner och statliga ingripanden måste bygga på tre </w:t>
      </w:r>
      <w:r w:rsidRPr="00D57A94">
        <w:lastRenderedPageBreak/>
        <w:t>kompletterande pelare, nämligen krav på ökad insyn och anmälan, stärkta och tydligare bestämmelser samt effektivare åtgärder för att ta itu med negativa spridningseffekter och överkapacitet. Parlamentet begär att man ska ta itu med dessa frågor som en central del av moderniseringen av WTO, på samma sätt som andra moderniseringsfrågor. Parlamentet uttrycker sitt stöd för informella överläggningar som ett sätt att öka den gemensamma förståelsen bland WTO-medlemmarna och bana väg för lagstiftning.</w:t>
      </w:r>
    </w:p>
    <w:p w14:paraId="1BAE8FC1" w14:textId="77777777" w:rsidR="002B0724" w:rsidRPr="00D57A94" w:rsidRDefault="002B0724" w:rsidP="002B0724">
      <w:pPr>
        <w:pStyle w:val="NormalHanging12a"/>
        <w:rPr>
          <w:bCs/>
          <w:iCs/>
        </w:rPr>
      </w:pPr>
      <w:r w:rsidRPr="00D57A94">
        <w:t>16.</w:t>
      </w:r>
      <w:r w:rsidRPr="00D57A94">
        <w:tab/>
        <w:t>Europaparlamentet understryker att WTO:s regler och framtida bestämmelser måste vara förenliga med målen i Parisavtalet och andra relevanta multilaterala miljöavtal och stödja omställningen till klimatneutrala ekonomier och också effektivt ta itu med negativa spridningseffekter såsom överkapacitet och koldioxidintensiva leveranskedjor, samtidigt som omotiverade handelsrestriktioner undviks.</w:t>
      </w:r>
    </w:p>
    <w:p w14:paraId="12CD9FB4" w14:textId="77777777" w:rsidR="002B0724" w:rsidRPr="00D57A94" w:rsidRDefault="002B0724" w:rsidP="002B0724">
      <w:pPr>
        <w:pStyle w:val="NormalHanging12a"/>
        <w:rPr>
          <w:bCs/>
          <w:i/>
          <w:iCs/>
        </w:rPr>
      </w:pPr>
      <w:r w:rsidRPr="00D57A94">
        <w:rPr>
          <w:b/>
          <w:i/>
        </w:rPr>
        <w:t>Utvecklingsdimensioner</w:t>
      </w:r>
    </w:p>
    <w:p w14:paraId="757485E4" w14:textId="77777777" w:rsidR="002B0724" w:rsidRPr="00D57A94" w:rsidRDefault="002B0724" w:rsidP="002B0724">
      <w:pPr>
        <w:pStyle w:val="NormalHanging12a"/>
      </w:pPr>
      <w:r w:rsidRPr="00D57A94">
        <w:t>17.</w:t>
      </w:r>
      <w:r w:rsidRPr="00D57A94">
        <w:tab/>
        <w:t>Europaparlamentet välkomnar ikraftträdandet av det första avtalet om fiskesubventioner i september 2025. Parlamentet betonar den avgörande betydelsen av att också snabbt nå en överenskommelse om bestämmelser för fiskesubventioner som bidrar till överkapacitet och överfiske, något som gäller för mer än hälften av alla fiskesubventioner, i syfte att undvika utarmning av marina biologiska resurser och möjliggöra en hållbar förvaltning av dem, samtidigt som behovet av särskild och differentierad behandling i linje med mål 14.6 för hållbar utveckling respekteras.</w:t>
      </w:r>
    </w:p>
    <w:p w14:paraId="1241834D" w14:textId="77777777" w:rsidR="002B0724" w:rsidRPr="00D57A94" w:rsidRDefault="002B0724" w:rsidP="002B0724">
      <w:pPr>
        <w:pStyle w:val="NormalHanging12a"/>
        <w:keepNext/>
        <w:keepLines/>
        <w:widowControl/>
        <w:rPr>
          <w:bCs/>
          <w:iCs/>
        </w:rPr>
      </w:pPr>
      <w:r w:rsidRPr="00D57A94">
        <w:t>18.</w:t>
      </w:r>
      <w:r w:rsidRPr="00D57A94">
        <w:tab/>
        <w:t>Europaparlamentet betonar behovet av att stärka och integrera WTO:s utvecklingsdimension, inbegripet genom WTO:s moderniseringsprocess, genom att erkänna utvecklingsländernas olika ekonomiska situation och undvika en universallösning på tillämpningen av särskild och differentierad behandling och att göra bestämmelserna om särskild och differentierad behandling mer detaljerade och mer evidens- och behovsbaserade, vilka ska omfattas av regelbundet översyn, inklusive tydliga graderingsmekanismer, så att de bättre kan tillgodose utvecklingsländernas, inbegripet de minst utvecklade ländernas, behov. Parlamentet understryker dessutom att medlemmarna själva bestämmer sin utvecklingsstatus inte kan fortsätta att vara det enda kriteriet för särskild och differentierad behandling, och efterlyser objektiva, transparenta och regelbundet reviderade kriterier, samtidigt som tillräcklig flexibilitet säkerställs för de fattigaste och mest utsatta länderna.</w:t>
      </w:r>
    </w:p>
    <w:p w14:paraId="7656E408" w14:textId="77777777" w:rsidR="002B0724" w:rsidRPr="00D57A94" w:rsidRDefault="002B0724" w:rsidP="002B0724">
      <w:pPr>
        <w:pStyle w:val="NormalHanging12a"/>
      </w:pPr>
      <w:r w:rsidRPr="00D57A94">
        <w:t>19.</w:t>
      </w:r>
      <w:r w:rsidRPr="00D57A94">
        <w:tab/>
        <w:t>Europaparlamentet välkomnar slutförandet av förhandlingarna om avtalet om underlättande av investeringar för utveckling i syfte att skapa en mer transparent, effektiv och förutsägbar miljö för att underlätta gränsöverskridande investeringar och utvecklingsländernas deltagande i globala investeringsflöden. Parlamentet välkomnar stödet från 128 (av 166) medlemmar, däribland 91 utvecklingsekonomier (varav 27 är minst utvecklade länder), och uppmanar med kraft de återstående medlemmarna att häva sitt motstånd och införliva detta avtal i WTO:s regelverk i bilaga 4: Plurilaterala handelsavtal.</w:t>
      </w:r>
    </w:p>
    <w:p w14:paraId="7E76F68C" w14:textId="77777777" w:rsidR="002B0724" w:rsidRPr="00D57A94" w:rsidRDefault="002B0724" w:rsidP="002B0724">
      <w:pPr>
        <w:pStyle w:val="NormalHanging12a"/>
      </w:pPr>
      <w:r w:rsidRPr="00D57A94">
        <w:t>20.</w:t>
      </w:r>
      <w:r w:rsidRPr="00D57A94">
        <w:tab/>
        <w:t xml:space="preserve">Europaparlamentet betonar behovet av att nå framsteg i jordbruksförhandlingarna för att uppnå trovärdiga resultat i frågor som offentlig lagerhållning för att trygga livsmedelsförsörjningen, inhemskt stöd, marknadstillträde, bomull, exportrestriktioner och exportkonkurrens, samt förstärkningen av jordbrukssektorn för att möta dagens utmaningar, inbegripet försörjningsmöjligheter på landsbygden och miljömässig hållbarhet. Parlamentet understryker att diskussionerna inte bara bör fokusera på att </w:t>
      </w:r>
      <w:r w:rsidRPr="00D57A94">
        <w:lastRenderedPageBreak/>
        <w:t>minska det handelssnedvridande inhemska stödet utan även på att integrera relevanta globala utmaningar, inbegripet livsmedelstrygghet och hållbarhet, i diskussionerna om jordbruket.</w:t>
      </w:r>
    </w:p>
    <w:p w14:paraId="34DD4B93" w14:textId="77777777" w:rsidR="002B0724" w:rsidRPr="00D57A94" w:rsidRDefault="002B0724" w:rsidP="002B0724">
      <w:pPr>
        <w:pStyle w:val="NormalHanging12a"/>
        <w:rPr>
          <w:bCs/>
          <w:i/>
          <w:iCs/>
        </w:rPr>
      </w:pPr>
      <w:r w:rsidRPr="00D57A94">
        <w:rPr>
          <w:b/>
          <w:i/>
        </w:rPr>
        <w:t>Digitala inslag</w:t>
      </w:r>
    </w:p>
    <w:p w14:paraId="28A923D7" w14:textId="77777777" w:rsidR="002B0724" w:rsidRPr="00D57A94" w:rsidRDefault="002B0724" w:rsidP="002B0724">
      <w:pPr>
        <w:pStyle w:val="NormalHanging12a"/>
      </w:pPr>
      <w:r w:rsidRPr="00D57A94">
        <w:t>21.</w:t>
      </w:r>
      <w:r w:rsidRPr="00D57A94">
        <w:tab/>
        <w:t>Europaparlamentet uppmanar WTO-medlemmarna att vid den fjortonde ministerkonferensen förnya arbetsprogrammet för elektronisk handel och moratoriet för tullar på elektroniska överföringar. Parlamentet anser att det är viktigt för företag i hela världen, inbegripet företag i utvecklingsländer, att hitta en permanent lösning som hindrar att tullar införs på elektroniska överföringar.</w:t>
      </w:r>
    </w:p>
    <w:p w14:paraId="7BD0B5FC" w14:textId="77777777" w:rsidR="002B0724" w:rsidRPr="00D57A94" w:rsidRDefault="002B0724" w:rsidP="002B0724">
      <w:pPr>
        <w:pStyle w:val="NormalHanging12a"/>
        <w:keepNext/>
        <w:keepLines/>
        <w:widowControl/>
      </w:pPr>
      <w:r w:rsidRPr="00D57A94">
        <w:t>22.</w:t>
      </w:r>
      <w:r w:rsidRPr="00D57A94">
        <w:tab/>
        <w:t>Europaparlamentet uppmanar WTO-medlemmarna att stödja införlivandet av avtalet om elektronisk handel i WTO:s regelverk som en prioriterad fråga. Parlamentet påpekar att de första globala reglerna för digital handel fastställs i avtalet, vilket skapar en rättvis, förutsägbar och transparent ram som gynnar konsumenter och företag genom att underlätta gränsöverskridande transaktioner, minska hindren och främja innovation och förtroende. Parlamentet betonar att avtalet är utformat att gynna utvecklingsländerna och de minst utvecklade länderna lika mycket som de utvecklade ekonomierna. Parlamentet välkomnar avtalets initiativ och program för kapacitetsuppbyggnad för att stödja utvecklingsländernas och de minst utvecklade ländernas insatser, så att de möjligheter som den digitala handeln erbjuder tas tillvara. Parlamentet upprepar att avtalets har stor betydelse när det gäller att stödja mikroföretag samt små och medelstora företag. Parlamentet stöder medarrangörernas ansträngningar för att uppnå ett snabbt genomförande av avtalet.</w:t>
      </w:r>
    </w:p>
    <w:p w14:paraId="10E27E4F" w14:textId="77777777" w:rsidR="002B0724" w:rsidRPr="00D57A94" w:rsidRDefault="002B0724" w:rsidP="002B0724">
      <w:pPr>
        <w:pStyle w:val="NormalHanging12a"/>
        <w:rPr>
          <w:bCs/>
          <w:iCs/>
        </w:rPr>
      </w:pPr>
      <w:r w:rsidRPr="00D57A94">
        <w:t>23.</w:t>
      </w:r>
      <w:r w:rsidRPr="00D57A94">
        <w:tab/>
        <w:t>Europaparlamentet betonar den allt större betydelsen som system för artificiell intelligens (AI) har i den internationella handeln. Parlamentet efterlyser i detta sammanhang ökat internationellt samarbete om AI-bestämmelser och AI-politik, samtidigt som WTO-medlemmarnas rätt att reglera respekteras. Parlamentet understryker att WTO på ett meningsfullt sätt bör bidra till utvecklingen av ett robust, säkert, inkluderande och tillförlitligt regelverk för AI-styrning när det gäller handeln, bland annat genom inrättandet av en särskild WTO-arbetsgrupp för artificiell intelligens för att underlätta dialog, kunskapsutbyte och samarbete mellan medlemmarna om AI</w:t>
      </w:r>
      <w:r w:rsidRPr="00D57A94">
        <w:noBreakHyphen/>
        <w:t>regler och AI-politik.</w:t>
      </w:r>
    </w:p>
    <w:p w14:paraId="5C14569E" w14:textId="77777777" w:rsidR="002B0724" w:rsidRPr="00D57A94" w:rsidRDefault="002B0724" w:rsidP="002B0724">
      <w:pPr>
        <w:pStyle w:val="NormalHanging12a"/>
        <w:rPr>
          <w:bCs/>
          <w:i/>
          <w:iCs/>
        </w:rPr>
      </w:pPr>
      <w:r w:rsidRPr="00D57A94">
        <w:rPr>
          <w:b/>
          <w:i/>
        </w:rPr>
        <w:t>Parlamentets medverkan</w:t>
      </w:r>
    </w:p>
    <w:p w14:paraId="134BD4E7" w14:textId="77777777" w:rsidR="002B0724" w:rsidRPr="00D57A94" w:rsidRDefault="002B0724" w:rsidP="002B0724">
      <w:pPr>
        <w:pStyle w:val="NormalHanging12a"/>
      </w:pPr>
      <w:r w:rsidRPr="00D57A94">
        <w:t>24.</w:t>
      </w:r>
      <w:r w:rsidRPr="00D57A94">
        <w:tab/>
        <w:t>Europaparlamentet uppmanar kommissionen och rådet att se till att parlamentet förblir djupt involverat i förberedelserna av den fjortonde ministerkonferensen och omedelbart får ny information och rådfrågas under denna ministerkonferens.</w:t>
      </w:r>
    </w:p>
    <w:p w14:paraId="5F334BCD" w14:textId="77777777" w:rsidR="002B0724" w:rsidRPr="00D57A94" w:rsidRDefault="002B0724" w:rsidP="002B0724">
      <w:pPr>
        <w:pStyle w:val="NormalHanging12a"/>
      </w:pPr>
      <w:r w:rsidRPr="00D57A94">
        <w:t>25.</w:t>
      </w:r>
      <w:r w:rsidRPr="00D57A94">
        <w:tab/>
        <w:t>Europaparlamentet uppmanar WTO-medlemmarna att säkerställa demokratisk legitimitet och transparens genom att stärka WTO:s och den parlamentariska konferensens parlamentariska dimension. Parlamentet lovordar det viktiga arbetet vid den gemensamma parlamentariska konferensen mellan Europaparlamentet och Interparlamentariska unionen om WTO. Parlamentet betonar behovet av att säkerställa att parlamentariker i större utsträckning får delta i alla handelsförhandlingar och involveras i utformningen och genomförandet av WTO:s beslut. Parlamentet uppmuntrar ledare att stödja en ny diskussion om handel, där handel ses som en viktig faktor och inte som ett hinder för att uppnå hållbarhet, säkerhet och inkludering.</w:t>
      </w:r>
    </w:p>
    <w:p w14:paraId="4DEFE5EB" w14:textId="77777777" w:rsidR="002B0724" w:rsidRPr="00D57A94" w:rsidRDefault="002B0724" w:rsidP="002B0724">
      <w:pPr>
        <w:pStyle w:val="NormalHanging12a"/>
      </w:pPr>
      <w:r w:rsidRPr="00D57A94">
        <w:lastRenderedPageBreak/>
        <w:t>26.</w:t>
      </w:r>
      <w:r w:rsidRPr="00D57A94">
        <w:tab/>
        <w:t>Europaparlamentet uppmanar WTO-medlemmarna att fördjupa diskussionerna med alla berörda parter, inbegripet det civila samhället, företag och fackföreningar, och att intensifiera samarbetet med andra internationella organisationer såsom Internationella handelskammaren, Internationella arbetsorganisationen och FN-systemet i vidare bemärkelse. Parlamentet förväntar sig att ledare på alla nivåer informerar mer om fördelarna med regelbaserad handel.</w:t>
      </w:r>
    </w:p>
    <w:p w14:paraId="0754382C" w14:textId="77777777" w:rsidR="002B0724" w:rsidRPr="00D57A94" w:rsidRDefault="002B0724" w:rsidP="002B0724">
      <w:pPr>
        <w:pStyle w:val="NormalHanging12a"/>
        <w:jc w:val="center"/>
      </w:pPr>
      <w:r w:rsidRPr="00D57A94">
        <w:t>°</w:t>
      </w:r>
    </w:p>
    <w:p w14:paraId="44FBB49E" w14:textId="77777777" w:rsidR="002B0724" w:rsidRPr="00D57A94" w:rsidRDefault="002B0724" w:rsidP="002B0724">
      <w:pPr>
        <w:pStyle w:val="NormalHanging12a"/>
        <w:jc w:val="center"/>
      </w:pPr>
      <w:r w:rsidRPr="00D57A94">
        <w:t>°</w:t>
      </w:r>
      <w:r w:rsidRPr="00D57A94">
        <w:tab/>
        <w:t>°</w:t>
      </w:r>
    </w:p>
    <w:p w14:paraId="074CF9ED" w14:textId="0D97CD4A" w:rsidR="00D57A94" w:rsidRPr="00D57A94" w:rsidRDefault="002B0724" w:rsidP="00D57A94">
      <w:pPr>
        <w:pStyle w:val="NormalHanging12a"/>
      </w:pPr>
      <w:r w:rsidRPr="00D57A94">
        <w:t>27.</w:t>
      </w:r>
      <w:r w:rsidRPr="00D57A94">
        <w:tab/>
        <w:t>Europaparlamentet uppdrar åt talmannen att översända denna resolution till rådet, kommissionen, medlemsstaternas regeringar och parlament, Världshandelsorganisationens generaldirektör samt Interparlamentariska</w:t>
      </w:r>
      <w:r w:rsidR="00AE16E7">
        <w:t xml:space="preserve"> </w:t>
      </w:r>
      <w:r w:rsidRPr="00D57A94">
        <w:t>unionens</w:t>
      </w:r>
      <w:r w:rsidR="00AE16E7">
        <w:t xml:space="preserve"> </w:t>
      </w:r>
      <w:r w:rsidRPr="00D57A94">
        <w:t>generalsekreterare.</w:t>
      </w:r>
    </w:p>
    <w:p w14:paraId="51AE9A26" w14:textId="7CC6D26D" w:rsidR="00E365E1" w:rsidRPr="00D57A94" w:rsidRDefault="00E365E1" w:rsidP="00E20995"/>
    <w:sectPr w:rsidR="00E365E1" w:rsidRPr="00D57A94" w:rsidSect="00D57A9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48791" w14:textId="77777777" w:rsidR="00E20995" w:rsidRPr="00D57A94" w:rsidRDefault="00E20995">
      <w:r w:rsidRPr="00D57A94">
        <w:separator/>
      </w:r>
    </w:p>
  </w:endnote>
  <w:endnote w:type="continuationSeparator" w:id="0">
    <w:p w14:paraId="1DBD587D" w14:textId="77777777" w:rsidR="00E20995" w:rsidRPr="00D57A94" w:rsidRDefault="00E20995">
      <w:r w:rsidRPr="00D57A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48C7A" w14:textId="77777777" w:rsidR="00064002" w:rsidRPr="00D57A9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5588E" w14:textId="77777777" w:rsidR="00064002" w:rsidRPr="00D57A9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67737" w14:textId="77777777" w:rsidR="00064002" w:rsidRPr="00D57A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10868" w14:textId="77777777" w:rsidR="00E20995" w:rsidRPr="00D57A94" w:rsidRDefault="00E20995">
      <w:r w:rsidRPr="00D57A94">
        <w:separator/>
      </w:r>
    </w:p>
  </w:footnote>
  <w:footnote w:type="continuationSeparator" w:id="0">
    <w:p w14:paraId="11FAFF08" w14:textId="77777777" w:rsidR="00E20995" w:rsidRPr="00D57A94" w:rsidRDefault="00E20995">
      <w:r w:rsidRPr="00D57A94">
        <w:continuationSeparator/>
      </w:r>
    </w:p>
  </w:footnote>
  <w:footnote w:id="1">
    <w:p w14:paraId="7C515B56" w14:textId="11E57A8C" w:rsidR="002B0724" w:rsidRPr="00F6224E" w:rsidRDefault="002B0724" w:rsidP="00D57A94">
      <w:pPr>
        <w:pStyle w:val="FootnoteText"/>
        <w:ind w:left="567" w:hanging="567"/>
        <w:rPr>
          <w:sz w:val="24"/>
          <w:szCs w:val="16"/>
          <w:lang w:val="fi-FI"/>
        </w:rPr>
      </w:pPr>
      <w:r w:rsidRPr="00D57A94">
        <w:rPr>
          <w:rStyle w:val="FootnoteReference"/>
          <w:sz w:val="24"/>
          <w:szCs w:val="16"/>
          <w:lang w:val="sv-SE"/>
        </w:rPr>
        <w:footnoteRef/>
      </w:r>
      <w:r w:rsidR="00D57A94" w:rsidRPr="00F6224E">
        <w:rPr>
          <w:sz w:val="24"/>
          <w:lang w:val="fi-FI"/>
        </w:rPr>
        <w:t xml:space="preserve"> </w:t>
      </w:r>
      <w:r w:rsidR="00D57A94" w:rsidRPr="00F6224E">
        <w:rPr>
          <w:sz w:val="24"/>
          <w:lang w:val="fi-FI"/>
        </w:rPr>
        <w:tab/>
      </w:r>
      <w:r w:rsidRPr="00F6224E">
        <w:rPr>
          <w:sz w:val="24"/>
          <w:lang w:val="fi-FI"/>
        </w:rPr>
        <w:t xml:space="preserve">EUT C, C/2024/6342, 7.11.2024, ELI: </w:t>
      </w:r>
      <w:r w:rsidR="007F5D3F">
        <w:fldChar w:fldCharType="begin"/>
      </w:r>
      <w:r w:rsidR="007F5D3F" w:rsidRPr="007F5D3F">
        <w:rPr>
          <w:lang w:val="fi-FI"/>
        </w:rPr>
        <w:instrText>HYPERLINK "http://data.europa.eu/eli/C/2024/6342/oj"</w:instrText>
      </w:r>
      <w:r w:rsidR="007F5D3F">
        <w:fldChar w:fldCharType="separate"/>
      </w:r>
      <w:r w:rsidRPr="00F6224E">
        <w:rPr>
          <w:rStyle w:val="Hyperlink"/>
          <w:sz w:val="24"/>
          <w:lang w:val="fi-FI"/>
        </w:rPr>
        <w:t>http://data.europa.eu/eli/C/2024/6342/oj</w:t>
      </w:r>
      <w:r w:rsidR="007F5D3F">
        <w:rPr>
          <w:rStyle w:val="Hyperlink"/>
          <w:sz w:val="24"/>
          <w:lang w:val="fi-FI"/>
        </w:rPr>
        <w:fldChar w:fldCharType="end"/>
      </w:r>
      <w:r w:rsidRPr="00F6224E">
        <w:rPr>
          <w:sz w:val="24"/>
          <w:lang w:val="fi-FI"/>
        </w:rPr>
        <w:t>.</w:t>
      </w:r>
    </w:p>
  </w:footnote>
  <w:footnote w:id="2">
    <w:p w14:paraId="5829E388" w14:textId="73A25DD6" w:rsidR="002B0724" w:rsidRPr="00F6224E" w:rsidRDefault="002B0724" w:rsidP="00D57A94">
      <w:pPr>
        <w:pStyle w:val="FootnoteText"/>
        <w:ind w:left="567" w:hanging="567"/>
        <w:rPr>
          <w:sz w:val="24"/>
          <w:szCs w:val="16"/>
          <w:lang w:val="fr-BE"/>
        </w:rPr>
      </w:pPr>
      <w:r w:rsidRPr="00D57A94">
        <w:rPr>
          <w:rStyle w:val="FootnoteReference"/>
          <w:sz w:val="24"/>
          <w:szCs w:val="16"/>
          <w:lang w:val="sv-SE"/>
        </w:rPr>
        <w:footnoteRef/>
      </w:r>
      <w:r w:rsidR="00D57A94" w:rsidRPr="00F6224E">
        <w:rPr>
          <w:sz w:val="24"/>
          <w:lang w:val="fr-BE"/>
        </w:rPr>
        <w:t xml:space="preserve"> </w:t>
      </w:r>
      <w:r w:rsidR="00D57A94" w:rsidRPr="00F6224E">
        <w:rPr>
          <w:sz w:val="24"/>
          <w:lang w:val="fr-BE"/>
        </w:rPr>
        <w:tab/>
      </w:r>
      <w:r w:rsidRPr="00F6224E">
        <w:rPr>
          <w:sz w:val="24"/>
          <w:lang w:val="fr-BE"/>
        </w:rPr>
        <w:t>EUT C 224, 8.6.2022, s. 89.</w:t>
      </w:r>
    </w:p>
  </w:footnote>
  <w:footnote w:id="3">
    <w:p w14:paraId="5A0ACAD2" w14:textId="33C7CF4A" w:rsidR="002B0724" w:rsidRPr="00F6224E" w:rsidRDefault="002B0724" w:rsidP="00D57A94">
      <w:pPr>
        <w:pStyle w:val="FootnoteText"/>
        <w:ind w:left="567" w:hanging="567"/>
        <w:rPr>
          <w:sz w:val="24"/>
          <w:szCs w:val="16"/>
          <w:lang w:val="fr-BE"/>
        </w:rPr>
      </w:pPr>
      <w:r w:rsidRPr="00D57A94">
        <w:rPr>
          <w:rStyle w:val="FootnoteReference"/>
          <w:sz w:val="24"/>
          <w:szCs w:val="16"/>
          <w:lang w:val="sv-SE"/>
        </w:rPr>
        <w:footnoteRef/>
      </w:r>
      <w:r w:rsidR="00D57A94" w:rsidRPr="00F6224E">
        <w:rPr>
          <w:sz w:val="24"/>
          <w:lang w:val="fr-BE"/>
        </w:rPr>
        <w:t xml:space="preserve"> </w:t>
      </w:r>
      <w:r w:rsidR="00D57A94" w:rsidRPr="00F6224E">
        <w:rPr>
          <w:sz w:val="24"/>
          <w:lang w:val="fr-BE"/>
        </w:rPr>
        <w:tab/>
      </w:r>
      <w:r w:rsidRPr="00F6224E">
        <w:rPr>
          <w:sz w:val="24"/>
          <w:lang w:val="fr-BE"/>
        </w:rPr>
        <w:t>EUT C 363, 28.10.2020, s. 113.</w:t>
      </w:r>
    </w:p>
  </w:footnote>
  <w:footnote w:id="4">
    <w:p w14:paraId="6B13C223" w14:textId="1CFE6414" w:rsidR="002B0724" w:rsidRPr="00F6224E" w:rsidRDefault="002B0724" w:rsidP="00D57A94">
      <w:pPr>
        <w:pStyle w:val="FootnoteText"/>
        <w:ind w:left="567" w:hanging="567"/>
        <w:rPr>
          <w:sz w:val="24"/>
          <w:lang w:val="en-GB"/>
        </w:rPr>
      </w:pPr>
      <w:r w:rsidRPr="00D57A94">
        <w:rPr>
          <w:rStyle w:val="FootnoteReference"/>
          <w:sz w:val="24"/>
          <w:szCs w:val="16"/>
          <w:lang w:val="sv-SE"/>
        </w:rPr>
        <w:footnoteRef/>
      </w:r>
      <w:r w:rsidR="00D57A94" w:rsidRPr="00F6224E">
        <w:rPr>
          <w:sz w:val="24"/>
          <w:lang w:val="en-GB"/>
        </w:rPr>
        <w:t xml:space="preserve"> </w:t>
      </w:r>
      <w:r w:rsidR="00D57A94" w:rsidRPr="00F6224E">
        <w:rPr>
          <w:sz w:val="24"/>
          <w:lang w:val="en-GB"/>
        </w:rPr>
        <w:tab/>
      </w:r>
      <w:r w:rsidRPr="00F6224E">
        <w:rPr>
          <w:sz w:val="24"/>
          <w:lang w:val="en-GB"/>
        </w:rPr>
        <w:t>EUT C 232, 16.6.2021, s. 62.</w:t>
      </w:r>
    </w:p>
  </w:footnote>
  <w:footnote w:id="5">
    <w:p w14:paraId="700BAF79" w14:textId="788822C3" w:rsidR="002B0724" w:rsidRPr="00F6224E" w:rsidRDefault="002B0724" w:rsidP="00D57A94">
      <w:pPr>
        <w:pStyle w:val="FootnoteText"/>
        <w:ind w:left="567" w:hanging="567"/>
        <w:rPr>
          <w:sz w:val="24"/>
          <w:szCs w:val="16"/>
          <w:lang w:val="en-GB"/>
        </w:rPr>
      </w:pPr>
      <w:r w:rsidRPr="00D57A94">
        <w:rPr>
          <w:rStyle w:val="FootnoteReference"/>
          <w:sz w:val="24"/>
          <w:szCs w:val="16"/>
          <w:lang w:val="sv-SE"/>
        </w:rPr>
        <w:footnoteRef/>
      </w:r>
      <w:r w:rsidR="00D57A94" w:rsidRPr="00F6224E">
        <w:rPr>
          <w:sz w:val="24"/>
          <w:lang w:val="en-GB"/>
        </w:rPr>
        <w:t xml:space="preserve"> </w:t>
      </w:r>
      <w:r w:rsidR="00D57A94" w:rsidRPr="00F6224E">
        <w:rPr>
          <w:sz w:val="24"/>
          <w:lang w:val="en-GB"/>
        </w:rPr>
        <w:tab/>
      </w:r>
      <w:proofErr w:type="gramStart"/>
      <w:r w:rsidRPr="00F6224E">
        <w:rPr>
          <w:sz w:val="24"/>
          <w:lang w:val="en-GB"/>
        </w:rPr>
        <w:t>FN:s</w:t>
      </w:r>
      <w:proofErr w:type="gramEnd"/>
      <w:r w:rsidRPr="00F6224E">
        <w:rPr>
          <w:sz w:val="24"/>
          <w:lang w:val="en-GB"/>
        </w:rPr>
        <w:t xml:space="preserve"> </w:t>
      </w:r>
      <w:proofErr w:type="spellStart"/>
      <w:r w:rsidRPr="00F6224E">
        <w:rPr>
          <w:sz w:val="24"/>
          <w:lang w:val="en-GB"/>
        </w:rPr>
        <w:t>konferens</w:t>
      </w:r>
      <w:proofErr w:type="spellEnd"/>
      <w:r w:rsidRPr="00F6224E">
        <w:rPr>
          <w:sz w:val="24"/>
          <w:lang w:val="en-GB"/>
        </w:rPr>
        <w:t xml:space="preserve"> om </w:t>
      </w:r>
      <w:proofErr w:type="spellStart"/>
      <w:r w:rsidRPr="00F6224E">
        <w:rPr>
          <w:sz w:val="24"/>
          <w:lang w:val="en-GB"/>
        </w:rPr>
        <w:t>handel</w:t>
      </w:r>
      <w:proofErr w:type="spellEnd"/>
      <w:r w:rsidRPr="00F6224E">
        <w:rPr>
          <w:sz w:val="24"/>
          <w:lang w:val="en-GB"/>
        </w:rPr>
        <w:t xml:space="preserve"> </w:t>
      </w:r>
      <w:proofErr w:type="spellStart"/>
      <w:r w:rsidRPr="00F6224E">
        <w:rPr>
          <w:sz w:val="24"/>
          <w:lang w:val="en-GB"/>
        </w:rPr>
        <w:t>och</w:t>
      </w:r>
      <w:proofErr w:type="spellEnd"/>
      <w:r w:rsidRPr="00F6224E">
        <w:rPr>
          <w:sz w:val="24"/>
          <w:lang w:val="en-GB"/>
        </w:rPr>
        <w:t xml:space="preserve"> </w:t>
      </w:r>
      <w:proofErr w:type="spellStart"/>
      <w:r w:rsidRPr="00F6224E">
        <w:rPr>
          <w:sz w:val="24"/>
          <w:lang w:val="en-GB"/>
        </w:rPr>
        <w:t>utveckling</w:t>
      </w:r>
      <w:proofErr w:type="spellEnd"/>
      <w:r w:rsidRPr="00F6224E">
        <w:rPr>
          <w:sz w:val="24"/>
          <w:lang w:val="en-GB"/>
        </w:rPr>
        <w:t xml:space="preserve">, ”Indirect taxation of e-commerce and digital trade – Implications for developing countries”,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03F68" w14:textId="77777777" w:rsidR="00064002" w:rsidRPr="00D57A9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A8FB3" w14:textId="77777777" w:rsidR="00064002" w:rsidRPr="00D57A9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BF0AF" w14:textId="77777777" w:rsidR="00064002" w:rsidRPr="00D57A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1354954">
    <w:abstractNumId w:val="9"/>
  </w:num>
  <w:num w:numId="2" w16cid:durableId="479155276">
    <w:abstractNumId w:val="9"/>
  </w:num>
  <w:num w:numId="3" w16cid:durableId="2044821225">
    <w:abstractNumId w:val="7"/>
  </w:num>
  <w:num w:numId="4" w16cid:durableId="156649658">
    <w:abstractNumId w:val="7"/>
  </w:num>
  <w:num w:numId="5" w16cid:durableId="451634002">
    <w:abstractNumId w:val="6"/>
  </w:num>
  <w:num w:numId="6" w16cid:durableId="1095789499">
    <w:abstractNumId w:val="6"/>
  </w:num>
  <w:num w:numId="7" w16cid:durableId="2060662205">
    <w:abstractNumId w:val="5"/>
  </w:num>
  <w:num w:numId="8" w16cid:durableId="1503930705">
    <w:abstractNumId w:val="5"/>
  </w:num>
  <w:num w:numId="9" w16cid:durableId="19749477">
    <w:abstractNumId w:val="4"/>
  </w:num>
  <w:num w:numId="10" w16cid:durableId="828833853">
    <w:abstractNumId w:val="4"/>
  </w:num>
  <w:num w:numId="11" w16cid:durableId="1984576079">
    <w:abstractNumId w:val="8"/>
  </w:num>
  <w:num w:numId="12" w16cid:durableId="478155230">
    <w:abstractNumId w:val="8"/>
  </w:num>
  <w:num w:numId="13" w16cid:durableId="1020012150">
    <w:abstractNumId w:val="3"/>
  </w:num>
  <w:num w:numId="14" w16cid:durableId="1356149842">
    <w:abstractNumId w:val="3"/>
  </w:num>
  <w:num w:numId="15" w16cid:durableId="1582638666">
    <w:abstractNumId w:val="2"/>
  </w:num>
  <w:num w:numId="16" w16cid:durableId="2115511988">
    <w:abstractNumId w:val="2"/>
  </w:num>
  <w:num w:numId="17" w16cid:durableId="418331615">
    <w:abstractNumId w:val="1"/>
  </w:num>
  <w:num w:numId="18" w16cid:durableId="1134832731">
    <w:abstractNumId w:val="1"/>
  </w:num>
  <w:num w:numId="19" w16cid:durableId="1995402713">
    <w:abstractNumId w:val="0"/>
  </w:num>
  <w:num w:numId="20" w16cid:durableId="1930043992">
    <w:abstractNumId w:val="0"/>
  </w:num>
  <w:num w:numId="21" w16cid:durableId="2045669887">
    <w:abstractNumId w:val="9"/>
  </w:num>
  <w:num w:numId="22" w16cid:durableId="151990660">
    <w:abstractNumId w:val="7"/>
  </w:num>
  <w:num w:numId="23" w16cid:durableId="1050761243">
    <w:abstractNumId w:val="6"/>
  </w:num>
  <w:num w:numId="24" w16cid:durableId="1956018883">
    <w:abstractNumId w:val="5"/>
  </w:num>
  <w:num w:numId="25" w16cid:durableId="1282617342">
    <w:abstractNumId w:val="4"/>
  </w:num>
  <w:num w:numId="26" w16cid:durableId="1752779199">
    <w:abstractNumId w:val="8"/>
  </w:num>
  <w:num w:numId="27" w16cid:durableId="959994898">
    <w:abstractNumId w:val="3"/>
  </w:num>
  <w:num w:numId="28" w16cid:durableId="1494491811">
    <w:abstractNumId w:val="2"/>
  </w:num>
  <w:num w:numId="29" w16cid:durableId="383720471">
    <w:abstractNumId w:val="1"/>
  </w:num>
  <w:num w:numId="30" w16cid:durableId="236982934">
    <w:abstractNumId w:val="0"/>
  </w:num>
  <w:num w:numId="31" w16cid:durableId="80375578">
    <w:abstractNumId w:val="9"/>
  </w:num>
  <w:num w:numId="32" w16cid:durableId="1275095764">
    <w:abstractNumId w:val="7"/>
  </w:num>
  <w:num w:numId="33" w16cid:durableId="788857872">
    <w:abstractNumId w:val="6"/>
  </w:num>
  <w:num w:numId="34" w16cid:durableId="421724503">
    <w:abstractNumId w:val="5"/>
  </w:num>
  <w:num w:numId="35" w16cid:durableId="1831948645">
    <w:abstractNumId w:val="4"/>
  </w:num>
  <w:num w:numId="36" w16cid:durableId="87309985">
    <w:abstractNumId w:val="8"/>
  </w:num>
  <w:num w:numId="37" w16cid:durableId="461191041">
    <w:abstractNumId w:val="3"/>
  </w:num>
  <w:num w:numId="38" w16cid:durableId="896168259">
    <w:abstractNumId w:val="2"/>
  </w:num>
  <w:num w:numId="39" w16cid:durableId="1274020960">
    <w:abstractNumId w:val="1"/>
  </w:num>
  <w:num w:numId="40" w16cid:durableId="1128671289">
    <w:abstractNumId w:val="0"/>
  </w:num>
  <w:num w:numId="41" w16cid:durableId="1301688705">
    <w:abstractNumId w:val="10"/>
  </w:num>
  <w:num w:numId="42" w16cid:durableId="1400979094">
    <w:abstractNumId w:val="10"/>
  </w:num>
  <w:num w:numId="43" w16cid:durableId="1059983881">
    <w:abstractNumId w:val="10"/>
  </w:num>
  <w:num w:numId="44" w16cid:durableId="16577651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5/2026"/>
    <w:docVar w:name="dvlangue" w:val="SV"/>
    <w:docVar w:name="dvnumam" w:val="0"/>
    <w:docVar w:name="dvpe" w:val="781.228"/>
    <w:docVar w:name="dvtitre" w:val="Europaparlamentets resolution av den xx xx 2026 om multilaterala förhandlingar inför WTO:s fjortonde ministerkonferens i Yaoundé den 26–29 mars 2026 (2025/2875(RSP))"/>
  </w:docVars>
  <w:rsids>
    <w:rsidRoot w:val="00E20995"/>
    <w:rsid w:val="00002272"/>
    <w:rsid w:val="00064002"/>
    <w:rsid w:val="0006721D"/>
    <w:rsid w:val="000677B9"/>
    <w:rsid w:val="000831BA"/>
    <w:rsid w:val="000A42CC"/>
    <w:rsid w:val="000E7DD9"/>
    <w:rsid w:val="0010095E"/>
    <w:rsid w:val="00125B37"/>
    <w:rsid w:val="00154829"/>
    <w:rsid w:val="00187494"/>
    <w:rsid w:val="001F32AE"/>
    <w:rsid w:val="002767FF"/>
    <w:rsid w:val="002B0724"/>
    <w:rsid w:val="002B18FE"/>
    <w:rsid w:val="002B5493"/>
    <w:rsid w:val="002D682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39F0"/>
    <w:rsid w:val="006A7BDD"/>
    <w:rsid w:val="006F74FA"/>
    <w:rsid w:val="00731ADD"/>
    <w:rsid w:val="00734777"/>
    <w:rsid w:val="00747932"/>
    <w:rsid w:val="00751A4A"/>
    <w:rsid w:val="00756632"/>
    <w:rsid w:val="00762C74"/>
    <w:rsid w:val="00786EC0"/>
    <w:rsid w:val="007D1690"/>
    <w:rsid w:val="007E22AD"/>
    <w:rsid w:val="007F5D3F"/>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16E7"/>
    <w:rsid w:val="00AF3B82"/>
    <w:rsid w:val="00B12E95"/>
    <w:rsid w:val="00B22876"/>
    <w:rsid w:val="00B558F0"/>
    <w:rsid w:val="00BD48FE"/>
    <w:rsid w:val="00BD7BD8"/>
    <w:rsid w:val="00BE6ADC"/>
    <w:rsid w:val="00C05BFE"/>
    <w:rsid w:val="00C23CD4"/>
    <w:rsid w:val="00C51EFF"/>
    <w:rsid w:val="00C61C0C"/>
    <w:rsid w:val="00C941CB"/>
    <w:rsid w:val="00CC2357"/>
    <w:rsid w:val="00CF071A"/>
    <w:rsid w:val="00D058B8"/>
    <w:rsid w:val="00D56C11"/>
    <w:rsid w:val="00D57A94"/>
    <w:rsid w:val="00D834A0"/>
    <w:rsid w:val="00D872DF"/>
    <w:rsid w:val="00D91E21"/>
    <w:rsid w:val="00DA7FCD"/>
    <w:rsid w:val="00E20995"/>
    <w:rsid w:val="00E365E1"/>
    <w:rsid w:val="00E820A4"/>
    <w:rsid w:val="00EB006A"/>
    <w:rsid w:val="00EB4772"/>
    <w:rsid w:val="00ED169E"/>
    <w:rsid w:val="00ED4235"/>
    <w:rsid w:val="00F04346"/>
    <w:rsid w:val="00F075DC"/>
    <w:rsid w:val="00F149E9"/>
    <w:rsid w:val="00F5134D"/>
    <w:rsid w:val="00F6224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7E9907"/>
  <w15:chartTrackingRefBased/>
  <w15:docId w15:val="{EC5E471A-50D9-42D8-B3BF-28679B7E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B0724"/>
    <w:pPr>
      <w:spacing w:after="240"/>
      <w:ind w:left="567" w:hanging="567"/>
    </w:pPr>
  </w:style>
  <w:style w:type="character" w:styleId="Hyperlink">
    <w:name w:val="Hyperlink"/>
    <w:basedOn w:val="DefaultParagraphFont"/>
    <w:uiPriority w:val="99"/>
    <w:unhideWhenUsed/>
    <w:rsid w:val="002B0724"/>
    <w:rPr>
      <w:color w:val="0563C1" w:themeColor="hyperlink"/>
      <w:u w:val="single"/>
    </w:rPr>
  </w:style>
  <w:style w:type="character" w:customStyle="1" w:styleId="NormalHanging12aChar">
    <w:name w:val="NormalHanging12a Char"/>
    <w:basedOn w:val="DefaultParagraphFont"/>
    <w:link w:val="NormalHanging12a"/>
    <w:rsid w:val="002B0724"/>
    <w:rPr>
      <w:sz w:val="24"/>
      <w:lang w:val="sv-SE"/>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2B0724"/>
    <w:pPr>
      <w:widowControl/>
      <w:spacing w:after="160" w:line="240" w:lineRule="exact"/>
    </w:pPr>
    <w:rPr>
      <w:sz w:val="20"/>
      <w:vertAlign w:val="superscript"/>
      <w:lang w:val="en-GB"/>
    </w:rPr>
  </w:style>
  <w:style w:type="paragraph" w:customStyle="1" w:styleId="Corps">
    <w:name w:val="Corps"/>
    <w:link w:val="CorpsChar"/>
    <w:rsid w:val="002B0724"/>
    <w:pPr>
      <w:pBdr>
        <w:top w:val="nil"/>
        <w:left w:val="nil"/>
        <w:bottom w:val="nil"/>
        <w:right w:val="nil"/>
        <w:between w:val="nil"/>
        <w:bar w:val="nil"/>
      </w:pBdr>
    </w:pPr>
    <w:rPr>
      <w:rFonts w:eastAsia="Arial Unicode MS" w:cs="Arial Unicode MS"/>
      <w:color w:val="000000"/>
      <w:sz w:val="24"/>
      <w:szCs w:val="24"/>
      <w:u w:color="000000"/>
      <w:bdr w:val="nil"/>
      <w:lang w:val="sv-SE"/>
      <w14:textOutline w14:w="0" w14:cap="flat" w14:cmpd="sng" w14:algn="ctr">
        <w14:noFill/>
        <w14:prstDash w14:val="solid"/>
        <w14:bevel/>
      </w14:textOutline>
    </w:rPr>
  </w:style>
  <w:style w:type="character" w:customStyle="1" w:styleId="CorpsChar">
    <w:name w:val="Corps Char"/>
    <w:basedOn w:val="DefaultParagraphFont"/>
    <w:link w:val="Corps"/>
    <w:rsid w:val="002B0724"/>
    <w:rPr>
      <w:rFonts w:eastAsia="Arial Unicode MS" w:cs="Arial Unicode MS"/>
      <w:color w:val="000000"/>
      <w:sz w:val="24"/>
      <w:szCs w:val="24"/>
      <w:u w:color="000000"/>
      <w:bdr w:val="nil"/>
      <w:lang w:val="sv-SE"/>
      <w14:textOutline w14:w="0" w14:cap="flat" w14:cmpd="sng" w14:algn="ctr">
        <w14:noFill/>
        <w14:prstDash w14:val="solid"/>
        <w14:bevel/>
      </w14:textOutline>
    </w:rPr>
  </w:style>
  <w:style w:type="paragraph" w:styleId="Revision">
    <w:name w:val="Revision"/>
    <w:hidden/>
    <w:uiPriority w:val="99"/>
    <w:semiHidden/>
    <w:rsid w:val="002D682F"/>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3367</Words>
  <Characters>22309</Characters>
  <Application>Microsoft Office Word</Application>
  <DocSecurity>0</DocSecurity>
  <Lines>185</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2026-03-12T11:40:00Z</dcterms:created>
  <dcterms:modified xsi:type="dcterms:W3CDTF">2026-03-12T11:40:00Z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B10-0155/2026</vt:lpwstr>
  </property>
  <property fmtid="{D5CDD505-2E9C-101B-9397-08002B2CF9AE}" pid="4" name="&lt;Type&gt;">
    <vt:lpwstr>RR</vt:lpwstr>
  </property>
</Properties>
</file>