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A96" w14:paraId="25B6F1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ED6BC4" w14:textId="4F992C54" w:rsidR="00751A4A" w:rsidRPr="006A3A96" w:rsidRDefault="00FF5338" w:rsidP="0010095E">
            <w:pPr>
              <w:pStyle w:val="EPName"/>
            </w:pPr>
            <w:r w:rsidRPr="006A3A96">
              <w:t>Parlamento europeo</w:t>
            </w:r>
          </w:p>
          <w:p w14:paraId="114C20D0" w14:textId="77777777" w:rsidR="00751A4A" w:rsidRPr="006A3A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A96">
              <w:t>2024</w:t>
            </w:r>
            <w:r w:rsidR="00817416" w:rsidRPr="006A3A96">
              <w:t>-202</w:t>
            </w:r>
            <w:r w:rsidRPr="006A3A96">
              <w:t>9</w:t>
            </w:r>
          </w:p>
        </w:tc>
        <w:tc>
          <w:tcPr>
            <w:tcW w:w="2268" w:type="dxa"/>
            <w:shd w:val="clear" w:color="auto" w:fill="auto"/>
          </w:tcPr>
          <w:p w14:paraId="3093808A" w14:textId="77777777" w:rsidR="00751A4A" w:rsidRPr="006A3A96" w:rsidRDefault="00187494" w:rsidP="0010095E">
            <w:pPr>
              <w:pStyle w:val="EPLogo"/>
            </w:pPr>
            <w:r w:rsidRPr="006A3A96">
              <w:rPr>
                <w:noProof/>
                <w:lang w:eastAsia="ja-JP"/>
              </w:rPr>
              <w:drawing>
                <wp:inline distT="0" distB="0" distL="0" distR="0" wp14:anchorId="799FC913" wp14:editId="01F1D2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3F389" w14:textId="77777777" w:rsidR="00D058B8" w:rsidRPr="006A3A96" w:rsidRDefault="00D058B8" w:rsidP="004C5D52">
      <w:pPr>
        <w:pStyle w:val="LineTop"/>
      </w:pPr>
    </w:p>
    <w:p w14:paraId="7382CAD9" w14:textId="22F6EDE3" w:rsidR="00680577" w:rsidRPr="006A3A96" w:rsidRDefault="00FF5338" w:rsidP="00680577">
      <w:pPr>
        <w:pStyle w:val="EPBodyTA1"/>
      </w:pPr>
      <w:r w:rsidRPr="006A3A96">
        <w:t>TESTI APPROVATI</w:t>
      </w:r>
    </w:p>
    <w:p w14:paraId="7BACDF3D" w14:textId="77777777" w:rsidR="00D058B8" w:rsidRPr="006A3A96" w:rsidRDefault="00D058B8" w:rsidP="00D058B8">
      <w:pPr>
        <w:pStyle w:val="LineBottom"/>
      </w:pPr>
    </w:p>
    <w:p w14:paraId="641DE442" w14:textId="378BC561" w:rsidR="00FF5338" w:rsidRPr="006A3A96" w:rsidRDefault="00FF5338" w:rsidP="00FF5338">
      <w:pPr>
        <w:pStyle w:val="ATHeading1"/>
      </w:pPr>
      <w:bookmarkStart w:id="0" w:name="TANumber"/>
      <w:r w:rsidRPr="006A3A96">
        <w:t>P10_</w:t>
      </w:r>
      <w:proofErr w:type="gramStart"/>
      <w:r w:rsidRPr="006A3A96">
        <w:t>TA(</w:t>
      </w:r>
      <w:proofErr w:type="gramEnd"/>
      <w:r w:rsidRPr="006A3A96">
        <w:t>2026)00</w:t>
      </w:r>
      <w:r w:rsidR="00180350" w:rsidRPr="006A3A96">
        <w:t>87</w:t>
      </w:r>
      <w:bookmarkEnd w:id="0"/>
    </w:p>
    <w:p w14:paraId="430B1AE2" w14:textId="77777777" w:rsidR="00FF5338" w:rsidRPr="006A3A96" w:rsidRDefault="00FF5338" w:rsidP="00FF5338">
      <w:pPr>
        <w:pStyle w:val="ATHeading2"/>
      </w:pPr>
      <w:bookmarkStart w:id="1" w:name="title"/>
      <w:r w:rsidRPr="006A3A96">
        <w:t xml:space="preserve">Richiesta di revoca dell'immunità di </w:t>
      </w:r>
      <w:proofErr w:type="spellStart"/>
      <w:r w:rsidRPr="006A3A96">
        <w:t>Grzegorz</w:t>
      </w:r>
      <w:proofErr w:type="spellEnd"/>
      <w:r w:rsidRPr="006A3A96">
        <w:t xml:space="preserve"> Braun</w:t>
      </w:r>
      <w:bookmarkEnd w:id="1"/>
    </w:p>
    <w:p w14:paraId="7067770D" w14:textId="77777777" w:rsidR="00FF5338" w:rsidRPr="006A3A96" w:rsidRDefault="00FF5338" w:rsidP="00FF5338">
      <w:pPr>
        <w:rPr>
          <w:i/>
          <w:vanish/>
        </w:rPr>
      </w:pPr>
      <w:r w:rsidRPr="006A3A96">
        <w:rPr>
          <w:i/>
        </w:rPr>
        <w:fldChar w:fldCharType="begin"/>
      </w:r>
      <w:r w:rsidRPr="006A3A96">
        <w:rPr>
          <w:i/>
        </w:rPr>
        <w:instrText xml:space="preserve"> TC"(</w:instrText>
      </w:r>
      <w:bookmarkStart w:id="2" w:name="DocNumber"/>
      <w:r w:rsidRPr="006A3A96">
        <w:rPr>
          <w:i/>
        </w:rPr>
        <w:instrText>A10-0075/2026</w:instrText>
      </w:r>
      <w:bookmarkEnd w:id="2"/>
      <w:r w:rsidRPr="006A3A96">
        <w:rPr>
          <w:i/>
        </w:rPr>
        <w:instrText xml:space="preserve"> - Relatore: Mario Furore)"\l3 \n&gt; \* MERGEFORMAT </w:instrText>
      </w:r>
      <w:r w:rsidRPr="006A3A96">
        <w:rPr>
          <w:i/>
        </w:rPr>
        <w:fldChar w:fldCharType="end"/>
      </w:r>
    </w:p>
    <w:p w14:paraId="4B960395" w14:textId="77777777" w:rsidR="00FF5338" w:rsidRPr="006A3A96" w:rsidRDefault="00FF5338" w:rsidP="00FF5338">
      <w:pPr>
        <w:rPr>
          <w:vanish/>
        </w:rPr>
      </w:pPr>
      <w:bookmarkStart w:id="3" w:name="Commission"/>
      <w:r w:rsidRPr="006A3A96">
        <w:rPr>
          <w:vanish/>
        </w:rPr>
        <w:t>Commissione giuridica</w:t>
      </w:r>
      <w:bookmarkEnd w:id="3"/>
    </w:p>
    <w:p w14:paraId="4EA7F7C2" w14:textId="77777777" w:rsidR="00FF5338" w:rsidRPr="006A3A96" w:rsidRDefault="00FF5338" w:rsidP="00FF5338">
      <w:pPr>
        <w:rPr>
          <w:vanish/>
        </w:rPr>
      </w:pPr>
      <w:bookmarkStart w:id="4" w:name="PE"/>
      <w:r w:rsidRPr="006A3A96">
        <w:rPr>
          <w:vanish/>
        </w:rPr>
        <w:t>PE784.378</w:t>
      </w:r>
      <w:bookmarkEnd w:id="4"/>
    </w:p>
    <w:p w14:paraId="353B9EFD" w14:textId="77777777" w:rsidR="00FF5338" w:rsidRPr="006A3A96" w:rsidRDefault="00FF5338" w:rsidP="00FF5338">
      <w:pPr>
        <w:pStyle w:val="ATHeading3"/>
      </w:pPr>
      <w:bookmarkStart w:id="5" w:name="Sujet"/>
      <w:r w:rsidRPr="006A3A96">
        <w:t xml:space="preserve">Decisione del Parlamento europeo del 26 marzo 2026 sulla richiesta di revoca dell'immunità di </w:t>
      </w:r>
      <w:proofErr w:type="spellStart"/>
      <w:r w:rsidRPr="006A3A96">
        <w:t>Grzegorz</w:t>
      </w:r>
      <w:proofErr w:type="spellEnd"/>
      <w:r w:rsidRPr="006A3A96">
        <w:t xml:space="preserve"> Braun</w:t>
      </w:r>
      <w:bookmarkEnd w:id="5"/>
      <w:r w:rsidRPr="006A3A96">
        <w:t xml:space="preserve"> </w:t>
      </w:r>
      <w:bookmarkStart w:id="6" w:name="References"/>
      <w:r w:rsidRPr="006A3A96">
        <w:t>(2025/2170(IMM))</w:t>
      </w:r>
      <w:bookmarkEnd w:id="6"/>
    </w:p>
    <w:p w14:paraId="07A04CE5" w14:textId="77777777" w:rsidR="000B39CD" w:rsidRPr="006A3A96" w:rsidRDefault="000B39CD" w:rsidP="000B39CD">
      <w:pPr>
        <w:pStyle w:val="EPComma"/>
      </w:pPr>
      <w:bookmarkStart w:id="7" w:name="TextBodyBegin"/>
      <w:bookmarkEnd w:id="7"/>
      <w:r w:rsidRPr="006A3A96">
        <w:rPr>
          <w:i/>
        </w:rPr>
        <w:t>Il Parlamento europeo</w:t>
      </w:r>
      <w:r w:rsidRPr="006A3A96">
        <w:t>,</w:t>
      </w:r>
    </w:p>
    <w:p w14:paraId="2BB29DF9" w14:textId="45CF3BAA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 xml:space="preserve">vista la richiesta di revoca dell'immunità di </w:t>
      </w:r>
      <w:proofErr w:type="spellStart"/>
      <w:r w:rsidRPr="006A3A96">
        <w:t>Grzegorz</w:t>
      </w:r>
      <w:proofErr w:type="spellEnd"/>
      <w:r w:rsidRPr="006A3A96">
        <w:t xml:space="preserve"> Braun, ricevuta con lettera in data 16 luglio 2025 dal Procuratore generale della Polonia, recante una richiesta del procura</w:t>
      </w:r>
      <w:r w:rsidR="00AA1341" w:rsidRPr="006A3A96">
        <w:t>tore</w:t>
      </w:r>
      <w:r w:rsidRPr="006A3A96">
        <w:t xml:space="preserve"> </w:t>
      </w:r>
      <w:r w:rsidR="00073E96" w:rsidRPr="006A3A96">
        <w:t>regionale</w:t>
      </w:r>
      <w:r w:rsidRPr="006A3A96">
        <w:t xml:space="preserve"> di Varsavia-Praga </w:t>
      </w:r>
      <w:r w:rsidR="000D29F5" w:rsidRPr="006A3A96">
        <w:t>a Varsavia</w:t>
      </w:r>
      <w:r w:rsidR="00AA1341" w:rsidRPr="006A3A96">
        <w:t xml:space="preserve"> </w:t>
      </w:r>
      <w:r w:rsidRPr="006A3A96">
        <w:t xml:space="preserve">nel quadro di un procedimento penale avviato a </w:t>
      </w:r>
      <w:r w:rsidR="00420C69" w:rsidRPr="006A3A96">
        <w:t xml:space="preserve">suo </w:t>
      </w:r>
      <w:r w:rsidRPr="006A3A96">
        <w:t>carico, e comunicata in Aula l'8 settembre 2025,</w:t>
      </w:r>
    </w:p>
    <w:p w14:paraId="7E631672" w14:textId="0B12C620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</w:r>
      <w:r w:rsidR="00AA356A" w:rsidRPr="006A3A96">
        <w:rPr>
          <w:szCs w:val="24"/>
        </w:rPr>
        <w:t>v</w:t>
      </w:r>
      <w:r w:rsidR="00AA356A" w:rsidRPr="006A3A96">
        <w:rPr>
          <w:szCs w:val="24"/>
          <w:shd w:val="clear" w:color="auto" w:fill="FFFFFF"/>
        </w:rPr>
        <w:t>isto il diritto di essere ascoltato a norma dell'articolo 9, paragrafo 6, del</w:t>
      </w:r>
      <w:r w:rsidR="00C809E1" w:rsidRPr="006A3A96">
        <w:rPr>
          <w:szCs w:val="24"/>
          <w:shd w:val="clear" w:color="auto" w:fill="FFFFFF"/>
        </w:rPr>
        <w:t xml:space="preserve"> </w:t>
      </w:r>
      <w:r w:rsidR="00AA356A" w:rsidRPr="006A3A96">
        <w:rPr>
          <w:szCs w:val="24"/>
          <w:shd w:val="clear" w:color="auto" w:fill="FFFFFF"/>
        </w:rPr>
        <w:t xml:space="preserve">regolamento, al quale </w:t>
      </w:r>
      <w:proofErr w:type="spellStart"/>
      <w:r w:rsidR="00AA356A" w:rsidRPr="006A3A96">
        <w:rPr>
          <w:szCs w:val="24"/>
          <w:shd w:val="clear" w:color="auto" w:fill="FFFFFF"/>
        </w:rPr>
        <w:t>Grzegorz</w:t>
      </w:r>
      <w:proofErr w:type="spellEnd"/>
      <w:r w:rsidR="00AA356A" w:rsidRPr="006A3A96">
        <w:rPr>
          <w:szCs w:val="24"/>
          <w:shd w:val="clear" w:color="auto" w:fill="FFFFFF"/>
        </w:rPr>
        <w:t xml:space="preserve"> Braun avrebbe rinunciato</w:t>
      </w:r>
      <w:r w:rsidR="00AA356A" w:rsidRPr="006A3A96">
        <w:rPr>
          <w:rFonts w:ascii="Arial" w:hAnsi="Arial" w:cs="Arial"/>
          <w:sz w:val="18"/>
          <w:szCs w:val="18"/>
          <w:shd w:val="clear" w:color="auto" w:fill="FFFFFF"/>
        </w:rPr>
        <w:t>,</w:t>
      </w:r>
    </w:p>
    <w:p w14:paraId="3A610E13" w14:textId="77777777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3865AFB7" w14:textId="77777777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>viste le sentenze pronunciate dalla Corte di giustizia dell'Unione europea il 21 ottobre 2008, 19 marzo 2010, 6 settembre 2011, 17 gennaio 2013 e 19 dicembre 2019</w:t>
      </w:r>
      <w:r w:rsidRPr="006A3A96">
        <w:rPr>
          <w:rStyle w:val="FootnoteReference"/>
        </w:rPr>
        <w:footnoteReference w:id="1"/>
      </w:r>
      <w:r w:rsidRPr="006A3A96">
        <w:t>,</w:t>
      </w:r>
    </w:p>
    <w:p w14:paraId="3012DDE4" w14:textId="77777777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>visto l'articolo 105, paragrafi 2 e 5, della Costituzione della Repubblica di Polonia,</w:t>
      </w:r>
    </w:p>
    <w:p w14:paraId="5ED74892" w14:textId="77777777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>visti l'articolo 5, paragrafo 2, l'articolo 6, paragrafo 1, e l'articolo 9 del suo regolamento,</w:t>
      </w:r>
    </w:p>
    <w:p w14:paraId="0407F397" w14:textId="77777777" w:rsidR="000B39CD" w:rsidRPr="006A3A96" w:rsidRDefault="000B39CD" w:rsidP="000B39CD">
      <w:pPr>
        <w:pStyle w:val="NormalHanging12a"/>
      </w:pPr>
      <w:r w:rsidRPr="006A3A96">
        <w:t>–</w:t>
      </w:r>
      <w:r w:rsidRPr="006A3A96">
        <w:tab/>
        <w:t>vista la relazione della commissione giuridica (A10</w:t>
      </w:r>
      <w:r w:rsidRPr="006A3A96">
        <w:noBreakHyphen/>
        <w:t>0075/2026),</w:t>
      </w:r>
    </w:p>
    <w:p w14:paraId="4018A692" w14:textId="17DAC094" w:rsidR="000B39CD" w:rsidRPr="006A3A96" w:rsidRDefault="000B39CD" w:rsidP="000B39CD">
      <w:pPr>
        <w:pStyle w:val="NormalHanging12a"/>
      </w:pPr>
      <w:r w:rsidRPr="006A3A96">
        <w:t>A.</w:t>
      </w:r>
      <w:r w:rsidRPr="006A3A96">
        <w:tab/>
        <w:t xml:space="preserve">considerando che, con lettera </w:t>
      </w:r>
      <w:r w:rsidR="00BA578F" w:rsidRPr="006A3A96">
        <w:t>del</w:t>
      </w:r>
      <w:r w:rsidRPr="006A3A96">
        <w:t xml:space="preserve"> 16 luglio 2025, il Procuratore generale della Polonia </w:t>
      </w:r>
      <w:r w:rsidRPr="006A3A96">
        <w:lastRenderedPageBreak/>
        <w:t>ha trasmesso una richiesta del procura</w:t>
      </w:r>
      <w:r w:rsidR="00AA1341" w:rsidRPr="006A3A96">
        <w:t>tore</w:t>
      </w:r>
      <w:r w:rsidRPr="006A3A96">
        <w:t xml:space="preserve"> </w:t>
      </w:r>
      <w:r w:rsidR="00073E96" w:rsidRPr="006A3A96">
        <w:t>regionale</w:t>
      </w:r>
      <w:r w:rsidRPr="006A3A96">
        <w:t xml:space="preserve"> di Varsavia-Praga</w:t>
      </w:r>
      <w:r w:rsidR="00AA1341" w:rsidRPr="006A3A96">
        <w:t xml:space="preserve"> </w:t>
      </w:r>
      <w:r w:rsidR="000D29F5" w:rsidRPr="006A3A96">
        <w:t>a Varsavia</w:t>
      </w:r>
      <w:r w:rsidRPr="006A3A96">
        <w:t xml:space="preserve"> di revoca dell'immunità di </w:t>
      </w:r>
      <w:proofErr w:type="spellStart"/>
      <w:r w:rsidRPr="006A3A96">
        <w:t>Grzegorz</w:t>
      </w:r>
      <w:proofErr w:type="spellEnd"/>
      <w:r w:rsidRPr="006A3A96">
        <w:t xml:space="preserve"> Braun, deputato al Parlamento europeo</w:t>
      </w:r>
      <w:r w:rsidR="00AA356A" w:rsidRPr="006A3A96">
        <w:t xml:space="preserve"> eletto in Polonia</w:t>
      </w:r>
      <w:r w:rsidRPr="006A3A96">
        <w:t>, in relazione a diversi presunti reati avvenuti nel 2025;</w:t>
      </w:r>
    </w:p>
    <w:p w14:paraId="0CBB0A28" w14:textId="3E1A9A59" w:rsidR="000B39CD" w:rsidRPr="006A3A96" w:rsidRDefault="000B39CD" w:rsidP="000B39CD">
      <w:pPr>
        <w:pStyle w:val="NormalHanging12a"/>
      </w:pPr>
      <w:r w:rsidRPr="006A3A96">
        <w:rPr>
          <w:shd w:val="clear" w:color="auto" w:fill="FFFFFF"/>
        </w:rPr>
        <w:t>B.</w:t>
      </w:r>
      <w:r w:rsidRPr="006A3A96">
        <w:rPr>
          <w:shd w:val="clear" w:color="auto" w:fill="FFFFFF"/>
        </w:rPr>
        <w:tab/>
      </w:r>
      <w:r w:rsidRPr="006A3A96">
        <w:t>considerando che, secondo la richiesta, il 30 aprile 2025, nella piazza principale (</w:t>
      </w:r>
      <w:proofErr w:type="spellStart"/>
      <w:r w:rsidRPr="006A3A96">
        <w:t>Plac</w:t>
      </w:r>
      <w:proofErr w:type="spellEnd"/>
      <w:r w:rsidRPr="006A3A96">
        <w:t xml:space="preserve"> </w:t>
      </w:r>
      <w:proofErr w:type="spellStart"/>
      <w:r w:rsidRPr="006A3A96">
        <w:t>Wolności</w:t>
      </w:r>
      <w:proofErr w:type="spellEnd"/>
      <w:r w:rsidRPr="006A3A96">
        <w:t xml:space="preserve">) di </w:t>
      </w:r>
      <w:proofErr w:type="spellStart"/>
      <w:r w:rsidRPr="006A3A96">
        <w:t>Biała</w:t>
      </w:r>
      <w:proofErr w:type="spellEnd"/>
      <w:r w:rsidRPr="006A3A96">
        <w:t xml:space="preserve"> </w:t>
      </w:r>
      <w:proofErr w:type="spellStart"/>
      <w:r w:rsidRPr="006A3A96">
        <w:t>Podlaska</w:t>
      </w:r>
      <w:proofErr w:type="spellEnd"/>
      <w:r w:rsidRPr="006A3A96">
        <w:t xml:space="preserve">, </w:t>
      </w:r>
      <w:proofErr w:type="spellStart"/>
      <w:r w:rsidRPr="006A3A96">
        <w:t>Grzegorz</w:t>
      </w:r>
      <w:proofErr w:type="spellEnd"/>
      <w:r w:rsidRPr="006A3A96">
        <w:t xml:space="preserve"> Braun, agendo insieme a un'altra persona, avrebbe rubato la bandiera ucraina esposta pubblicamente sul balcone dell'edificio del municipio, causando un danno alla municipalità di </w:t>
      </w:r>
      <w:proofErr w:type="spellStart"/>
      <w:r w:rsidRPr="006A3A96">
        <w:t>Biała</w:t>
      </w:r>
      <w:proofErr w:type="spellEnd"/>
      <w:r w:rsidRPr="006A3A96">
        <w:t xml:space="preserve"> </w:t>
      </w:r>
      <w:proofErr w:type="spellStart"/>
      <w:r w:rsidRPr="006A3A96">
        <w:t>Podlaska</w:t>
      </w:r>
      <w:proofErr w:type="spellEnd"/>
      <w:r w:rsidRPr="006A3A96">
        <w:t xml:space="preserve">; che </w:t>
      </w:r>
      <w:r w:rsidR="00AA1341" w:rsidRPr="006A3A96">
        <w:t xml:space="preserve">la presunta condotta </w:t>
      </w:r>
      <w:r w:rsidRPr="006A3A96">
        <w:t xml:space="preserve">costituisce reato ai sensi dell'articolo 278, paragrafo 3bis, del </w:t>
      </w:r>
      <w:proofErr w:type="gramStart"/>
      <w:r w:rsidRPr="006A3A96">
        <w:t>codice penale</w:t>
      </w:r>
      <w:proofErr w:type="gramEnd"/>
      <w:r w:rsidRPr="006A3A96">
        <w:t xml:space="preserve"> polacco.</w:t>
      </w:r>
    </w:p>
    <w:p w14:paraId="7E814F35" w14:textId="1DA02518" w:rsidR="000B39CD" w:rsidRPr="006A3A96" w:rsidRDefault="000B39CD" w:rsidP="000B39CD">
      <w:pPr>
        <w:pStyle w:val="NormalHanging12a"/>
        <w:rPr>
          <w:szCs w:val="24"/>
          <w:shd w:val="clear" w:color="auto" w:fill="FFFFFF"/>
        </w:rPr>
      </w:pPr>
      <w:r w:rsidRPr="006A3A96">
        <w:rPr>
          <w:shd w:val="clear" w:color="auto" w:fill="FFFFFF"/>
        </w:rPr>
        <w:t>C.</w:t>
      </w:r>
      <w:r w:rsidRPr="006A3A96">
        <w:rPr>
          <w:shd w:val="clear" w:color="auto" w:fill="FFFFFF"/>
        </w:rPr>
        <w:tab/>
        <w:t>considerando che,</w:t>
      </w:r>
      <w:r w:rsidRPr="006A3A96">
        <w:t xml:space="preserve"> secondo la richiesta, il 6 maggio 2025 a Katowice</w:t>
      </w:r>
      <w:r w:rsidR="00AA356A" w:rsidRPr="006A3A96">
        <w:t>,</w:t>
      </w:r>
      <w:r w:rsidRPr="006A3A96">
        <w:t xml:space="preserve"> </w:t>
      </w:r>
      <w:proofErr w:type="spellStart"/>
      <w:r w:rsidRPr="006A3A96">
        <w:t>Grzegorz</w:t>
      </w:r>
      <w:proofErr w:type="spellEnd"/>
      <w:r w:rsidRPr="006A3A96">
        <w:t xml:space="preserve"> Braun, agendo insieme a un'altra persona, avrebbe rubato la bandiera dell'Unione europea esposta nella lobby del ministero dell'Industria (</w:t>
      </w:r>
      <w:proofErr w:type="spellStart"/>
      <w:r w:rsidRPr="006A3A96">
        <w:t>Ministerstwo</w:t>
      </w:r>
      <w:proofErr w:type="spellEnd"/>
      <w:r w:rsidRPr="006A3A96">
        <w:t xml:space="preserve"> </w:t>
      </w:r>
      <w:proofErr w:type="spellStart"/>
      <w:r w:rsidRPr="006A3A96">
        <w:t>Przemysłu</w:t>
      </w:r>
      <w:proofErr w:type="spellEnd"/>
      <w:r w:rsidRPr="006A3A96">
        <w:t xml:space="preserve">), causando un danno al ministero dell'Industria; che ciò costituisce reato ai sensi dell'articolo 278, paragrafo 3bis, del </w:t>
      </w:r>
      <w:proofErr w:type="gramStart"/>
      <w:r w:rsidRPr="006A3A96">
        <w:t>codice penale</w:t>
      </w:r>
      <w:proofErr w:type="gramEnd"/>
      <w:r w:rsidRPr="006A3A96">
        <w:t xml:space="preserve"> polacco</w:t>
      </w:r>
      <w:r w:rsidRPr="006A3A96">
        <w:rPr>
          <w:shd w:val="clear" w:color="auto" w:fill="FFFFFF"/>
        </w:rPr>
        <w:t>;</w:t>
      </w:r>
    </w:p>
    <w:p w14:paraId="41C8AAAD" w14:textId="23BBDE9D" w:rsidR="000B39CD" w:rsidRPr="006A3A96" w:rsidRDefault="000B39CD" w:rsidP="000B39CD">
      <w:pPr>
        <w:pStyle w:val="NormalHanging12a"/>
      </w:pPr>
      <w:r w:rsidRPr="006A3A96">
        <w:t>D.</w:t>
      </w:r>
      <w:r w:rsidRPr="006A3A96">
        <w:tab/>
      </w:r>
      <w:r w:rsidRPr="006A3A96">
        <w:rPr>
          <w:shd w:val="clear" w:color="auto" w:fill="FFFFFF"/>
        </w:rPr>
        <w:t>considerando che,</w:t>
      </w:r>
      <w:r w:rsidRPr="006A3A96">
        <w:t xml:space="preserve"> secondo la richiesta, l'11 giugno 2025, nell'atrio principale del </w:t>
      </w:r>
      <w:proofErr w:type="spellStart"/>
      <w:r w:rsidRPr="006A3A96">
        <w:rPr>
          <w:i/>
          <w:iCs/>
        </w:rPr>
        <w:t>Sejm</w:t>
      </w:r>
      <w:proofErr w:type="spellEnd"/>
      <w:r w:rsidRPr="006A3A96">
        <w:t xml:space="preserve"> della Repubblica di Polonia a Varsavia, </w:t>
      </w:r>
      <w:proofErr w:type="spellStart"/>
      <w:r w:rsidRPr="006A3A96">
        <w:t>Grzegorz</w:t>
      </w:r>
      <w:proofErr w:type="spellEnd"/>
      <w:r w:rsidRPr="006A3A96">
        <w:t xml:space="preserve"> Braun avrebbe distrutto oggetti appartenenti a terzi, ossia 10 tavole colorate che costituivano un'esposizione dedicata alle persone LGBTQ +, causando un danno al Club parlamentare della coalizione della sinistra (</w:t>
      </w:r>
      <w:proofErr w:type="spellStart"/>
      <w:r w:rsidRPr="006A3A96">
        <w:t>Koalicyjny</w:t>
      </w:r>
      <w:proofErr w:type="spellEnd"/>
      <w:r w:rsidRPr="006A3A96">
        <w:t xml:space="preserve"> </w:t>
      </w:r>
      <w:proofErr w:type="spellStart"/>
      <w:r w:rsidRPr="006A3A96">
        <w:t>Klub</w:t>
      </w:r>
      <w:proofErr w:type="spellEnd"/>
      <w:r w:rsidRPr="006A3A96">
        <w:t xml:space="preserve"> </w:t>
      </w:r>
      <w:proofErr w:type="spellStart"/>
      <w:r w:rsidRPr="006A3A96">
        <w:t>Parlamentarn</w:t>
      </w:r>
      <w:r w:rsidR="00477DFA" w:rsidRPr="006A3A96">
        <w:t>y</w:t>
      </w:r>
      <w:proofErr w:type="spellEnd"/>
      <w:r w:rsidRPr="006A3A96">
        <w:t xml:space="preserve"> </w:t>
      </w:r>
      <w:proofErr w:type="spellStart"/>
      <w:r w:rsidRPr="006A3A96">
        <w:t>Lewicy</w:t>
      </w:r>
      <w:proofErr w:type="spellEnd"/>
      <w:r w:rsidRPr="006A3A96">
        <w:t xml:space="preserve">); che ciò costituisce reato ai sensi dell'articolo 288, paragrafo 1, del </w:t>
      </w:r>
      <w:proofErr w:type="gramStart"/>
      <w:r w:rsidRPr="006A3A96">
        <w:t>codice penale</w:t>
      </w:r>
      <w:proofErr w:type="gramEnd"/>
      <w:r w:rsidRPr="006A3A96">
        <w:t xml:space="preserve"> polacco.</w:t>
      </w:r>
    </w:p>
    <w:p w14:paraId="4A488397" w14:textId="7957FF27" w:rsidR="000B39CD" w:rsidRPr="006A3A96" w:rsidRDefault="000B39CD" w:rsidP="000B39CD">
      <w:pPr>
        <w:pStyle w:val="NormalHanging12a"/>
      </w:pPr>
      <w:r w:rsidRPr="006A3A96">
        <w:t>E.</w:t>
      </w:r>
      <w:r w:rsidRPr="006A3A96">
        <w:tab/>
      </w:r>
      <w:r w:rsidRPr="006A3A96">
        <w:rPr>
          <w:shd w:val="clear" w:color="auto" w:fill="FFFFFF"/>
        </w:rPr>
        <w:t>considerando che,</w:t>
      </w:r>
      <w:r w:rsidRPr="006A3A96">
        <w:t xml:space="preserve"> secondo la richiesta, il 28 aprile 2025 a Varsavia </w:t>
      </w:r>
      <w:proofErr w:type="spellStart"/>
      <w:r w:rsidRPr="006A3A96">
        <w:t>Grzegorz</w:t>
      </w:r>
      <w:proofErr w:type="spellEnd"/>
      <w:r w:rsidRPr="006A3A96">
        <w:t xml:space="preserve"> Braun avrebbe attribuito, attraverso i mass media, al Museo della storia degli ebrei polacchi (POLIN) e ad altre entità coinvolte in una campagna social comportamenti e tratti caratteristici in grado di screditarli agli occhi dell'opinione pubblica o di comportare una perdita della fiducia necessaria per un determinato tipo di attività</w:t>
      </w:r>
      <w:r w:rsidR="00DE7916" w:rsidRPr="006A3A96">
        <w:t>,</w:t>
      </w:r>
      <w:r w:rsidRPr="006A3A96">
        <w:t xml:space="preserve"> osservando, nel corso del dibattito tra i candidati alla presidenza della Repubblica di Polonia trasmesso in diretta televisiva e online, che il narciso ebraico è un segno di vergogna e subordinazione; che ciò costituisce reato ai sensi dell'articolo 212, paragrafo 2, del codice penale polacco;</w:t>
      </w:r>
    </w:p>
    <w:p w14:paraId="5AED2267" w14:textId="2B85CE75" w:rsidR="000B39CD" w:rsidRPr="006A3A96" w:rsidRDefault="000B39CD" w:rsidP="000B39CD">
      <w:pPr>
        <w:pStyle w:val="NormalHanging12a"/>
        <w:rPr>
          <w:szCs w:val="24"/>
          <w:shd w:val="clear" w:color="auto" w:fill="FFFFFF"/>
        </w:rPr>
      </w:pPr>
      <w:r w:rsidRPr="006A3A96">
        <w:t>F.</w:t>
      </w:r>
      <w:r w:rsidRPr="006A3A96">
        <w:tab/>
      </w:r>
      <w:r w:rsidRPr="006A3A96">
        <w:rPr>
          <w:shd w:val="clear" w:color="auto" w:fill="FFFFFF"/>
        </w:rPr>
        <w:t>considerando</w:t>
      </w:r>
      <w:r w:rsidRPr="006A3A96">
        <w:t xml:space="preserve"> che </w:t>
      </w:r>
      <w:proofErr w:type="spellStart"/>
      <w:r w:rsidRPr="006A3A96">
        <w:t>Grzegorz</w:t>
      </w:r>
      <w:proofErr w:type="spellEnd"/>
      <w:r w:rsidRPr="006A3A96">
        <w:t xml:space="preserve"> Braun</w:t>
      </w:r>
      <w:r w:rsidRPr="006A3A96">
        <w:rPr>
          <w:shd w:val="clear" w:color="auto" w:fill="FFFFFF"/>
        </w:rPr>
        <w:t xml:space="preserve"> è stato eletto al Parlamento europeo in </w:t>
      </w:r>
      <w:r w:rsidR="00477DFA" w:rsidRPr="006A3A96">
        <w:rPr>
          <w:shd w:val="clear" w:color="auto" w:fill="FFFFFF"/>
        </w:rPr>
        <w:t>esito</w:t>
      </w:r>
      <w:r w:rsidRPr="006A3A96">
        <w:rPr>
          <w:shd w:val="clear" w:color="auto" w:fill="FFFFFF"/>
        </w:rPr>
        <w:t xml:space="preserve"> </w:t>
      </w:r>
      <w:r w:rsidR="00477DFA" w:rsidRPr="006A3A96">
        <w:rPr>
          <w:shd w:val="clear" w:color="auto" w:fill="FFFFFF"/>
        </w:rPr>
        <w:t>a</w:t>
      </w:r>
      <w:r w:rsidRPr="006A3A96">
        <w:rPr>
          <w:shd w:val="clear" w:color="auto" w:fill="FFFFFF"/>
        </w:rPr>
        <w:t xml:space="preserve">lle elezioni europee del giugno 2024 e </w:t>
      </w:r>
      <w:r w:rsidR="00477DFA" w:rsidRPr="006A3A96">
        <w:rPr>
          <w:shd w:val="clear" w:color="auto" w:fill="FFFFFF"/>
        </w:rPr>
        <w:t xml:space="preserve">che </w:t>
      </w:r>
      <w:r w:rsidRPr="006A3A96">
        <w:rPr>
          <w:shd w:val="clear" w:color="auto" w:fill="FFFFFF"/>
        </w:rPr>
        <w:t xml:space="preserve">pertanto era deputato al Parlamento europeo all'epoca dei presunti reati; </w:t>
      </w:r>
    </w:p>
    <w:p w14:paraId="564DAE7F" w14:textId="35C86247" w:rsidR="000B39CD" w:rsidRPr="006A3A96" w:rsidRDefault="000B39CD" w:rsidP="000B39CD">
      <w:pPr>
        <w:pStyle w:val="NormalHanging12a"/>
      </w:pPr>
      <w:r w:rsidRPr="006A3A96">
        <w:t>G.</w:t>
      </w:r>
      <w:r w:rsidRPr="006A3A96">
        <w:tab/>
        <w:t xml:space="preserve">considerando che i presunti reati e la successiva richiesta di revoca dell'immunità di </w:t>
      </w:r>
      <w:proofErr w:type="spellStart"/>
      <w:r w:rsidRPr="006A3A96">
        <w:t>Grzegorz</w:t>
      </w:r>
      <w:proofErr w:type="spellEnd"/>
      <w:r w:rsidRPr="006A3A96">
        <w:t xml:space="preserve"> Braun non si riferiscono a opinion</w:t>
      </w:r>
      <w:r w:rsidR="00420C69" w:rsidRPr="006A3A96">
        <w:t xml:space="preserve">i </w:t>
      </w:r>
      <w:r w:rsidRPr="006A3A96">
        <w:t>o vot</w:t>
      </w:r>
      <w:r w:rsidR="00420C69" w:rsidRPr="006A3A96">
        <w:t>i</w:t>
      </w:r>
      <w:r w:rsidRPr="006A3A96">
        <w:t xml:space="preserve"> espressi da quest'ultimo nell'esercizio delle sue funzioni ai sensi dell'articolo 8 del protocollo n. 7 sui privilegi e sulle immunità dell'Unione europea;</w:t>
      </w:r>
    </w:p>
    <w:p w14:paraId="7D2C193F" w14:textId="636F1801" w:rsidR="000B39CD" w:rsidRPr="006A3A96" w:rsidRDefault="000B39CD" w:rsidP="000B39CD">
      <w:pPr>
        <w:pStyle w:val="NormalHanging12a"/>
      </w:pPr>
      <w:r w:rsidRPr="006A3A96">
        <w:t>H.</w:t>
      </w:r>
      <w:r w:rsidRPr="006A3A96">
        <w:tab/>
        <w:t xml:space="preserve">considerando che l'articolo 9, primo comma, lettera a), del protocollo n. 7 sui privilegi e sulle immunità dell'Unione europea stabilisce che i membri del Parlamento europeo beneficiano, sul territorio nazionale, delle immunità riconosciute ai membri del parlamento del loro </w:t>
      </w:r>
      <w:r w:rsidR="00420C69" w:rsidRPr="006A3A96">
        <w:t>Stato membro</w:t>
      </w:r>
      <w:r w:rsidRPr="006A3A96">
        <w:t>;</w:t>
      </w:r>
    </w:p>
    <w:p w14:paraId="1FD1814C" w14:textId="37F8D2E1" w:rsidR="000B39CD" w:rsidRPr="006A3A96" w:rsidRDefault="000B39CD" w:rsidP="000B39CD">
      <w:pPr>
        <w:pStyle w:val="NormalHanging12a"/>
      </w:pPr>
      <w:r w:rsidRPr="006A3A96">
        <w:t>I.</w:t>
      </w:r>
      <w:r w:rsidRPr="006A3A96">
        <w:tab/>
        <w:t xml:space="preserve">considerando che, a norma dell'articolo 105, paragrafi 2 e 5, della Costituzione </w:t>
      </w:r>
      <w:r w:rsidR="00DE7916" w:rsidRPr="006A3A96">
        <w:t xml:space="preserve">della Repubblica </w:t>
      </w:r>
      <w:r w:rsidR="004E7B08" w:rsidRPr="006A3A96">
        <w:t>di Polonia</w:t>
      </w:r>
      <w:r w:rsidRPr="006A3A96">
        <w:t xml:space="preserve">, dal giorno in cui sono annunciati i risultati elettorali fino al giorno in cui termina il suo mandato, un deputato non può essere chiamato a rispondere </w:t>
      </w:r>
      <w:r w:rsidRPr="006A3A96">
        <w:lastRenderedPageBreak/>
        <w:t xml:space="preserve">penalmente senza l'autorizzazione del </w:t>
      </w:r>
      <w:proofErr w:type="spellStart"/>
      <w:r w:rsidRPr="006A3A96">
        <w:rPr>
          <w:i/>
          <w:iCs/>
        </w:rPr>
        <w:t>Sejm</w:t>
      </w:r>
      <w:proofErr w:type="spellEnd"/>
      <w:r w:rsidRPr="006A3A96">
        <w:t xml:space="preserve"> polacco e non può essere detenuto o arrestato senza l'autorizzazione del </w:t>
      </w:r>
      <w:proofErr w:type="spellStart"/>
      <w:r w:rsidRPr="006A3A96">
        <w:rPr>
          <w:i/>
          <w:iCs/>
        </w:rPr>
        <w:t>Sejm</w:t>
      </w:r>
      <w:proofErr w:type="spellEnd"/>
      <w:r w:rsidRPr="006A3A96">
        <w:t>, tranne nei casi in cui il deputato sia fermato in flagranza di reato o in cui la sua detenzione sia necessaria per garantire l'adeguato svolgimento del procedimento.</w:t>
      </w:r>
    </w:p>
    <w:p w14:paraId="4359FA61" w14:textId="5FBEC685" w:rsidR="000B39CD" w:rsidRPr="006A3A96" w:rsidRDefault="000B39CD" w:rsidP="000B39CD">
      <w:pPr>
        <w:pStyle w:val="NormalHanging12a"/>
      </w:pPr>
      <w:r w:rsidRPr="006A3A96">
        <w:t>J.</w:t>
      </w:r>
      <w:r w:rsidRPr="006A3A96">
        <w:tab/>
        <w:t xml:space="preserve">considerando che l'immunità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</w:t>
      </w:r>
      <w:r w:rsidR="00477DFA" w:rsidRPr="006A3A96">
        <w:t>tale mandato</w:t>
      </w:r>
      <w:r w:rsidRPr="006A3A96">
        <w:t>;</w:t>
      </w:r>
    </w:p>
    <w:p w14:paraId="6DE736CC" w14:textId="77777777" w:rsidR="000B39CD" w:rsidRPr="006A3A96" w:rsidRDefault="000B39CD" w:rsidP="000B39CD">
      <w:pPr>
        <w:pStyle w:val="NormalHanging12a"/>
      </w:pPr>
      <w:r w:rsidRPr="006A3A96">
        <w:t>K.</w:t>
      </w:r>
      <w:r w:rsidRPr="006A3A96">
        <w:tab/>
        <w:t>considerando che, conformemente all'articolo 5, paragrafo 2, del regolamento, l'immunità parlamentare non è un privilegio personale del deputato, ma una garanzia di indipendenza del Parlamento in quanto istituzione e dei suoi membri;</w:t>
      </w:r>
    </w:p>
    <w:p w14:paraId="5A2E2EF6" w14:textId="77777777" w:rsidR="000B39CD" w:rsidRPr="006A3A96" w:rsidRDefault="000B39CD" w:rsidP="000B39CD">
      <w:pPr>
        <w:pStyle w:val="NormalHanging12a"/>
      </w:pPr>
      <w:r w:rsidRPr="006A3A96">
        <w:t>L.</w:t>
      </w:r>
      <w:r w:rsidRPr="006A3A96">
        <w:tab/>
        <w:t xml:space="preserve">considerando che, nella fattispecie, il Parlamento non ha riscontrato alcuna prova di </w:t>
      </w:r>
      <w:r w:rsidRPr="006A3A96">
        <w:rPr>
          <w:i/>
          <w:iCs/>
        </w:rPr>
        <w:t xml:space="preserve">fumus </w:t>
      </w:r>
      <w:proofErr w:type="spellStart"/>
      <w:r w:rsidRPr="006A3A96">
        <w:rPr>
          <w:i/>
          <w:iCs/>
        </w:rPr>
        <w:t>persecutionis</w:t>
      </w:r>
      <w:proofErr w:type="spellEnd"/>
      <w:r w:rsidRPr="006A3A96">
        <w:t xml:space="preserve">, vale a dire elementi di fatto dai quali si evinca che l’intento alla base del procedimento giudiziario sia quello di recare pregiudizio all'attività politica di </w:t>
      </w:r>
      <w:bookmarkStart w:id="8" w:name="_Hlk223449412"/>
      <w:proofErr w:type="spellStart"/>
      <w:r w:rsidRPr="006A3A96">
        <w:t>Grzegorz</w:t>
      </w:r>
      <w:proofErr w:type="spellEnd"/>
      <w:r w:rsidRPr="006A3A96">
        <w:t xml:space="preserve"> Braun</w:t>
      </w:r>
      <w:bookmarkEnd w:id="8"/>
      <w:r w:rsidRPr="006A3A96">
        <w:t xml:space="preserve"> in quanto membro del Parlamento europeo;</w:t>
      </w:r>
    </w:p>
    <w:p w14:paraId="38CC8123" w14:textId="77777777" w:rsidR="000B39CD" w:rsidRPr="006A3A96" w:rsidRDefault="000B39CD" w:rsidP="000B39CD">
      <w:pPr>
        <w:pStyle w:val="NormalHanging12a"/>
      </w:pPr>
      <w:r w:rsidRPr="006A3A96">
        <w:t>M.</w:t>
      </w:r>
      <w:r w:rsidRPr="006A3A96">
        <w:tab/>
        <w:t>considerando che, da un lato, il Parlamento non dovrebbe essere assimilato a un tribunale e, dall'altro lato, il deputato non dovrebbe, nel contesto di una procedura di revoca dell'immunità, essere considerato un "accusato"</w:t>
      </w:r>
      <w:r w:rsidRPr="006A3A96">
        <w:rPr>
          <w:vertAlign w:val="superscript"/>
        </w:rPr>
        <w:footnoteReference w:id="2"/>
      </w:r>
      <w:r w:rsidRPr="006A3A96">
        <w:t>;</w:t>
      </w:r>
    </w:p>
    <w:p w14:paraId="1882F987" w14:textId="77777777" w:rsidR="000B39CD" w:rsidRPr="006A3A96" w:rsidRDefault="000B39CD" w:rsidP="000B39CD">
      <w:pPr>
        <w:pStyle w:val="NormalHanging12a"/>
      </w:pPr>
      <w:r w:rsidRPr="006A3A96">
        <w:t>1.</w:t>
      </w:r>
      <w:r w:rsidRPr="006A3A96">
        <w:tab/>
        <w:t xml:space="preserve">decide di revocare l'immunità di </w:t>
      </w:r>
      <w:proofErr w:type="spellStart"/>
      <w:r w:rsidRPr="006A3A96">
        <w:t>Grzegorz</w:t>
      </w:r>
      <w:proofErr w:type="spellEnd"/>
      <w:r w:rsidRPr="006A3A96">
        <w:t xml:space="preserve"> Braun;</w:t>
      </w:r>
    </w:p>
    <w:p w14:paraId="73AB7367" w14:textId="1E509C46" w:rsidR="00BB28FD" w:rsidRPr="006A3A96" w:rsidRDefault="000B39CD" w:rsidP="00BB28FD">
      <w:pPr>
        <w:pStyle w:val="NormalHanging12a"/>
      </w:pPr>
      <w:r w:rsidRPr="006A3A96">
        <w:t>2.</w:t>
      </w:r>
      <w:r w:rsidRPr="006A3A96">
        <w:tab/>
        <w:t xml:space="preserve">incarica la sua Presidente di trasmettere immediatamente la presente decisione e la relazione della sua commissione competente alle autorità competenti della Repubblica di Polonia e a </w:t>
      </w:r>
      <w:proofErr w:type="spellStart"/>
      <w:r w:rsidRPr="006A3A96">
        <w:t>Grzegorz</w:t>
      </w:r>
      <w:proofErr w:type="spellEnd"/>
      <w:r w:rsidRPr="006A3A96">
        <w:t xml:space="preserve"> Braun.</w:t>
      </w:r>
    </w:p>
    <w:p w14:paraId="6155725B" w14:textId="4D799065" w:rsidR="00E365E1" w:rsidRPr="006A3A96" w:rsidRDefault="00E365E1" w:rsidP="00FF5338"/>
    <w:sectPr w:rsidR="00E365E1" w:rsidRPr="006A3A96" w:rsidSect="00BB28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9FC36" w14:textId="77777777" w:rsidR="00FF5338" w:rsidRPr="00BB28FD" w:rsidRDefault="00FF5338">
      <w:r w:rsidRPr="00BB28FD">
        <w:separator/>
      </w:r>
    </w:p>
  </w:endnote>
  <w:endnote w:type="continuationSeparator" w:id="0">
    <w:p w14:paraId="4D5ABAE6" w14:textId="77777777" w:rsidR="00FF5338" w:rsidRPr="00BB28FD" w:rsidRDefault="00FF5338">
      <w:r w:rsidRPr="00BB28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BDCA" w14:textId="77777777" w:rsidR="00064002" w:rsidRPr="00BB28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C5E73" w14:textId="77777777" w:rsidR="00064002" w:rsidRPr="00BB28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D4C8" w14:textId="77777777" w:rsidR="00064002" w:rsidRPr="00BB28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D779" w14:textId="77777777" w:rsidR="00FF5338" w:rsidRPr="00BB28FD" w:rsidRDefault="00FF5338">
      <w:r w:rsidRPr="00BB28FD">
        <w:separator/>
      </w:r>
    </w:p>
  </w:footnote>
  <w:footnote w:type="continuationSeparator" w:id="0">
    <w:p w14:paraId="1C0AEBCC" w14:textId="77777777" w:rsidR="00FF5338" w:rsidRPr="00BB28FD" w:rsidRDefault="00FF5338">
      <w:r w:rsidRPr="00BB28FD">
        <w:continuationSeparator/>
      </w:r>
    </w:p>
  </w:footnote>
  <w:footnote w:id="1">
    <w:p w14:paraId="7C1D3FEC" w14:textId="0021E041" w:rsidR="000B39CD" w:rsidRPr="00BB28FD" w:rsidRDefault="000B39CD" w:rsidP="00BB28FD">
      <w:pPr>
        <w:pStyle w:val="FootnoteText"/>
        <w:ind w:left="567" w:hanging="567"/>
        <w:rPr>
          <w:sz w:val="24"/>
          <w:lang w:val="it-IT"/>
        </w:rPr>
      </w:pPr>
      <w:r w:rsidRPr="00BB28FD">
        <w:rPr>
          <w:rStyle w:val="FootnoteReference"/>
          <w:sz w:val="24"/>
          <w:lang w:val="it-IT"/>
        </w:rPr>
        <w:footnoteRef/>
      </w:r>
      <w:r w:rsidR="00BB28FD" w:rsidRPr="00BB28FD">
        <w:rPr>
          <w:sz w:val="24"/>
          <w:lang w:val="it-IT"/>
        </w:rPr>
        <w:t xml:space="preserve"> </w:t>
      </w:r>
      <w:r w:rsidR="00BB28FD" w:rsidRPr="00BB28FD">
        <w:rPr>
          <w:sz w:val="24"/>
          <w:lang w:val="it-IT"/>
        </w:rPr>
        <w:tab/>
      </w:r>
      <w:r w:rsidRPr="00BB28FD">
        <w:rPr>
          <w:sz w:val="24"/>
          <w:lang w:val="it-IT"/>
        </w:rPr>
        <w:t xml:space="preserve">Sentenza della Corte di giustizia del 21 ottobre 2008, </w:t>
      </w:r>
      <w:r w:rsidRPr="006A3A96">
        <w:rPr>
          <w:i/>
          <w:iCs/>
          <w:sz w:val="24"/>
          <w:lang w:val="it-IT"/>
        </w:rPr>
        <w:t>Marra/De Gregorio e Clemente</w:t>
      </w:r>
      <w:r w:rsidRPr="00BB28FD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6A3A96">
        <w:rPr>
          <w:i/>
          <w:iCs/>
          <w:sz w:val="24"/>
          <w:lang w:val="it-IT"/>
        </w:rPr>
        <w:t>Gollnisch</w:t>
      </w:r>
      <w:proofErr w:type="spellEnd"/>
      <w:r w:rsidRPr="006A3A96">
        <w:rPr>
          <w:i/>
          <w:iCs/>
          <w:sz w:val="24"/>
          <w:lang w:val="it-IT"/>
        </w:rPr>
        <w:t>/Parlamento</w:t>
      </w:r>
      <w:r w:rsidRPr="00BB28FD">
        <w:rPr>
          <w:sz w:val="24"/>
          <w:lang w:val="it-IT"/>
        </w:rPr>
        <w:t xml:space="preserve">, T-42/06, ECLI:EU:T:2010:102; sentenza della Corte di giustizia del 6 settembre 2011, </w:t>
      </w:r>
      <w:r w:rsidRPr="006A3A96">
        <w:rPr>
          <w:i/>
          <w:iCs/>
          <w:sz w:val="24"/>
          <w:lang w:val="it-IT"/>
        </w:rPr>
        <w:t>Patriciello</w:t>
      </w:r>
      <w:r w:rsidRPr="00BB28FD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6A3A96">
        <w:rPr>
          <w:i/>
          <w:iCs/>
          <w:sz w:val="24"/>
          <w:lang w:val="it-IT"/>
        </w:rPr>
        <w:t>Gollnisch</w:t>
      </w:r>
      <w:proofErr w:type="spellEnd"/>
      <w:r w:rsidRPr="006A3A96">
        <w:rPr>
          <w:i/>
          <w:iCs/>
          <w:sz w:val="24"/>
          <w:lang w:val="it-IT"/>
        </w:rPr>
        <w:t>/Parlamento</w:t>
      </w:r>
      <w:r w:rsidRPr="00BB28FD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6A3A96">
        <w:rPr>
          <w:i/>
          <w:iCs/>
          <w:sz w:val="24"/>
          <w:lang w:val="it-IT"/>
        </w:rPr>
        <w:t>Junqueras</w:t>
      </w:r>
      <w:proofErr w:type="spellEnd"/>
      <w:r w:rsidRPr="006A3A96">
        <w:rPr>
          <w:i/>
          <w:iCs/>
          <w:sz w:val="24"/>
          <w:lang w:val="it-IT"/>
        </w:rPr>
        <w:t xml:space="preserve"> </w:t>
      </w:r>
      <w:proofErr w:type="spellStart"/>
      <w:r w:rsidRPr="006A3A96">
        <w:rPr>
          <w:i/>
          <w:iCs/>
          <w:sz w:val="24"/>
          <w:lang w:val="it-IT"/>
        </w:rPr>
        <w:t>Vies</w:t>
      </w:r>
      <w:proofErr w:type="spellEnd"/>
      <w:r w:rsidRPr="00BB28FD">
        <w:rPr>
          <w:sz w:val="24"/>
          <w:lang w:val="it-IT"/>
        </w:rPr>
        <w:t>, C-502/19, ECLI:EU:C:2019:1115.</w:t>
      </w:r>
    </w:p>
  </w:footnote>
  <w:footnote w:id="2">
    <w:p w14:paraId="092A3F4B" w14:textId="0332B9D4" w:rsidR="000B39CD" w:rsidRPr="00BB28FD" w:rsidRDefault="000B39CD" w:rsidP="00BB28FD">
      <w:pPr>
        <w:pStyle w:val="FootnoteText"/>
        <w:ind w:left="567" w:hanging="567"/>
        <w:rPr>
          <w:sz w:val="24"/>
          <w:lang w:val="it-IT"/>
        </w:rPr>
      </w:pPr>
      <w:r w:rsidRPr="00BB28FD">
        <w:rPr>
          <w:rStyle w:val="FootnoteReference"/>
          <w:sz w:val="24"/>
          <w:lang w:val="it-IT"/>
        </w:rPr>
        <w:footnoteRef/>
      </w:r>
      <w:r w:rsidR="00BB28FD" w:rsidRPr="00BB28FD">
        <w:rPr>
          <w:sz w:val="24"/>
          <w:lang w:val="it-IT"/>
        </w:rPr>
        <w:t xml:space="preserve"> </w:t>
      </w:r>
      <w:r w:rsidR="00BB28FD" w:rsidRPr="00BB28FD">
        <w:rPr>
          <w:sz w:val="24"/>
          <w:lang w:val="it-IT"/>
        </w:rPr>
        <w:tab/>
      </w:r>
      <w:r w:rsidRPr="00BB28FD">
        <w:rPr>
          <w:sz w:val="24"/>
          <w:lang w:val="it-IT"/>
        </w:rPr>
        <w:t xml:space="preserve">Sentenza del Tribunale del 30 aprile 2019, </w:t>
      </w:r>
      <w:proofErr w:type="spellStart"/>
      <w:r w:rsidRPr="00BB28FD">
        <w:rPr>
          <w:i/>
          <w:iCs/>
          <w:sz w:val="24"/>
          <w:lang w:val="it-IT"/>
        </w:rPr>
        <w:t>Briois</w:t>
      </w:r>
      <w:proofErr w:type="spellEnd"/>
      <w:r w:rsidRPr="00BB28FD">
        <w:rPr>
          <w:i/>
          <w:iCs/>
          <w:sz w:val="24"/>
          <w:lang w:val="it-IT"/>
        </w:rPr>
        <w:t>/Parlamento</w:t>
      </w:r>
      <w:r w:rsidRPr="00BB28FD">
        <w:rPr>
          <w:sz w:val="24"/>
          <w:lang w:val="it-IT"/>
        </w:rPr>
        <w:t>, T-214/18, ECLI:</w:t>
      </w:r>
      <w:proofErr w:type="gramStart"/>
      <w:r w:rsidRPr="00BB28FD">
        <w:rPr>
          <w:sz w:val="24"/>
          <w:lang w:val="it-IT"/>
        </w:rPr>
        <w:t>EU:T</w:t>
      </w:r>
      <w:proofErr w:type="gramEnd"/>
      <w:r w:rsidRPr="00BB28FD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CE39A" w14:textId="77777777" w:rsidR="00064002" w:rsidRPr="00BB28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60D0" w14:textId="77777777" w:rsidR="00064002" w:rsidRPr="00BB28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101AC" w14:textId="77777777" w:rsidR="00064002" w:rsidRPr="00BB28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5348018">
    <w:abstractNumId w:val="9"/>
  </w:num>
  <w:num w:numId="2" w16cid:durableId="876090356">
    <w:abstractNumId w:val="9"/>
  </w:num>
  <w:num w:numId="3" w16cid:durableId="1312713675">
    <w:abstractNumId w:val="7"/>
  </w:num>
  <w:num w:numId="4" w16cid:durableId="1214148874">
    <w:abstractNumId w:val="7"/>
  </w:num>
  <w:num w:numId="5" w16cid:durableId="622268345">
    <w:abstractNumId w:val="6"/>
  </w:num>
  <w:num w:numId="6" w16cid:durableId="1389108361">
    <w:abstractNumId w:val="6"/>
  </w:num>
  <w:num w:numId="7" w16cid:durableId="1003781803">
    <w:abstractNumId w:val="5"/>
  </w:num>
  <w:num w:numId="8" w16cid:durableId="552350390">
    <w:abstractNumId w:val="5"/>
  </w:num>
  <w:num w:numId="9" w16cid:durableId="1088192250">
    <w:abstractNumId w:val="4"/>
  </w:num>
  <w:num w:numId="10" w16cid:durableId="807474801">
    <w:abstractNumId w:val="4"/>
  </w:num>
  <w:num w:numId="11" w16cid:durableId="36204022">
    <w:abstractNumId w:val="8"/>
  </w:num>
  <w:num w:numId="12" w16cid:durableId="1793788841">
    <w:abstractNumId w:val="8"/>
  </w:num>
  <w:num w:numId="13" w16cid:durableId="551308191">
    <w:abstractNumId w:val="3"/>
  </w:num>
  <w:num w:numId="14" w16cid:durableId="43677536">
    <w:abstractNumId w:val="3"/>
  </w:num>
  <w:num w:numId="15" w16cid:durableId="1581452656">
    <w:abstractNumId w:val="2"/>
  </w:num>
  <w:num w:numId="16" w16cid:durableId="169105758">
    <w:abstractNumId w:val="2"/>
  </w:num>
  <w:num w:numId="17" w16cid:durableId="2131511640">
    <w:abstractNumId w:val="1"/>
  </w:num>
  <w:num w:numId="18" w16cid:durableId="1584025035">
    <w:abstractNumId w:val="1"/>
  </w:num>
  <w:num w:numId="19" w16cid:durableId="1161000530">
    <w:abstractNumId w:val="0"/>
  </w:num>
  <w:num w:numId="20" w16cid:durableId="682056424">
    <w:abstractNumId w:val="0"/>
  </w:num>
  <w:num w:numId="21" w16cid:durableId="954025978">
    <w:abstractNumId w:val="9"/>
  </w:num>
  <w:num w:numId="22" w16cid:durableId="1563953528">
    <w:abstractNumId w:val="7"/>
  </w:num>
  <w:num w:numId="23" w16cid:durableId="897086058">
    <w:abstractNumId w:val="6"/>
  </w:num>
  <w:num w:numId="24" w16cid:durableId="1111438105">
    <w:abstractNumId w:val="5"/>
  </w:num>
  <w:num w:numId="25" w16cid:durableId="726802801">
    <w:abstractNumId w:val="4"/>
  </w:num>
  <w:num w:numId="26" w16cid:durableId="346105918">
    <w:abstractNumId w:val="8"/>
  </w:num>
  <w:num w:numId="27" w16cid:durableId="164176801">
    <w:abstractNumId w:val="3"/>
  </w:num>
  <w:num w:numId="28" w16cid:durableId="1026255588">
    <w:abstractNumId w:val="2"/>
  </w:num>
  <w:num w:numId="29" w16cid:durableId="147791964">
    <w:abstractNumId w:val="1"/>
  </w:num>
  <w:num w:numId="30" w16cid:durableId="1507135857">
    <w:abstractNumId w:val="0"/>
  </w:num>
  <w:num w:numId="31" w16cid:durableId="1741517695">
    <w:abstractNumId w:val="9"/>
  </w:num>
  <w:num w:numId="32" w16cid:durableId="1839148872">
    <w:abstractNumId w:val="7"/>
  </w:num>
  <w:num w:numId="33" w16cid:durableId="232937861">
    <w:abstractNumId w:val="6"/>
  </w:num>
  <w:num w:numId="34" w16cid:durableId="107701679">
    <w:abstractNumId w:val="5"/>
  </w:num>
  <w:num w:numId="35" w16cid:durableId="1673995374">
    <w:abstractNumId w:val="4"/>
  </w:num>
  <w:num w:numId="36" w16cid:durableId="304166623">
    <w:abstractNumId w:val="8"/>
  </w:num>
  <w:num w:numId="37" w16cid:durableId="1369338334">
    <w:abstractNumId w:val="3"/>
  </w:num>
  <w:num w:numId="38" w16cid:durableId="557014063">
    <w:abstractNumId w:val="2"/>
  </w:num>
  <w:num w:numId="39" w16cid:durableId="402147268">
    <w:abstractNumId w:val="1"/>
  </w:num>
  <w:num w:numId="40" w16cid:durableId="1507596852">
    <w:abstractNumId w:val="0"/>
  </w:num>
  <w:num w:numId="41" w16cid:durableId="808985389">
    <w:abstractNumId w:val="10"/>
  </w:num>
  <w:num w:numId="42" w16cid:durableId="1164859280">
    <w:abstractNumId w:val="10"/>
  </w:num>
  <w:num w:numId="43" w16cid:durableId="1013921560">
    <w:abstractNumId w:val="10"/>
  </w:num>
  <w:num w:numId="44" w16cid:durableId="5134212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IT"/>
    <w:docVar w:name="dvnumam" w:val="0"/>
    <w:docVar w:name="dvpe" w:val="784.378"/>
    <w:docVar w:name="dvrapporteur" w:val="Relatore: "/>
    <w:docVar w:name="dvtitre" w:val="Decisione del Parlamento europeo del 26 marzo 2026 sulla richiesta di revoca dell'immunità di Grzegorz Braun(2025/2170(IMM))"/>
  </w:docVars>
  <w:rsids>
    <w:rsidRoot w:val="00FF5338"/>
    <w:rsid w:val="00002272"/>
    <w:rsid w:val="00060879"/>
    <w:rsid w:val="00064002"/>
    <w:rsid w:val="000677B9"/>
    <w:rsid w:val="000726FA"/>
    <w:rsid w:val="00073E96"/>
    <w:rsid w:val="000831BA"/>
    <w:rsid w:val="000A42CC"/>
    <w:rsid w:val="000B39CD"/>
    <w:rsid w:val="000D29F5"/>
    <w:rsid w:val="000D3F8D"/>
    <w:rsid w:val="000E7DD9"/>
    <w:rsid w:val="0010095E"/>
    <w:rsid w:val="00125B37"/>
    <w:rsid w:val="00180350"/>
    <w:rsid w:val="00187494"/>
    <w:rsid w:val="001B41E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C69"/>
    <w:rsid w:val="00421060"/>
    <w:rsid w:val="00471C19"/>
    <w:rsid w:val="00477DFA"/>
    <w:rsid w:val="004867E3"/>
    <w:rsid w:val="00494A28"/>
    <w:rsid w:val="004C0004"/>
    <w:rsid w:val="004C5D52"/>
    <w:rsid w:val="004E7B0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A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341"/>
    <w:rsid w:val="00AA356A"/>
    <w:rsid w:val="00AB441E"/>
    <w:rsid w:val="00AB6293"/>
    <w:rsid w:val="00AE0928"/>
    <w:rsid w:val="00AF3B82"/>
    <w:rsid w:val="00B12E95"/>
    <w:rsid w:val="00B22876"/>
    <w:rsid w:val="00B558F0"/>
    <w:rsid w:val="00BA578F"/>
    <w:rsid w:val="00BB28FD"/>
    <w:rsid w:val="00BD48FE"/>
    <w:rsid w:val="00BD7BD8"/>
    <w:rsid w:val="00BE6ADC"/>
    <w:rsid w:val="00C05BFE"/>
    <w:rsid w:val="00C23CD4"/>
    <w:rsid w:val="00C61C0C"/>
    <w:rsid w:val="00C809E1"/>
    <w:rsid w:val="00C83B1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91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80237"/>
  <w15:chartTrackingRefBased/>
  <w15:docId w15:val="{60C62221-B4BC-401D-95EA-6F0CB6CD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B39CD"/>
    <w:pPr>
      <w:spacing w:after="240"/>
      <w:ind w:left="567" w:hanging="567"/>
    </w:pPr>
  </w:style>
  <w:style w:type="paragraph" w:customStyle="1" w:styleId="EPComma">
    <w:name w:val="EPComma"/>
    <w:basedOn w:val="Normal"/>
    <w:rsid w:val="000B39CD"/>
    <w:pPr>
      <w:spacing w:before="480" w:after="240"/>
    </w:pPr>
  </w:style>
  <w:style w:type="paragraph" w:styleId="Revision">
    <w:name w:val="Revision"/>
    <w:hidden/>
    <w:uiPriority w:val="99"/>
    <w:semiHidden/>
    <w:rsid w:val="00C83B13"/>
    <w:rPr>
      <w:sz w:val="24"/>
      <w:lang w:val="it-IT"/>
    </w:rPr>
  </w:style>
  <w:style w:type="character" w:styleId="CommentReference">
    <w:name w:val="annotation reference"/>
    <w:basedOn w:val="DefaultParagraphFont"/>
    <w:rsid w:val="00073E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3E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3E9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73E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3E96"/>
    <w:rPr>
      <w:b/>
      <w:bCs/>
      <w:lang w:val="it-IT"/>
    </w:rPr>
  </w:style>
  <w:style w:type="character" w:styleId="Hyperlink">
    <w:name w:val="Hyperlink"/>
    <w:basedOn w:val="DefaultParagraphFont"/>
    <w:rsid w:val="00AA35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945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CL1</cp:lastModifiedBy>
  <cp:revision>6</cp:revision>
  <cp:lastPrinted>2004-11-19T15:42:00Z</cp:lastPrinted>
  <dcterms:created xsi:type="dcterms:W3CDTF">2026-03-25T14:55:00Z</dcterms:created>
  <dcterms:modified xsi:type="dcterms:W3CDTF">2026-03-26T11:07:00Z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