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80E" w14:paraId="43266C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206F5C" w14:textId="77777777" w:rsidR="00751A4A" w:rsidRPr="00CD180E" w:rsidRDefault="00D67529" w:rsidP="0010095E">
            <w:pPr>
              <w:pStyle w:val="EPName"/>
            </w:pPr>
            <w:r w:rsidRPr="00CD180E">
              <w:t xml:space="preserve">Parlamento </w:t>
            </w:r>
            <w:proofErr w:type="gramStart"/>
            <w:r w:rsidRPr="00CD180E">
              <w:t>Europeu</w:t>
            </w:r>
            <w:proofErr w:type="gramEnd"/>
          </w:p>
          <w:p w14:paraId="0F5D12BD" w14:textId="77777777" w:rsidR="00751A4A" w:rsidRPr="00CD18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80E">
              <w:t>2024</w:t>
            </w:r>
            <w:r w:rsidR="00817416" w:rsidRPr="00CD180E">
              <w:t>-202</w:t>
            </w:r>
            <w:r w:rsidRPr="00CD180E">
              <w:t>9</w:t>
            </w:r>
          </w:p>
        </w:tc>
        <w:tc>
          <w:tcPr>
            <w:tcW w:w="2268" w:type="dxa"/>
            <w:shd w:val="clear" w:color="auto" w:fill="auto"/>
          </w:tcPr>
          <w:p w14:paraId="00A488F2" w14:textId="77777777" w:rsidR="00751A4A" w:rsidRPr="00CD180E" w:rsidRDefault="00187494" w:rsidP="0010095E">
            <w:pPr>
              <w:pStyle w:val="EPLogo"/>
            </w:pPr>
            <w:r w:rsidRPr="00CD180E">
              <w:rPr>
                <w:noProof/>
                <w:lang w:eastAsia="ja-JP"/>
              </w:rPr>
              <w:drawing>
                <wp:inline distT="0" distB="0" distL="0" distR="0" wp14:anchorId="789C7FA6" wp14:editId="26DA0C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28D9DA" w14:textId="77777777" w:rsidR="00D058B8" w:rsidRPr="00CD180E" w:rsidRDefault="00D058B8" w:rsidP="004C5D52">
      <w:pPr>
        <w:pStyle w:val="LineTop"/>
      </w:pPr>
    </w:p>
    <w:p w14:paraId="1E3A5C49" w14:textId="77777777" w:rsidR="00680577" w:rsidRPr="00CD180E" w:rsidRDefault="00D67529" w:rsidP="00680577">
      <w:pPr>
        <w:pStyle w:val="EPBodyTA1"/>
      </w:pPr>
      <w:r w:rsidRPr="00CD180E">
        <w:t>TEXTOS APROVADOS</w:t>
      </w:r>
    </w:p>
    <w:p w14:paraId="3FF31910" w14:textId="77777777" w:rsidR="00D058B8" w:rsidRPr="00CD180E" w:rsidRDefault="00D058B8" w:rsidP="00D058B8">
      <w:pPr>
        <w:pStyle w:val="LineBottom"/>
      </w:pPr>
    </w:p>
    <w:p w14:paraId="6C154BA8" w14:textId="7FC891C8" w:rsidR="00D67529" w:rsidRPr="00CD180E" w:rsidRDefault="00D67529" w:rsidP="00D67529">
      <w:pPr>
        <w:pStyle w:val="ATHeading1"/>
      </w:pPr>
      <w:bookmarkStart w:id="0" w:name="TANumber"/>
      <w:r w:rsidRPr="00CD180E">
        <w:t>P10_TA(2026)00</w:t>
      </w:r>
      <w:bookmarkEnd w:id="0"/>
      <w:r w:rsidR="007B7C1E">
        <w:t>87</w:t>
      </w:r>
    </w:p>
    <w:p w14:paraId="08046BDD" w14:textId="77777777" w:rsidR="00D67529" w:rsidRPr="00CD180E" w:rsidRDefault="00D67529" w:rsidP="00D67529">
      <w:pPr>
        <w:pStyle w:val="ATHeading2"/>
      </w:pPr>
      <w:bookmarkStart w:id="1" w:name="title"/>
      <w:r w:rsidRPr="00CD180E">
        <w:t xml:space="preserve">Pedido de levantamento da imunidade de Grzegorz </w:t>
      </w:r>
      <w:proofErr w:type="spellStart"/>
      <w:r w:rsidRPr="00CD180E">
        <w:t>Braun</w:t>
      </w:r>
      <w:proofErr w:type="spellEnd"/>
      <w:r w:rsidRPr="00CD180E">
        <w:t xml:space="preserve"> </w:t>
      </w:r>
      <w:bookmarkEnd w:id="1"/>
    </w:p>
    <w:p w14:paraId="2CAAAC44" w14:textId="77777777" w:rsidR="00D67529" w:rsidRPr="00CD180E" w:rsidRDefault="00D67529" w:rsidP="00D67529">
      <w:pPr>
        <w:rPr>
          <w:i/>
          <w:vanish/>
        </w:rPr>
      </w:pPr>
      <w:r w:rsidRPr="00CD180E">
        <w:rPr>
          <w:i/>
        </w:rPr>
        <w:fldChar w:fldCharType="begin"/>
      </w:r>
      <w:r w:rsidRPr="00CD180E">
        <w:rPr>
          <w:i/>
        </w:rPr>
        <w:instrText xml:space="preserve"> TC"(</w:instrText>
      </w:r>
      <w:bookmarkStart w:id="2" w:name="DocNumber"/>
      <w:r w:rsidRPr="00CD180E">
        <w:rPr>
          <w:i/>
        </w:rPr>
        <w:instrText>A10-0075/2026</w:instrText>
      </w:r>
      <w:bookmarkEnd w:id="2"/>
      <w:r w:rsidRPr="00CD180E">
        <w:rPr>
          <w:i/>
        </w:rPr>
        <w:instrText xml:space="preserve"> - Relator: </w:instrText>
      </w:r>
      <w:proofErr w:type="spellStart"/>
      <w:r w:rsidRPr="00CD180E">
        <w:rPr>
          <w:i/>
        </w:rPr>
        <w:instrText>Mario</w:instrText>
      </w:r>
      <w:proofErr w:type="spellEnd"/>
      <w:r w:rsidRPr="00CD180E">
        <w:rPr>
          <w:i/>
        </w:rPr>
        <w:instrText xml:space="preserve"> </w:instrText>
      </w:r>
      <w:proofErr w:type="spellStart"/>
      <w:r w:rsidRPr="00CD180E">
        <w:rPr>
          <w:i/>
        </w:rPr>
        <w:instrText>Furore</w:instrText>
      </w:r>
      <w:proofErr w:type="spellEnd"/>
      <w:r w:rsidRPr="00CD180E">
        <w:rPr>
          <w:i/>
        </w:rPr>
        <w:instrText xml:space="preserve">)"\l3 \n&gt; \* MERGEFORMAT </w:instrText>
      </w:r>
      <w:r w:rsidRPr="00CD180E">
        <w:rPr>
          <w:i/>
        </w:rPr>
        <w:fldChar w:fldCharType="end"/>
      </w:r>
    </w:p>
    <w:p w14:paraId="2A9F8246" w14:textId="77777777" w:rsidR="00D67529" w:rsidRPr="00CD180E" w:rsidRDefault="00D67529" w:rsidP="00D67529">
      <w:pPr>
        <w:rPr>
          <w:vanish/>
        </w:rPr>
      </w:pPr>
      <w:bookmarkStart w:id="3" w:name="Commission"/>
      <w:r w:rsidRPr="00CD180E">
        <w:rPr>
          <w:vanish/>
        </w:rPr>
        <w:t>Comissão dos Assuntos Jurídicos</w:t>
      </w:r>
      <w:bookmarkEnd w:id="3"/>
    </w:p>
    <w:p w14:paraId="44557B8A" w14:textId="77777777" w:rsidR="00D67529" w:rsidRPr="00CD180E" w:rsidRDefault="00D67529" w:rsidP="00D67529">
      <w:pPr>
        <w:rPr>
          <w:vanish/>
        </w:rPr>
      </w:pPr>
      <w:bookmarkStart w:id="4" w:name="PE"/>
      <w:r w:rsidRPr="00CD180E">
        <w:rPr>
          <w:vanish/>
        </w:rPr>
        <w:t>PE784.378</w:t>
      </w:r>
      <w:bookmarkEnd w:id="4"/>
    </w:p>
    <w:p w14:paraId="78FA98C1" w14:textId="4C3C025A" w:rsidR="00D67529" w:rsidRPr="00CD180E" w:rsidRDefault="00D67529" w:rsidP="00D67529">
      <w:pPr>
        <w:pStyle w:val="ATHeading3"/>
      </w:pPr>
      <w:bookmarkStart w:id="5" w:name="Sujet"/>
      <w:r w:rsidRPr="00CD180E">
        <w:t xml:space="preserve">Decisão do Parlamento Europeu, de </w:t>
      </w:r>
      <w:r w:rsidR="008E736A" w:rsidRPr="00CD180E">
        <w:t>26</w:t>
      </w:r>
      <w:r w:rsidRPr="00CD180E">
        <w:t xml:space="preserve"> de </w:t>
      </w:r>
      <w:r w:rsidR="008E736A" w:rsidRPr="00CD180E">
        <w:t>março</w:t>
      </w:r>
      <w:r w:rsidRPr="00CD180E">
        <w:t xml:space="preserve"> de 2026, sobre o pedido de levantamento da imunidade de Grzegorz </w:t>
      </w:r>
      <w:proofErr w:type="spellStart"/>
      <w:r w:rsidRPr="00CD180E">
        <w:t>Braun</w:t>
      </w:r>
      <w:bookmarkEnd w:id="5"/>
      <w:proofErr w:type="spellEnd"/>
      <w:r w:rsidRPr="00CD180E">
        <w:t xml:space="preserve"> </w:t>
      </w:r>
      <w:bookmarkStart w:id="6" w:name="References"/>
      <w:r w:rsidRPr="00CD180E">
        <w:t>(2025/2170(IMM))</w:t>
      </w:r>
      <w:bookmarkEnd w:id="6"/>
    </w:p>
    <w:p w14:paraId="18B33607" w14:textId="77777777" w:rsidR="00C529DA" w:rsidRPr="00CD180E" w:rsidRDefault="00C529DA" w:rsidP="00C529DA">
      <w:pPr>
        <w:pStyle w:val="EPComma"/>
      </w:pPr>
      <w:bookmarkStart w:id="7" w:name="TextBodyBegin"/>
      <w:bookmarkEnd w:id="7"/>
      <w:r w:rsidRPr="00CD180E">
        <w:rPr>
          <w:i/>
          <w:iCs/>
        </w:rPr>
        <w:t>O Parlamento Europeu</w:t>
      </w:r>
      <w:r w:rsidRPr="00CD180E">
        <w:t>,</w:t>
      </w:r>
    </w:p>
    <w:p w14:paraId="2E2C6B48" w14:textId="6AF9E3A6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 xml:space="preserve">Tendo recebido um pedido de levantamento da imunidade de Grzegorz </w:t>
      </w:r>
      <w:proofErr w:type="spellStart"/>
      <w:r w:rsidRPr="00CD180E">
        <w:t>Braun</w:t>
      </w:r>
      <w:proofErr w:type="spellEnd"/>
      <w:r w:rsidRPr="00CD180E">
        <w:t>, transmitido em 16 de julho de 2025 pelo procurador-geral da República da Polónia, que reencaminhou o pedido apresentado pel</w:t>
      </w:r>
      <w:r w:rsidR="00630840" w:rsidRPr="00CD180E">
        <w:t>o</w:t>
      </w:r>
      <w:r w:rsidRPr="00CD180E">
        <w:t xml:space="preserve"> </w:t>
      </w:r>
      <w:r w:rsidR="008B68D0" w:rsidRPr="00CD180E">
        <w:t>p</w:t>
      </w:r>
      <w:r w:rsidRPr="00CD180E">
        <w:t>rocurador</w:t>
      </w:r>
      <w:r w:rsidR="00630840" w:rsidRPr="00CD180E">
        <w:t xml:space="preserve"> </w:t>
      </w:r>
      <w:r w:rsidR="008B68D0" w:rsidRPr="00CD180E">
        <w:t>p</w:t>
      </w:r>
      <w:r w:rsidR="00630840" w:rsidRPr="00CD180E">
        <w:t xml:space="preserve">úblico </w:t>
      </w:r>
      <w:r w:rsidR="008B68D0" w:rsidRPr="00CD180E">
        <w:t>r</w:t>
      </w:r>
      <w:r w:rsidR="00630840" w:rsidRPr="00CD180E">
        <w:t>egional</w:t>
      </w:r>
      <w:r w:rsidRPr="00CD180E">
        <w:t xml:space="preserve"> da Comarca de Varsóvia-Praga</w:t>
      </w:r>
      <w:r w:rsidR="002B6030" w:rsidRPr="00CD180E">
        <w:t xml:space="preserve"> em Varsóvia</w:t>
      </w:r>
      <w:r w:rsidRPr="00CD180E">
        <w:t>, no âmbito de uma ação penal intentada contra Grzegorz</w:t>
      </w:r>
      <w:r w:rsidR="00E120DB">
        <w:t> </w:t>
      </w:r>
      <w:proofErr w:type="spellStart"/>
      <w:r w:rsidRPr="00CD180E">
        <w:t>Braun</w:t>
      </w:r>
      <w:proofErr w:type="spellEnd"/>
      <w:r w:rsidRPr="00CD180E">
        <w:t xml:space="preserve">, o qual foi </w:t>
      </w:r>
      <w:r w:rsidR="00CD4750" w:rsidRPr="00CD180E">
        <w:t xml:space="preserve">anunciado </w:t>
      </w:r>
      <w:r w:rsidR="00B07364" w:rsidRPr="00CD180E">
        <w:t>n</w:t>
      </w:r>
      <w:r w:rsidR="002B6030" w:rsidRPr="00CD180E">
        <w:t>o Parlamento</w:t>
      </w:r>
      <w:r w:rsidRPr="00CD180E">
        <w:t xml:space="preserve"> em 8 de setembro de 2025,</w:t>
      </w:r>
    </w:p>
    <w:p w14:paraId="791C8098" w14:textId="77777777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 xml:space="preserve">Tendo em conta que se considera que Grzegorz </w:t>
      </w:r>
      <w:proofErr w:type="spellStart"/>
      <w:r w:rsidRPr="00CD180E">
        <w:t>Braun</w:t>
      </w:r>
      <w:proofErr w:type="spellEnd"/>
      <w:r w:rsidRPr="00CD180E">
        <w:t xml:space="preserve"> renunciou ao seu direito de ser ouvido nos termos do artigo 9.º, n.º 6, do seu Regimento,</w:t>
      </w:r>
    </w:p>
    <w:p w14:paraId="557E4672" w14:textId="77777777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68616DBC" w14:textId="77777777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>Tendo em conta os Acórdãos proferidos pelo Tribunal de Justiça da União Europeia em 21 de outubro de 2008, 19 de março de 2010, 6 de setembro de 2011, 17 de janeiro de 2013 e 19 de dezembro de 2019</w:t>
      </w:r>
      <w:r w:rsidRPr="00CD180E">
        <w:rPr>
          <w:rStyle w:val="FootnoteReference"/>
          <w:color w:val="000000"/>
        </w:rPr>
        <w:footnoteReference w:id="1"/>
      </w:r>
      <w:r w:rsidRPr="00CD180E">
        <w:t>,</w:t>
      </w:r>
    </w:p>
    <w:p w14:paraId="7CBBBBD4" w14:textId="77777777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>Tendo em conta o artigo 105.º, n.</w:t>
      </w:r>
      <w:r w:rsidRPr="00CD180E">
        <w:rPr>
          <w:vertAlign w:val="superscript"/>
        </w:rPr>
        <w:t>os</w:t>
      </w:r>
      <w:r w:rsidRPr="00CD180E">
        <w:t xml:space="preserve"> 2 e 5, da Constituição da República da Polónia,</w:t>
      </w:r>
    </w:p>
    <w:p w14:paraId="4921C1DB" w14:textId="77777777" w:rsidR="00C529DA" w:rsidRPr="00CD180E" w:rsidRDefault="00C529DA" w:rsidP="00C529DA">
      <w:pPr>
        <w:pStyle w:val="NormalHanging12a"/>
      </w:pPr>
      <w:r w:rsidRPr="00CD180E">
        <w:lastRenderedPageBreak/>
        <w:t>–</w:t>
      </w:r>
      <w:r w:rsidRPr="00CD180E">
        <w:tab/>
        <w:t>Tendo em conta o artigo 5.º, n.º 2, o artigo 6.º, n.º 1, e o artigo 9.º do seu Regimento,</w:t>
      </w:r>
    </w:p>
    <w:p w14:paraId="2F16C28E" w14:textId="77777777" w:rsidR="00C529DA" w:rsidRPr="00CD180E" w:rsidRDefault="00C529DA" w:rsidP="00C529DA">
      <w:pPr>
        <w:pStyle w:val="NormalHanging12a"/>
      </w:pPr>
      <w:r w:rsidRPr="00CD180E">
        <w:t>–</w:t>
      </w:r>
      <w:r w:rsidRPr="00CD180E">
        <w:tab/>
        <w:t>Tendo em conta o relatório da Comissão dos Assuntos Jurídicos (A10</w:t>
      </w:r>
      <w:r w:rsidRPr="00CD180E">
        <w:noBreakHyphen/>
        <w:t>0075/2026),</w:t>
      </w:r>
    </w:p>
    <w:p w14:paraId="17328CD1" w14:textId="540842A6" w:rsidR="00C529DA" w:rsidRPr="00CD180E" w:rsidRDefault="00C529DA" w:rsidP="00C529DA">
      <w:pPr>
        <w:pStyle w:val="NormalHanging12a"/>
      </w:pPr>
      <w:r w:rsidRPr="00CD180E">
        <w:t>A.</w:t>
      </w:r>
      <w:r w:rsidRPr="00CD180E">
        <w:tab/>
        <w:t>Considerando que, por carta de 16 de julho de 2025, o procurador-geral da República da Polónia transmitiu um pedido d</w:t>
      </w:r>
      <w:r w:rsidR="00254B4D" w:rsidRPr="00CD180E">
        <w:t>o</w:t>
      </w:r>
      <w:r w:rsidRPr="00CD180E">
        <w:t xml:space="preserve"> </w:t>
      </w:r>
      <w:r w:rsidR="009D0AD1" w:rsidRPr="00CD180E">
        <w:t>p</w:t>
      </w:r>
      <w:r w:rsidRPr="00CD180E">
        <w:t>rocurador</w:t>
      </w:r>
      <w:r w:rsidR="00630840" w:rsidRPr="00CD180E">
        <w:t xml:space="preserve"> </w:t>
      </w:r>
      <w:r w:rsidR="008B68D0" w:rsidRPr="00CD180E">
        <w:t>p</w:t>
      </w:r>
      <w:r w:rsidR="00630840" w:rsidRPr="00CD180E">
        <w:t xml:space="preserve">úblico </w:t>
      </w:r>
      <w:r w:rsidR="00254B4D" w:rsidRPr="00CD180E">
        <w:t>-regional</w:t>
      </w:r>
      <w:r w:rsidRPr="00CD180E">
        <w:t xml:space="preserve"> da Comarca de Varsóvia-Praga</w:t>
      </w:r>
      <w:r w:rsidR="00254B4D" w:rsidRPr="00CD180E">
        <w:t xml:space="preserve"> em Varsóvia,</w:t>
      </w:r>
      <w:r w:rsidRPr="00CD180E">
        <w:t xml:space="preserve"> para o levantamento da imunidade de Grzegorz </w:t>
      </w:r>
      <w:proofErr w:type="spellStart"/>
      <w:r w:rsidRPr="00CD180E">
        <w:t>Braun</w:t>
      </w:r>
      <w:proofErr w:type="spellEnd"/>
      <w:r w:rsidRPr="00CD180E">
        <w:t>, deputado ao Parlamento Europeu eleito na Polónia, relativo a vários crimes alegadamente praticados em 2025;</w:t>
      </w:r>
    </w:p>
    <w:p w14:paraId="0950EF7E" w14:textId="667A8A9B" w:rsidR="00C529DA" w:rsidRPr="00CD180E" w:rsidRDefault="00C529DA" w:rsidP="00C529DA">
      <w:pPr>
        <w:pStyle w:val="NormalHanging12a"/>
      </w:pPr>
      <w:r w:rsidRPr="00CD180E">
        <w:rPr>
          <w:shd w:val="clear" w:color="auto" w:fill="FFFFFF"/>
        </w:rPr>
        <w:t>B.</w:t>
      </w:r>
      <w:r w:rsidRPr="00CD180E">
        <w:rPr>
          <w:shd w:val="clear" w:color="auto" w:fill="FFFFFF"/>
        </w:rPr>
        <w:tab/>
      </w:r>
      <w:r w:rsidRPr="00CD180E">
        <w:t>Considerando que, segundo consta do pedido, em 30 de abril de 2025, na praça principal (</w:t>
      </w:r>
      <w:proofErr w:type="spellStart"/>
      <w:r w:rsidRPr="00CD180E">
        <w:t>Plac</w:t>
      </w:r>
      <w:proofErr w:type="spellEnd"/>
      <w:r w:rsidRPr="00CD180E">
        <w:t xml:space="preserve"> </w:t>
      </w:r>
      <w:proofErr w:type="spellStart"/>
      <w:r w:rsidRPr="00CD180E">
        <w:t>Wolności</w:t>
      </w:r>
      <w:proofErr w:type="spellEnd"/>
      <w:r w:rsidRPr="00CD180E">
        <w:t xml:space="preserve">) de </w:t>
      </w:r>
      <w:proofErr w:type="spellStart"/>
      <w:r w:rsidRPr="00CD180E">
        <w:t>Biała</w:t>
      </w:r>
      <w:proofErr w:type="spellEnd"/>
      <w:r w:rsidRPr="00CD180E">
        <w:t xml:space="preserve"> </w:t>
      </w:r>
      <w:proofErr w:type="spellStart"/>
      <w:r w:rsidRPr="00CD180E">
        <w:t>Podlaska</w:t>
      </w:r>
      <w:proofErr w:type="spellEnd"/>
      <w:r w:rsidRPr="00CD180E">
        <w:t xml:space="preserve">, Grzegorz </w:t>
      </w:r>
      <w:proofErr w:type="spellStart"/>
      <w:r w:rsidRPr="00CD180E">
        <w:t>Braun</w:t>
      </w:r>
      <w:proofErr w:type="spellEnd"/>
      <w:r w:rsidRPr="00CD180E">
        <w:t xml:space="preserve">, agindo em conjunto com outra pessoa, alegadamente cometeu o furto da bandeira ucraniana que estava hasteada publicamente na varanda do edifício da câmara municipal, causando uma perda em detrimento do município de </w:t>
      </w:r>
      <w:proofErr w:type="spellStart"/>
      <w:r w:rsidRPr="00CD180E">
        <w:t>Biała</w:t>
      </w:r>
      <w:proofErr w:type="spellEnd"/>
      <w:r w:rsidRPr="00CD180E">
        <w:t xml:space="preserve"> </w:t>
      </w:r>
      <w:proofErr w:type="spellStart"/>
      <w:r w:rsidRPr="00CD180E">
        <w:t>Podlaska</w:t>
      </w:r>
      <w:proofErr w:type="spellEnd"/>
      <w:r w:rsidRPr="00CD180E">
        <w:t xml:space="preserve">; </w:t>
      </w:r>
      <w:r w:rsidR="008E736A" w:rsidRPr="00CD180E">
        <w:t xml:space="preserve">considerando </w:t>
      </w:r>
      <w:r w:rsidRPr="00CD180E">
        <w:t>que os atos alegados configuram crime nos termos do artigo 278.º, n.º 3-A, do Código Penal polaco;</w:t>
      </w:r>
    </w:p>
    <w:p w14:paraId="074D5532" w14:textId="65BE2686" w:rsidR="00C529DA" w:rsidRPr="00CD180E" w:rsidRDefault="00C529DA" w:rsidP="00C529DA">
      <w:pPr>
        <w:pStyle w:val="NormalHanging12a"/>
        <w:rPr>
          <w:szCs w:val="24"/>
          <w:shd w:val="clear" w:color="auto" w:fill="FFFFFF"/>
        </w:rPr>
      </w:pPr>
      <w:r w:rsidRPr="00CD180E">
        <w:rPr>
          <w:shd w:val="clear" w:color="auto" w:fill="FFFFFF"/>
        </w:rPr>
        <w:t>C.</w:t>
      </w:r>
      <w:r w:rsidRPr="00CD180E">
        <w:rPr>
          <w:shd w:val="clear" w:color="auto" w:fill="FFFFFF"/>
        </w:rPr>
        <w:tab/>
      </w:r>
      <w:r w:rsidRPr="00CD180E">
        <w:t xml:space="preserve">Considerando que, de acordo com o pedido, em 6 de maio de 2025, em </w:t>
      </w:r>
      <w:proofErr w:type="spellStart"/>
      <w:r w:rsidRPr="00CD180E">
        <w:t>Katowice</w:t>
      </w:r>
      <w:proofErr w:type="spellEnd"/>
      <w:r w:rsidRPr="00CD180E">
        <w:t xml:space="preserve">, Grzegorz </w:t>
      </w:r>
      <w:proofErr w:type="spellStart"/>
      <w:r w:rsidRPr="00CD180E">
        <w:t>Braun</w:t>
      </w:r>
      <w:proofErr w:type="spellEnd"/>
      <w:r w:rsidRPr="00CD180E">
        <w:t>, agindo em conjunto com outra pessoa, alegadamente cometeu o furto da bandeira da União Europeia que estava hasteada no átrio do Ministério da Indústria (</w:t>
      </w:r>
      <w:proofErr w:type="spellStart"/>
      <w:r w:rsidRPr="00CD180E">
        <w:rPr>
          <w:i/>
          <w:iCs/>
        </w:rPr>
        <w:t>Ministerstwo</w:t>
      </w:r>
      <w:proofErr w:type="spellEnd"/>
      <w:r w:rsidRPr="00CD180E">
        <w:rPr>
          <w:i/>
          <w:iCs/>
        </w:rPr>
        <w:t xml:space="preserve"> </w:t>
      </w:r>
      <w:proofErr w:type="spellStart"/>
      <w:r w:rsidRPr="00CD180E">
        <w:rPr>
          <w:i/>
          <w:iCs/>
        </w:rPr>
        <w:t>Przemysłu</w:t>
      </w:r>
      <w:proofErr w:type="spellEnd"/>
      <w:r w:rsidRPr="00CD180E">
        <w:t xml:space="preserve">), causando uma perda em detrimento do Ministério da Indústria; </w:t>
      </w:r>
      <w:r w:rsidR="008E736A" w:rsidRPr="00CD180E">
        <w:t xml:space="preserve">considerando </w:t>
      </w:r>
      <w:r w:rsidRPr="00CD180E">
        <w:t>que os atos alegados configuram crime nos termos do artigo 278.º, n.º 3-A, do Código Penal polaco;</w:t>
      </w:r>
    </w:p>
    <w:p w14:paraId="3CCA00BC" w14:textId="5BF1C3F4" w:rsidR="00C529DA" w:rsidRPr="00CD180E" w:rsidRDefault="00C529DA" w:rsidP="00C529DA">
      <w:pPr>
        <w:pStyle w:val="NormalHanging12a"/>
      </w:pPr>
      <w:r w:rsidRPr="00CD180E">
        <w:t>D.</w:t>
      </w:r>
      <w:r w:rsidRPr="00CD180E">
        <w:tab/>
        <w:t xml:space="preserve">Considerando que, segundo o pedido, em 11 de junho de 2025, no átrio principal da Câmara Baixa do Parlamento polaco em Varsóvia, Grzegorz </w:t>
      </w:r>
      <w:proofErr w:type="spellStart"/>
      <w:r w:rsidRPr="00CD180E">
        <w:t>Braun</w:t>
      </w:r>
      <w:proofErr w:type="spellEnd"/>
      <w:r w:rsidRPr="00CD180E">
        <w:t xml:space="preserve"> alegadamente destruiu objetos pertencentes a outra pessoa, sob a forma de 10 placares coloridos que compunham uma exposição dedicada às pessoas LGBTQ+, causando um perda em detrimento do Clube Parlamentar de Coligação da Esquerda (</w:t>
      </w:r>
      <w:proofErr w:type="spellStart"/>
      <w:r w:rsidRPr="00CD180E">
        <w:rPr>
          <w:i/>
          <w:iCs/>
        </w:rPr>
        <w:t>Koalicyjny</w:t>
      </w:r>
      <w:proofErr w:type="spellEnd"/>
      <w:r w:rsidRPr="00CD180E">
        <w:rPr>
          <w:i/>
          <w:iCs/>
        </w:rPr>
        <w:t xml:space="preserve"> </w:t>
      </w:r>
      <w:proofErr w:type="spellStart"/>
      <w:r w:rsidRPr="00CD180E">
        <w:rPr>
          <w:i/>
          <w:iCs/>
        </w:rPr>
        <w:t>Klub</w:t>
      </w:r>
      <w:proofErr w:type="spellEnd"/>
      <w:r w:rsidRPr="00CD180E">
        <w:rPr>
          <w:i/>
          <w:iCs/>
        </w:rPr>
        <w:t xml:space="preserve"> </w:t>
      </w:r>
      <w:proofErr w:type="spellStart"/>
      <w:r w:rsidRPr="00CD180E">
        <w:rPr>
          <w:i/>
          <w:iCs/>
        </w:rPr>
        <w:t>Parlamentarn</w:t>
      </w:r>
      <w:r w:rsidR="00254B4D" w:rsidRPr="00CD180E">
        <w:rPr>
          <w:i/>
          <w:iCs/>
        </w:rPr>
        <w:t>y</w:t>
      </w:r>
      <w:proofErr w:type="spellEnd"/>
      <w:r w:rsidRPr="00CD180E">
        <w:rPr>
          <w:i/>
          <w:iCs/>
        </w:rPr>
        <w:t xml:space="preserve"> </w:t>
      </w:r>
      <w:proofErr w:type="spellStart"/>
      <w:r w:rsidRPr="00CD180E">
        <w:rPr>
          <w:i/>
          <w:iCs/>
        </w:rPr>
        <w:t>Lewicy</w:t>
      </w:r>
      <w:proofErr w:type="spellEnd"/>
      <w:r w:rsidRPr="00CD180E">
        <w:t xml:space="preserve">); </w:t>
      </w:r>
      <w:r w:rsidR="008E736A" w:rsidRPr="00CD180E">
        <w:t xml:space="preserve">considerando </w:t>
      </w:r>
      <w:r w:rsidRPr="00CD180E">
        <w:t>que os atos alegados configuram crime nos termos do artigo 288.º, n.º 1, do Código Penal polaco;</w:t>
      </w:r>
    </w:p>
    <w:p w14:paraId="2C8AF9A9" w14:textId="6D4DDDCD" w:rsidR="00C529DA" w:rsidRPr="00CD180E" w:rsidRDefault="00C529DA" w:rsidP="00C529DA">
      <w:pPr>
        <w:pStyle w:val="NormalHanging12a"/>
      </w:pPr>
      <w:r w:rsidRPr="00CD180E">
        <w:t>E.</w:t>
      </w:r>
      <w:r w:rsidRPr="00CD180E">
        <w:tab/>
        <w:t xml:space="preserve">Considerando que, de acordo com o pedido, em 28 de abril de 2025, em Varsóvia, Grzegorz </w:t>
      </w:r>
      <w:proofErr w:type="spellStart"/>
      <w:r w:rsidRPr="00CD180E">
        <w:t>Braun</w:t>
      </w:r>
      <w:proofErr w:type="spellEnd"/>
      <w:r w:rsidRPr="00CD180E">
        <w:t xml:space="preserve">, alegadamente imputou, através dos meios de comunicação social, ao Museu da História dos Judeus Polacos (POLIN) e a outras entidades envolvidas numa campanha social, comportamentos e atributos suscetíveis de os desacreditar face à opinião pública ou de conduzirem a uma perda de confiança, necessária para um determinado tipo de atividade, ao referir, durante o debate com os candidatos para o cargo de presidente da República da Polónia, transmitido em direto na televisão e na Internet, que o narciso judaico é um símbolo de vergonha e subordinação; </w:t>
      </w:r>
      <w:r w:rsidR="008E736A" w:rsidRPr="00CD180E">
        <w:t xml:space="preserve">considerando </w:t>
      </w:r>
      <w:r w:rsidRPr="00CD180E">
        <w:t>que os atos alegados configuram crime nos termos do artigo 212.º, n.º 2, do Código Penal polaco;</w:t>
      </w:r>
    </w:p>
    <w:p w14:paraId="6A98A3F4" w14:textId="77777777" w:rsidR="00C529DA" w:rsidRPr="00CD180E" w:rsidRDefault="00C529DA" w:rsidP="00C529DA">
      <w:pPr>
        <w:pStyle w:val="NormalHanging12a"/>
        <w:rPr>
          <w:szCs w:val="24"/>
          <w:shd w:val="clear" w:color="auto" w:fill="FFFFFF"/>
        </w:rPr>
      </w:pPr>
      <w:r w:rsidRPr="00CD180E">
        <w:t>F.</w:t>
      </w:r>
      <w:r w:rsidRPr="00CD180E">
        <w:tab/>
        <w:t xml:space="preserve">Considerando que Grzegorz </w:t>
      </w:r>
      <w:proofErr w:type="spellStart"/>
      <w:r w:rsidRPr="00CD180E">
        <w:t>Braun</w:t>
      </w:r>
      <w:proofErr w:type="spellEnd"/>
      <w:r w:rsidRPr="00CD180E">
        <w:t xml:space="preserve"> foi eleito para o Parlamento Europeu nas eleições europeias de junho de 2024 e que, por conseguinte, era deputado ao Parlamento Europeu no momento dos alegados crimes;</w:t>
      </w:r>
      <w:r w:rsidRPr="00CD180E">
        <w:rPr>
          <w:shd w:val="clear" w:color="auto" w:fill="FFFFFF"/>
        </w:rPr>
        <w:t xml:space="preserve"> </w:t>
      </w:r>
    </w:p>
    <w:p w14:paraId="7CD6C67E" w14:textId="75D4C6D6" w:rsidR="00C529DA" w:rsidRPr="00CD180E" w:rsidRDefault="00C529DA" w:rsidP="00C529DA">
      <w:pPr>
        <w:pStyle w:val="NormalHanging12a"/>
      </w:pPr>
      <w:r w:rsidRPr="00CD180E">
        <w:t>G.</w:t>
      </w:r>
      <w:r w:rsidRPr="00CD180E">
        <w:tab/>
        <w:t xml:space="preserve">Considerando que as alegadas infrações não </w:t>
      </w:r>
      <w:r w:rsidR="00D36F28" w:rsidRPr="00CD180E">
        <w:t>constituem</w:t>
      </w:r>
      <w:r w:rsidRPr="00CD180E">
        <w:t xml:space="preserve"> uma opinião ou um voto emitido por Grzegorz </w:t>
      </w:r>
      <w:proofErr w:type="spellStart"/>
      <w:r w:rsidRPr="00CD180E">
        <w:t>Braun</w:t>
      </w:r>
      <w:proofErr w:type="spellEnd"/>
      <w:r w:rsidRPr="00CD180E">
        <w:t xml:space="preserve"> no exercício das suas funções, na aceção do artigo 8.º do Protocolo n.º 7 relativo aos Privilégios e Imunidades da União Europeia, nem o pedido subsequente de levantamento da imunidade de Grzegorz </w:t>
      </w:r>
      <w:proofErr w:type="spellStart"/>
      <w:r w:rsidRPr="00CD180E">
        <w:t>Braun</w:t>
      </w:r>
      <w:proofErr w:type="spellEnd"/>
      <w:r w:rsidRPr="00CD180E">
        <w:t xml:space="preserve"> está relacionado com tal </w:t>
      </w:r>
      <w:r w:rsidRPr="00CD180E">
        <w:lastRenderedPageBreak/>
        <w:t>opinião ou voto;</w:t>
      </w:r>
    </w:p>
    <w:p w14:paraId="5689BD78" w14:textId="7C657A7D" w:rsidR="00C529DA" w:rsidRPr="00CD180E" w:rsidRDefault="00C529DA" w:rsidP="00C529DA">
      <w:pPr>
        <w:pStyle w:val="NormalHanging12a"/>
      </w:pPr>
      <w:r w:rsidRPr="00CD180E">
        <w:t>H.</w:t>
      </w:r>
      <w:r w:rsidRPr="00CD180E">
        <w:tab/>
        <w:t xml:space="preserve">Considerando que o artigo 9.º, primeiro parágrafo, alínea a), do Protocolo n.º 7 relativo aos Privilégios e Imunidades da União Europeia prevê que, </w:t>
      </w:r>
      <w:r w:rsidR="00625E48" w:rsidRPr="00CD180E">
        <w:t xml:space="preserve">enquanto durarem </w:t>
      </w:r>
      <w:r w:rsidRPr="00CD180E">
        <w:t xml:space="preserve">as sessões do Parlamento Europeu, os seus </w:t>
      </w:r>
      <w:r w:rsidR="00625E48" w:rsidRPr="00CD180E">
        <w:t xml:space="preserve">membros </w:t>
      </w:r>
      <w:r w:rsidRPr="00CD180E">
        <w:t>gozam, no território nacional, das imunidades reconhecidas aos membros do Parlamento do seu país;</w:t>
      </w:r>
    </w:p>
    <w:p w14:paraId="7D367B6F" w14:textId="5C18F63C" w:rsidR="00C529DA" w:rsidRPr="00CD180E" w:rsidRDefault="00C529DA" w:rsidP="00C529DA">
      <w:pPr>
        <w:pStyle w:val="NormalHanging12a"/>
      </w:pPr>
      <w:r w:rsidRPr="00CD180E">
        <w:t>I.</w:t>
      </w:r>
      <w:r w:rsidRPr="00CD180E">
        <w:tab/>
        <w:t>Considerando que, em conformidade com o artigo 105.º, n.</w:t>
      </w:r>
      <w:r w:rsidRPr="00CD180E">
        <w:rPr>
          <w:vertAlign w:val="superscript"/>
        </w:rPr>
        <w:t>os</w:t>
      </w:r>
      <w:r w:rsidRPr="00CD180E">
        <w:t xml:space="preserve"> 2 e 5, da Constituição </w:t>
      </w:r>
      <w:r w:rsidR="00152626" w:rsidRPr="00CD180E">
        <w:t>da República da Polónia</w:t>
      </w:r>
      <w:r w:rsidRPr="00CD180E">
        <w:t>, a partir da data do anúncio dos resultados das eleições até à data do termo do seu mandato, um deputado não pode ser sujeito a responsabilidade penal sem o consentimento da Câmara Baixa do Parlamento polaco e que apenas pode ser detido ou privado da sua liberdade com autorização dessa Câmara, exceto nos casos em que tenha sido detido em flagrante delito ou em que a sua detenção seja indispensável à boa tramitação do processo;</w:t>
      </w:r>
    </w:p>
    <w:p w14:paraId="2E2A3F2C" w14:textId="77777777" w:rsidR="00C529DA" w:rsidRPr="00CD180E" w:rsidRDefault="00C529DA" w:rsidP="00C529DA">
      <w:pPr>
        <w:pStyle w:val="NormalHanging12a"/>
      </w:pPr>
      <w:r w:rsidRPr="00CD180E">
        <w:t>J.</w:t>
      </w:r>
      <w:r w:rsidRPr="00CD180E">
        <w:tab/>
        <w:t>Considerando que o objetivo da imunidade prevista no Protocolo n.º 7 relativo aos Privilégios e Imunidades da União Europeia é proteger o Parlamento e os seus deputados contra processos judiciais relacionados com atividades exercidas no desempenho das suas funções parlamentares e que não podem ser separadas dessas funções;</w:t>
      </w:r>
    </w:p>
    <w:p w14:paraId="25C6398D" w14:textId="77E1F820" w:rsidR="00C529DA" w:rsidRPr="00CD180E" w:rsidRDefault="00C529DA" w:rsidP="00C529DA">
      <w:pPr>
        <w:pStyle w:val="NormalHanging12a"/>
      </w:pPr>
      <w:r w:rsidRPr="00CD180E">
        <w:t>K.</w:t>
      </w:r>
      <w:r w:rsidRPr="00CD180E">
        <w:tab/>
        <w:t>Considerando que, nos termos do artigo 5.º, n.º 2, do seu Regimento, a imunidade parlamentar não é um privilégio pessoal dos deputados, mas sim uma garantia da independência do Parlamento como um todo, e dos seus membros;</w:t>
      </w:r>
    </w:p>
    <w:p w14:paraId="409AA366" w14:textId="0EA86C07" w:rsidR="00C529DA" w:rsidRPr="00CD180E" w:rsidRDefault="00C529DA" w:rsidP="00C529DA">
      <w:pPr>
        <w:pStyle w:val="NormalHanging12a"/>
      </w:pPr>
      <w:r w:rsidRPr="00CD180E">
        <w:t>L.</w:t>
      </w:r>
      <w:r w:rsidRPr="00CD180E">
        <w:tab/>
        <w:t xml:space="preserve">Considerando que, no caso em apreço, o Parlamento não </w:t>
      </w:r>
      <w:r w:rsidR="00625E48" w:rsidRPr="00CD180E">
        <w:t>encontrou quaisquer indícios</w:t>
      </w:r>
      <w:r w:rsidRPr="00CD180E">
        <w:t xml:space="preserve"> de </w:t>
      </w:r>
      <w:proofErr w:type="spellStart"/>
      <w:r w:rsidRPr="00CD180E">
        <w:rPr>
          <w:i/>
          <w:iCs/>
        </w:rPr>
        <w:t>fumus</w:t>
      </w:r>
      <w:proofErr w:type="spellEnd"/>
      <w:r w:rsidRPr="00CD180E">
        <w:rPr>
          <w:i/>
          <w:iCs/>
        </w:rPr>
        <w:t xml:space="preserve"> </w:t>
      </w:r>
      <w:proofErr w:type="spellStart"/>
      <w:r w:rsidRPr="00CD180E">
        <w:rPr>
          <w:i/>
          <w:iCs/>
        </w:rPr>
        <w:t>persecutionis</w:t>
      </w:r>
      <w:proofErr w:type="spellEnd"/>
      <w:r w:rsidRPr="00CD180E">
        <w:t>, ou seja,</w:t>
      </w:r>
      <w:r w:rsidR="00625E48" w:rsidRPr="00CD180E">
        <w:t xml:space="preserve"> elementos de</w:t>
      </w:r>
      <w:r w:rsidRPr="00CD180E">
        <w:t xml:space="preserve"> facto que indiquem que o processo judicial em causa foi instaurado com a intenção de prejudicar a atividade política de</w:t>
      </w:r>
      <w:bookmarkStart w:id="8" w:name="_Hlk223449412"/>
      <w:r w:rsidRPr="00CD180E">
        <w:t xml:space="preserve"> Grzegorz </w:t>
      </w:r>
      <w:proofErr w:type="spellStart"/>
      <w:r w:rsidRPr="00CD180E">
        <w:t>Braun</w:t>
      </w:r>
      <w:proofErr w:type="spellEnd"/>
      <w:r w:rsidRPr="00CD180E">
        <w:t xml:space="preserve"> </w:t>
      </w:r>
      <w:bookmarkEnd w:id="8"/>
      <w:r w:rsidRPr="00CD180E">
        <w:t>enquanto deputado ao Parlamento Europeu;</w:t>
      </w:r>
    </w:p>
    <w:p w14:paraId="077B5D58" w14:textId="77777777" w:rsidR="00C529DA" w:rsidRPr="00CD180E" w:rsidRDefault="00C529DA" w:rsidP="00C529DA">
      <w:pPr>
        <w:pStyle w:val="NormalHanging12a"/>
      </w:pPr>
      <w:r w:rsidRPr="00CD180E">
        <w:t>M.</w:t>
      </w:r>
      <w:r w:rsidRPr="00CD180E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CD180E">
        <w:rPr>
          <w:vertAlign w:val="superscript"/>
        </w:rPr>
        <w:footnoteReference w:id="2"/>
      </w:r>
      <w:r w:rsidRPr="00CD180E">
        <w:t>;</w:t>
      </w:r>
    </w:p>
    <w:p w14:paraId="22B8B1EB" w14:textId="77777777" w:rsidR="00C529DA" w:rsidRPr="00CD180E" w:rsidRDefault="00C529DA" w:rsidP="00C529DA">
      <w:pPr>
        <w:pStyle w:val="NormalHanging12a"/>
      </w:pPr>
      <w:r w:rsidRPr="00CD180E">
        <w:t>1.</w:t>
      </w:r>
      <w:r w:rsidRPr="00CD180E">
        <w:tab/>
        <w:t xml:space="preserve">Decide levantar a imunidade de Grzegorz </w:t>
      </w:r>
      <w:proofErr w:type="spellStart"/>
      <w:r w:rsidRPr="00CD180E">
        <w:t>Braun</w:t>
      </w:r>
      <w:proofErr w:type="spellEnd"/>
      <w:r w:rsidRPr="00CD180E">
        <w:t>;</w:t>
      </w:r>
    </w:p>
    <w:p w14:paraId="355612C2" w14:textId="6E4507C8" w:rsidR="00E365E1" w:rsidRPr="00CD180E" w:rsidRDefault="00C529DA" w:rsidP="00CD180E">
      <w:pPr>
        <w:pStyle w:val="NormalHanging12a"/>
      </w:pPr>
      <w:r w:rsidRPr="00CD180E">
        <w:t>2.</w:t>
      </w:r>
      <w:r w:rsidRPr="00CD180E">
        <w:tab/>
        <w:t xml:space="preserve">Encarrega a sua Presidente de transmitir de imediato a presente decisão, bem como o relatório da sua comissão </w:t>
      </w:r>
      <w:r w:rsidR="00152626" w:rsidRPr="00CD180E">
        <w:t>competente</w:t>
      </w:r>
      <w:r w:rsidRPr="00CD180E">
        <w:t xml:space="preserve">, à autoridade competente da República da Polónia e a Grzegorz </w:t>
      </w:r>
      <w:proofErr w:type="spellStart"/>
      <w:r w:rsidRPr="00CD180E">
        <w:t>Braun</w:t>
      </w:r>
      <w:proofErr w:type="spellEnd"/>
      <w:r w:rsidRPr="00CD180E">
        <w:t>.</w:t>
      </w:r>
    </w:p>
    <w:sectPr w:rsidR="00E365E1" w:rsidRPr="00CD180E" w:rsidSect="002B69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455FF" w14:textId="77777777" w:rsidR="00D67529" w:rsidRPr="002B691E" w:rsidRDefault="00D67529">
      <w:r w:rsidRPr="002B691E">
        <w:separator/>
      </w:r>
    </w:p>
  </w:endnote>
  <w:endnote w:type="continuationSeparator" w:id="0">
    <w:p w14:paraId="5E6364DA" w14:textId="77777777" w:rsidR="00D67529" w:rsidRPr="002B691E" w:rsidRDefault="00D67529">
      <w:r w:rsidRPr="002B69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3B33" w14:textId="77777777" w:rsidR="00064002" w:rsidRPr="002B69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8675" w14:textId="77777777" w:rsidR="00064002" w:rsidRPr="002B69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8F1F" w14:textId="77777777" w:rsidR="00064002" w:rsidRPr="002B69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47241" w14:textId="77777777" w:rsidR="00D67529" w:rsidRPr="002B691E" w:rsidRDefault="00D67529">
      <w:r w:rsidRPr="002B691E">
        <w:separator/>
      </w:r>
    </w:p>
  </w:footnote>
  <w:footnote w:type="continuationSeparator" w:id="0">
    <w:p w14:paraId="2A2F1BCA" w14:textId="77777777" w:rsidR="00D67529" w:rsidRPr="002B691E" w:rsidRDefault="00D67529">
      <w:r w:rsidRPr="002B691E">
        <w:continuationSeparator/>
      </w:r>
    </w:p>
  </w:footnote>
  <w:footnote w:id="1">
    <w:p w14:paraId="353A88A1" w14:textId="5C591F67" w:rsidR="00C529DA" w:rsidRPr="002B691E" w:rsidRDefault="00C529DA" w:rsidP="002B691E">
      <w:pPr>
        <w:pStyle w:val="FootnoteText"/>
        <w:ind w:left="567" w:hanging="567"/>
        <w:rPr>
          <w:sz w:val="24"/>
          <w:lang w:val="pt-PT"/>
        </w:rPr>
      </w:pPr>
      <w:r w:rsidRPr="002B691E">
        <w:rPr>
          <w:rStyle w:val="FootnoteReference"/>
          <w:sz w:val="24"/>
          <w:lang w:val="pt-PT"/>
        </w:rPr>
        <w:footnoteRef/>
      </w:r>
      <w:r w:rsidR="002B691E" w:rsidRPr="002B691E">
        <w:rPr>
          <w:sz w:val="24"/>
          <w:lang w:val="pt-PT"/>
        </w:rPr>
        <w:t xml:space="preserve"> </w:t>
      </w:r>
      <w:r w:rsidR="002B691E" w:rsidRPr="002B691E">
        <w:rPr>
          <w:sz w:val="24"/>
          <w:lang w:val="pt-PT"/>
        </w:rPr>
        <w:tab/>
      </w:r>
      <w:r w:rsidRPr="002B691E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2B691E">
        <w:rPr>
          <w:sz w:val="24"/>
          <w:lang w:val="pt-PT"/>
        </w:rPr>
        <w:t>Gregorio</w:t>
      </w:r>
      <w:proofErr w:type="spellEnd"/>
      <w:r w:rsidRPr="002B691E">
        <w:rPr>
          <w:sz w:val="24"/>
          <w:lang w:val="pt-PT"/>
        </w:rPr>
        <w:t xml:space="preserve"> e Clemente, C</w:t>
      </w:r>
      <w:r w:rsidRPr="002B691E">
        <w:rPr>
          <w:sz w:val="24"/>
          <w:lang w:val="pt-PT"/>
        </w:rPr>
        <w:noBreakHyphen/>
        <w:t>200/07 e C</w:t>
      </w:r>
      <w:r w:rsidRPr="002B691E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2B691E">
        <w:rPr>
          <w:sz w:val="24"/>
          <w:lang w:val="pt-PT"/>
        </w:rPr>
        <w:t>Gollnisch</w:t>
      </w:r>
      <w:proofErr w:type="spellEnd"/>
      <w:r w:rsidRPr="002B691E">
        <w:rPr>
          <w:sz w:val="24"/>
          <w:lang w:val="pt-PT"/>
        </w:rPr>
        <w:t>/Parlamento Europeu, T</w:t>
      </w:r>
      <w:r w:rsidRPr="002B691E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2B691E">
        <w:rPr>
          <w:sz w:val="24"/>
          <w:lang w:val="pt-PT"/>
        </w:rPr>
        <w:t>Patriciello</w:t>
      </w:r>
      <w:proofErr w:type="spellEnd"/>
      <w:r w:rsidRPr="002B691E">
        <w:rPr>
          <w:sz w:val="24"/>
          <w:lang w:val="pt-PT"/>
        </w:rPr>
        <w:t xml:space="preserve">, C‑163/10, ECLI:EU:C:2011:543; Acórdão do Tribunal Geral de 17 de janeiro de 2013, </w:t>
      </w:r>
      <w:proofErr w:type="spellStart"/>
      <w:r w:rsidRPr="002B691E">
        <w:rPr>
          <w:sz w:val="24"/>
          <w:lang w:val="pt-PT"/>
        </w:rPr>
        <w:t>Gollnisch</w:t>
      </w:r>
      <w:proofErr w:type="spellEnd"/>
      <w:r w:rsidRPr="002B691E">
        <w:rPr>
          <w:sz w:val="24"/>
          <w:lang w:val="pt-PT"/>
        </w:rPr>
        <w:t>/Parlamento Europeu, T</w:t>
      </w:r>
      <w:r w:rsidRPr="002B691E">
        <w:rPr>
          <w:sz w:val="24"/>
          <w:lang w:val="pt-PT"/>
        </w:rPr>
        <w:noBreakHyphen/>
        <w:t>346/11 e T</w:t>
      </w:r>
      <w:r w:rsidRPr="002B691E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2B691E">
        <w:rPr>
          <w:sz w:val="24"/>
          <w:lang w:val="pt-PT"/>
        </w:rPr>
        <w:t>Junqueras</w:t>
      </w:r>
      <w:proofErr w:type="spellEnd"/>
      <w:r w:rsidRPr="002B691E">
        <w:rPr>
          <w:sz w:val="24"/>
          <w:lang w:val="pt-PT"/>
        </w:rPr>
        <w:t xml:space="preserve"> </w:t>
      </w:r>
      <w:proofErr w:type="spellStart"/>
      <w:r w:rsidRPr="002B691E">
        <w:rPr>
          <w:sz w:val="24"/>
          <w:lang w:val="pt-PT"/>
        </w:rPr>
        <w:t>Vies</w:t>
      </w:r>
      <w:proofErr w:type="spellEnd"/>
      <w:r w:rsidRPr="002B691E">
        <w:rPr>
          <w:sz w:val="24"/>
          <w:lang w:val="pt-PT"/>
        </w:rPr>
        <w:t>, C 502/19, ECLI:EU:C:2019:1115.</w:t>
      </w:r>
      <w:r w:rsidR="002B691E" w:rsidRPr="002B691E">
        <w:rPr>
          <w:sz w:val="24"/>
          <w:lang w:val="pt-PT"/>
        </w:rPr>
        <w:tab/>
      </w:r>
    </w:p>
  </w:footnote>
  <w:footnote w:id="2">
    <w:p w14:paraId="21985FB5" w14:textId="1D989C41" w:rsidR="00C529DA" w:rsidRPr="002B691E" w:rsidRDefault="00C529DA" w:rsidP="002B691E">
      <w:pPr>
        <w:pStyle w:val="FootnoteText"/>
        <w:ind w:left="567" w:hanging="567"/>
        <w:rPr>
          <w:sz w:val="24"/>
          <w:lang w:val="pt-PT"/>
        </w:rPr>
      </w:pPr>
      <w:r w:rsidRPr="002B691E">
        <w:rPr>
          <w:rStyle w:val="FootnoteReference"/>
          <w:sz w:val="24"/>
          <w:lang w:val="pt-PT"/>
        </w:rPr>
        <w:footnoteRef/>
      </w:r>
      <w:r w:rsidR="002B691E" w:rsidRPr="002B691E">
        <w:rPr>
          <w:sz w:val="24"/>
          <w:lang w:val="pt-PT"/>
        </w:rPr>
        <w:t xml:space="preserve"> </w:t>
      </w:r>
      <w:r w:rsidR="002B691E" w:rsidRPr="002B691E">
        <w:rPr>
          <w:sz w:val="24"/>
          <w:lang w:val="pt-PT"/>
        </w:rPr>
        <w:tab/>
      </w:r>
      <w:r w:rsidRPr="002B691E">
        <w:rPr>
          <w:sz w:val="24"/>
          <w:lang w:val="pt-PT"/>
        </w:rPr>
        <w:t xml:space="preserve">Acórdão do Tribunal Geral de 30 de abril de 2019, </w:t>
      </w:r>
      <w:proofErr w:type="spellStart"/>
      <w:r w:rsidRPr="002B691E">
        <w:rPr>
          <w:sz w:val="24"/>
          <w:lang w:val="pt-PT"/>
        </w:rPr>
        <w:t>Briois</w:t>
      </w:r>
      <w:proofErr w:type="spellEnd"/>
      <w:r w:rsidRPr="002B691E">
        <w:rPr>
          <w:sz w:val="24"/>
          <w:lang w:val="pt-PT"/>
        </w:rPr>
        <w:t>/Parlamento Europeu, T</w:t>
      </w:r>
      <w:r w:rsidRPr="002B691E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14B0" w14:textId="77777777" w:rsidR="00064002" w:rsidRPr="002B69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C26B" w14:textId="77777777" w:rsidR="00064002" w:rsidRPr="002B69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236F" w14:textId="77777777" w:rsidR="00064002" w:rsidRPr="002B69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3101680">
    <w:abstractNumId w:val="9"/>
  </w:num>
  <w:num w:numId="2" w16cid:durableId="2105303873">
    <w:abstractNumId w:val="9"/>
  </w:num>
  <w:num w:numId="3" w16cid:durableId="8064939">
    <w:abstractNumId w:val="7"/>
  </w:num>
  <w:num w:numId="4" w16cid:durableId="485979072">
    <w:abstractNumId w:val="7"/>
  </w:num>
  <w:num w:numId="5" w16cid:durableId="2123763716">
    <w:abstractNumId w:val="6"/>
  </w:num>
  <w:num w:numId="6" w16cid:durableId="1740519211">
    <w:abstractNumId w:val="6"/>
  </w:num>
  <w:num w:numId="7" w16cid:durableId="407003226">
    <w:abstractNumId w:val="5"/>
  </w:num>
  <w:num w:numId="8" w16cid:durableId="1064376931">
    <w:abstractNumId w:val="5"/>
  </w:num>
  <w:num w:numId="9" w16cid:durableId="1644967931">
    <w:abstractNumId w:val="4"/>
  </w:num>
  <w:num w:numId="10" w16cid:durableId="540558221">
    <w:abstractNumId w:val="4"/>
  </w:num>
  <w:num w:numId="11" w16cid:durableId="497576858">
    <w:abstractNumId w:val="8"/>
  </w:num>
  <w:num w:numId="12" w16cid:durableId="1322582264">
    <w:abstractNumId w:val="8"/>
  </w:num>
  <w:num w:numId="13" w16cid:durableId="254167461">
    <w:abstractNumId w:val="3"/>
  </w:num>
  <w:num w:numId="14" w16cid:durableId="1061948199">
    <w:abstractNumId w:val="3"/>
  </w:num>
  <w:num w:numId="15" w16cid:durableId="1695577462">
    <w:abstractNumId w:val="2"/>
  </w:num>
  <w:num w:numId="16" w16cid:durableId="1555853611">
    <w:abstractNumId w:val="2"/>
  </w:num>
  <w:num w:numId="17" w16cid:durableId="1291663813">
    <w:abstractNumId w:val="1"/>
  </w:num>
  <w:num w:numId="18" w16cid:durableId="339352518">
    <w:abstractNumId w:val="1"/>
  </w:num>
  <w:num w:numId="19" w16cid:durableId="1371884382">
    <w:abstractNumId w:val="0"/>
  </w:num>
  <w:num w:numId="20" w16cid:durableId="1125272772">
    <w:abstractNumId w:val="0"/>
  </w:num>
  <w:num w:numId="21" w16cid:durableId="1207059971">
    <w:abstractNumId w:val="9"/>
  </w:num>
  <w:num w:numId="22" w16cid:durableId="96869348">
    <w:abstractNumId w:val="7"/>
  </w:num>
  <w:num w:numId="23" w16cid:durableId="183785266">
    <w:abstractNumId w:val="6"/>
  </w:num>
  <w:num w:numId="24" w16cid:durableId="1425297472">
    <w:abstractNumId w:val="5"/>
  </w:num>
  <w:num w:numId="25" w16cid:durableId="2127237083">
    <w:abstractNumId w:val="4"/>
  </w:num>
  <w:num w:numId="26" w16cid:durableId="196239895">
    <w:abstractNumId w:val="8"/>
  </w:num>
  <w:num w:numId="27" w16cid:durableId="102117786">
    <w:abstractNumId w:val="3"/>
  </w:num>
  <w:num w:numId="28" w16cid:durableId="983512107">
    <w:abstractNumId w:val="2"/>
  </w:num>
  <w:num w:numId="29" w16cid:durableId="549197070">
    <w:abstractNumId w:val="1"/>
  </w:num>
  <w:num w:numId="30" w16cid:durableId="996804052">
    <w:abstractNumId w:val="0"/>
  </w:num>
  <w:num w:numId="31" w16cid:durableId="1129930794">
    <w:abstractNumId w:val="9"/>
  </w:num>
  <w:num w:numId="32" w16cid:durableId="281422918">
    <w:abstractNumId w:val="7"/>
  </w:num>
  <w:num w:numId="33" w16cid:durableId="1918205571">
    <w:abstractNumId w:val="6"/>
  </w:num>
  <w:num w:numId="34" w16cid:durableId="2048990902">
    <w:abstractNumId w:val="5"/>
  </w:num>
  <w:num w:numId="35" w16cid:durableId="1716585959">
    <w:abstractNumId w:val="4"/>
  </w:num>
  <w:num w:numId="36" w16cid:durableId="1979991980">
    <w:abstractNumId w:val="8"/>
  </w:num>
  <w:num w:numId="37" w16cid:durableId="222065017">
    <w:abstractNumId w:val="3"/>
  </w:num>
  <w:num w:numId="38" w16cid:durableId="472141846">
    <w:abstractNumId w:val="2"/>
  </w:num>
  <w:num w:numId="39" w16cid:durableId="128595587">
    <w:abstractNumId w:val="1"/>
  </w:num>
  <w:num w:numId="40" w16cid:durableId="1267154019">
    <w:abstractNumId w:val="0"/>
  </w:num>
  <w:num w:numId="41" w16cid:durableId="684405170">
    <w:abstractNumId w:val="10"/>
  </w:num>
  <w:num w:numId="42" w16cid:durableId="1205211836">
    <w:abstractNumId w:val="10"/>
  </w:num>
  <w:num w:numId="43" w16cid:durableId="1472602560">
    <w:abstractNumId w:val="10"/>
  </w:num>
  <w:num w:numId="44" w16cid:durableId="1450780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PT"/>
    <w:docVar w:name="dvnumam" w:val="0"/>
    <w:docVar w:name="dvpe" w:val="784.378"/>
    <w:docVar w:name="dvrapporteur" w:val="Relator: "/>
    <w:docVar w:name="dvtitre" w:val="Decisão do Parlamento Europeu, de ... de ... de 2026,_x000d__x000a_ sobre o pedido de levantamento da imunidade de Grzegorz Braun(2025/2170(IMM))"/>
  </w:docVars>
  <w:rsids>
    <w:rsidRoot w:val="00D67529"/>
    <w:rsid w:val="00002272"/>
    <w:rsid w:val="00064002"/>
    <w:rsid w:val="000677B9"/>
    <w:rsid w:val="000831BA"/>
    <w:rsid w:val="000A42CC"/>
    <w:rsid w:val="000E7DD9"/>
    <w:rsid w:val="0010095E"/>
    <w:rsid w:val="00125B37"/>
    <w:rsid w:val="00152626"/>
    <w:rsid w:val="00187494"/>
    <w:rsid w:val="001C07B0"/>
    <w:rsid w:val="001F32AE"/>
    <w:rsid w:val="00254B4D"/>
    <w:rsid w:val="002767FF"/>
    <w:rsid w:val="002B18FE"/>
    <w:rsid w:val="002B5493"/>
    <w:rsid w:val="002B6030"/>
    <w:rsid w:val="002B69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E48"/>
    <w:rsid w:val="00630840"/>
    <w:rsid w:val="006631B6"/>
    <w:rsid w:val="00680577"/>
    <w:rsid w:val="006F74FA"/>
    <w:rsid w:val="00731093"/>
    <w:rsid w:val="00731ADD"/>
    <w:rsid w:val="00734777"/>
    <w:rsid w:val="00747932"/>
    <w:rsid w:val="00751A4A"/>
    <w:rsid w:val="00756632"/>
    <w:rsid w:val="00762C74"/>
    <w:rsid w:val="00783BE6"/>
    <w:rsid w:val="007856E3"/>
    <w:rsid w:val="00786EC0"/>
    <w:rsid w:val="007B7C1E"/>
    <w:rsid w:val="007D1690"/>
    <w:rsid w:val="007E22AD"/>
    <w:rsid w:val="00817416"/>
    <w:rsid w:val="00842779"/>
    <w:rsid w:val="00865F67"/>
    <w:rsid w:val="00881A7B"/>
    <w:rsid w:val="008840E5"/>
    <w:rsid w:val="00887B3E"/>
    <w:rsid w:val="008B68D0"/>
    <w:rsid w:val="008C2AC6"/>
    <w:rsid w:val="008C38E8"/>
    <w:rsid w:val="008E736A"/>
    <w:rsid w:val="00930C23"/>
    <w:rsid w:val="0093193B"/>
    <w:rsid w:val="009509D8"/>
    <w:rsid w:val="00950B64"/>
    <w:rsid w:val="00981893"/>
    <w:rsid w:val="009D0AD1"/>
    <w:rsid w:val="00A1687D"/>
    <w:rsid w:val="00A43E52"/>
    <w:rsid w:val="00A4678D"/>
    <w:rsid w:val="00A778C7"/>
    <w:rsid w:val="00AB441E"/>
    <w:rsid w:val="00AB6293"/>
    <w:rsid w:val="00AE0928"/>
    <w:rsid w:val="00AF3B82"/>
    <w:rsid w:val="00B07364"/>
    <w:rsid w:val="00B12E95"/>
    <w:rsid w:val="00B22876"/>
    <w:rsid w:val="00B558F0"/>
    <w:rsid w:val="00BD48FE"/>
    <w:rsid w:val="00BD7BD8"/>
    <w:rsid w:val="00BE6ADC"/>
    <w:rsid w:val="00C05BFE"/>
    <w:rsid w:val="00C23CD4"/>
    <w:rsid w:val="00C33272"/>
    <w:rsid w:val="00C529DA"/>
    <w:rsid w:val="00C61C0C"/>
    <w:rsid w:val="00C941CB"/>
    <w:rsid w:val="00CC2357"/>
    <w:rsid w:val="00CD180E"/>
    <w:rsid w:val="00CD4750"/>
    <w:rsid w:val="00CF071A"/>
    <w:rsid w:val="00D058B8"/>
    <w:rsid w:val="00D241B3"/>
    <w:rsid w:val="00D36F28"/>
    <w:rsid w:val="00D56C11"/>
    <w:rsid w:val="00D67529"/>
    <w:rsid w:val="00D834A0"/>
    <w:rsid w:val="00D872DF"/>
    <w:rsid w:val="00D91E21"/>
    <w:rsid w:val="00DA7FCD"/>
    <w:rsid w:val="00E120D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F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20DB9"/>
  <w15:chartTrackingRefBased/>
  <w15:docId w15:val="{F013DB03-094A-4D03-A7B8-F9D29814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529DA"/>
    <w:pPr>
      <w:spacing w:after="240"/>
      <w:ind w:left="567" w:hanging="567"/>
    </w:pPr>
  </w:style>
  <w:style w:type="paragraph" w:customStyle="1" w:styleId="EPComma">
    <w:name w:val="EPComma"/>
    <w:basedOn w:val="Normal"/>
    <w:rsid w:val="00C529DA"/>
    <w:pPr>
      <w:spacing w:before="480" w:after="240"/>
    </w:pPr>
  </w:style>
  <w:style w:type="paragraph" w:styleId="Revision">
    <w:name w:val="Revision"/>
    <w:hidden/>
    <w:uiPriority w:val="99"/>
    <w:semiHidden/>
    <w:rsid w:val="008E736A"/>
    <w:rPr>
      <w:sz w:val="24"/>
      <w:lang w:val="pt-PT"/>
    </w:rPr>
  </w:style>
  <w:style w:type="character" w:styleId="CommentReference">
    <w:name w:val="annotation reference"/>
    <w:basedOn w:val="DefaultParagraphFont"/>
    <w:rsid w:val="001C07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07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07B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C0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07B0"/>
    <w:rPr>
      <w:b/>
      <w:bCs/>
      <w:lang w:val="pt-PT"/>
    </w:rPr>
  </w:style>
  <w:style w:type="character" w:styleId="Hyperlink">
    <w:name w:val="Hyperlink"/>
    <w:basedOn w:val="DefaultParagraphFont"/>
    <w:rsid w:val="001C07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7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310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2026-03-26T12:04:00Z</dcterms:created>
  <dcterms:modified xsi:type="dcterms:W3CDTF">2026-03-26T12:04:00Z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